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6261C">
      <w:pPr>
        <w:rPr>
          <w:rFonts w:hint="eastAsia" w:ascii="仿宋_GB2312" w:hAnsi="仿宋_GB2312" w:eastAsia="仿宋_GB2312" w:cs="仿宋_GB2312"/>
          <w:color w:val="auto"/>
          <w:sz w:val="36"/>
          <w:szCs w:val="36"/>
          <w:highlight w:val="none"/>
          <w:lang w:val="en-US" w:eastAsia="zh-CN"/>
        </w:rPr>
      </w:pPr>
      <w:r>
        <w:rPr>
          <w:rFonts w:hint="eastAsia" w:ascii="仿宋_GB2312" w:hAnsi="仿宋_GB2312" w:eastAsia="仿宋_GB2312" w:cs="仿宋_GB2312"/>
          <w:color w:val="auto"/>
          <w:sz w:val="36"/>
          <w:szCs w:val="36"/>
          <w:highlight w:val="none"/>
          <w:lang w:val="en-US" w:eastAsia="zh-CN"/>
        </w:rPr>
        <w:t xml:space="preserve">                                                      </w:t>
      </w:r>
    </w:p>
    <w:p w14:paraId="7C4D661D">
      <w:pPr>
        <w:rPr>
          <w:rFonts w:ascii="仿宋_GB2312" w:hAnsi="仿宋_GB2312" w:eastAsia="仿宋_GB2312" w:cs="仿宋_GB2312"/>
          <w:color w:val="auto"/>
          <w:sz w:val="36"/>
          <w:szCs w:val="36"/>
          <w:highlight w:val="none"/>
        </w:rPr>
      </w:pPr>
    </w:p>
    <w:p w14:paraId="1727A673">
      <w:pPr>
        <w:rPr>
          <w:rFonts w:ascii="仿宋_GB2312" w:hAnsi="仿宋_GB2312" w:eastAsia="仿宋_GB2312" w:cs="仿宋_GB2312"/>
          <w:color w:val="auto"/>
          <w:sz w:val="36"/>
          <w:szCs w:val="36"/>
          <w:highlight w:val="none"/>
        </w:rPr>
      </w:pPr>
    </w:p>
    <w:p w14:paraId="0685D11A">
      <w:pPr>
        <w:rPr>
          <w:rFonts w:hint="eastAsia" w:ascii="仿宋_GB2312" w:hAnsi="仿宋_GB2312" w:eastAsia="仿宋_GB2312" w:cs="仿宋_GB2312"/>
          <w:color w:val="auto"/>
          <w:sz w:val="36"/>
          <w:szCs w:val="36"/>
          <w:highlight w:val="none"/>
        </w:rPr>
      </w:pPr>
    </w:p>
    <w:p w14:paraId="68A0ABEB">
      <w:pPr>
        <w:adjustRightInd w:val="0"/>
        <w:snapToGrid w:val="0"/>
        <w:jc w:val="center"/>
        <w:outlineLvl w:val="0"/>
        <w:rPr>
          <w:rFonts w:hint="eastAsia" w:ascii="方正小标宋_GBK" w:eastAsia="方正小标宋_GBK"/>
          <w:bCs/>
          <w:color w:val="auto"/>
          <w:sz w:val="72"/>
          <w:szCs w:val="72"/>
          <w:highlight w:val="none"/>
        </w:rPr>
      </w:pPr>
      <w:bookmarkStart w:id="0" w:name="_Toc22809"/>
      <w:bookmarkStart w:id="1" w:name="_Toc26242"/>
      <w:r>
        <w:rPr>
          <w:rFonts w:hint="eastAsia" w:ascii="方正小标宋_GBK" w:eastAsia="方正小标宋_GBK"/>
          <w:bCs/>
          <w:color w:val="auto"/>
          <w:sz w:val="72"/>
          <w:szCs w:val="72"/>
          <w:highlight w:val="none"/>
        </w:rPr>
        <w:t>建设项目环境影响报告表</w:t>
      </w:r>
      <w:bookmarkEnd w:id="0"/>
      <w:bookmarkEnd w:id="1"/>
    </w:p>
    <w:p w14:paraId="4F6EA2A8">
      <w:pPr>
        <w:adjustRightInd w:val="0"/>
        <w:snapToGrid w:val="0"/>
        <w:spacing w:before="192" w:beforeLines="80"/>
        <w:jc w:val="center"/>
        <w:rPr>
          <w:rFonts w:hint="eastAsia" w:ascii="楷体_GB2312" w:eastAsia="楷体_GB2312"/>
          <w:bCs/>
          <w:color w:val="auto"/>
          <w:sz w:val="48"/>
          <w:szCs w:val="48"/>
          <w:highlight w:val="none"/>
        </w:rPr>
      </w:pPr>
      <w:r>
        <w:rPr>
          <w:rFonts w:hint="eastAsia" w:ascii="楷体_GB2312" w:eastAsia="楷体_GB2312"/>
          <w:bCs/>
          <w:color w:val="auto"/>
          <w:sz w:val="48"/>
          <w:szCs w:val="48"/>
          <w:highlight w:val="none"/>
        </w:rPr>
        <w:t>（污染影响类）</w:t>
      </w:r>
    </w:p>
    <w:p w14:paraId="0C406F3A">
      <w:pPr>
        <w:adjustRightInd w:val="0"/>
        <w:snapToGrid w:val="0"/>
        <w:spacing w:line="288" w:lineRule="auto"/>
        <w:jc w:val="both"/>
        <w:outlineLvl w:val="0"/>
        <w:rPr>
          <w:rFonts w:hint="default" w:ascii="华文仿宋" w:hAnsi="华文仿宋" w:eastAsia="华文仿宋" w:cs="华文仿宋"/>
          <w:color w:val="auto"/>
          <w:kern w:val="44"/>
          <w:sz w:val="44"/>
          <w:szCs w:val="44"/>
          <w:highlight w:val="none"/>
          <w:lang w:val="en-US" w:eastAsia="zh-CN"/>
        </w:rPr>
      </w:pPr>
      <w:r>
        <w:rPr>
          <w:rFonts w:hint="eastAsia" w:ascii="华文仿宋" w:hAnsi="华文仿宋" w:eastAsia="华文仿宋" w:cs="华文仿宋"/>
          <w:color w:val="auto"/>
          <w:kern w:val="44"/>
          <w:sz w:val="44"/>
          <w:szCs w:val="44"/>
          <w:highlight w:val="none"/>
          <w:lang w:val="en-US" w:eastAsia="zh-CN"/>
        </w:rPr>
        <w:t xml:space="preserve">              </w:t>
      </w:r>
    </w:p>
    <w:p w14:paraId="24D4244A">
      <w:pPr>
        <w:jc w:val="both"/>
        <w:rPr>
          <w:rFonts w:eastAsia="仿宋"/>
          <w:color w:val="auto"/>
          <w:sz w:val="52"/>
          <w:szCs w:val="52"/>
          <w:highlight w:val="none"/>
        </w:rPr>
      </w:pPr>
    </w:p>
    <w:p w14:paraId="24069585">
      <w:pPr>
        <w:rPr>
          <w:rFonts w:eastAsia="仿宋"/>
          <w:color w:val="auto"/>
          <w:sz w:val="44"/>
          <w:szCs w:val="44"/>
          <w:highlight w:val="none"/>
        </w:rPr>
      </w:pPr>
    </w:p>
    <w:p w14:paraId="12DAFE7F">
      <w:pPr>
        <w:rPr>
          <w:rFonts w:eastAsia="仿宋"/>
          <w:color w:val="auto"/>
          <w:sz w:val="44"/>
          <w:szCs w:val="44"/>
          <w:highlight w:val="none"/>
        </w:rPr>
      </w:pPr>
    </w:p>
    <w:p w14:paraId="3DC1FEA5">
      <w:pPr>
        <w:rPr>
          <w:rFonts w:eastAsia="仿宋"/>
          <w:color w:val="auto"/>
          <w:sz w:val="44"/>
          <w:szCs w:val="44"/>
          <w:highlight w:val="none"/>
        </w:rPr>
      </w:pPr>
    </w:p>
    <w:p w14:paraId="254F9367">
      <w:pPr>
        <w:pStyle w:val="10"/>
        <w:rPr>
          <w:color w:val="auto"/>
          <w:highlight w:val="none"/>
        </w:rPr>
      </w:pPr>
    </w:p>
    <w:p w14:paraId="55A34E3B">
      <w:pPr>
        <w:pStyle w:val="9"/>
        <w:rPr>
          <w:color w:val="auto"/>
          <w:highlight w:val="none"/>
        </w:rPr>
      </w:pPr>
    </w:p>
    <w:p w14:paraId="605342D4">
      <w:pPr>
        <w:rPr>
          <w:color w:val="auto"/>
          <w:highlight w:val="none"/>
        </w:rPr>
      </w:pPr>
    </w:p>
    <w:p w14:paraId="0DFEB4F0">
      <w:pPr>
        <w:bidi w:val="0"/>
        <w:rPr>
          <w:color w:val="auto"/>
          <w:highlight w:val="none"/>
        </w:rPr>
      </w:pPr>
    </w:p>
    <w:p w14:paraId="3E1FBF9B">
      <w:pPr>
        <w:bidi w:val="0"/>
        <w:rPr>
          <w:color w:val="auto"/>
          <w:highlight w:val="none"/>
        </w:rPr>
      </w:pPr>
    </w:p>
    <w:p w14:paraId="4D491355">
      <w:pPr>
        <w:bidi w:val="0"/>
        <w:rPr>
          <w:color w:val="auto"/>
          <w:highlight w:val="none"/>
        </w:rPr>
      </w:pPr>
    </w:p>
    <w:p w14:paraId="382402E5">
      <w:pPr>
        <w:bidi w:val="0"/>
        <w:rPr>
          <w:color w:val="auto"/>
          <w:highlight w:val="none"/>
        </w:rPr>
      </w:pPr>
    </w:p>
    <w:p w14:paraId="33604196">
      <w:pPr>
        <w:bidi w:val="0"/>
        <w:rPr>
          <w:color w:val="auto"/>
          <w:highlight w:val="none"/>
        </w:rPr>
      </w:pPr>
    </w:p>
    <w:p w14:paraId="389C2278">
      <w:pPr>
        <w:bidi w:val="0"/>
        <w:rPr>
          <w:color w:val="auto"/>
          <w:highlight w:val="none"/>
        </w:rPr>
      </w:pPr>
    </w:p>
    <w:p w14:paraId="77F9DEAB">
      <w:pPr>
        <w:rPr>
          <w:rFonts w:hint="eastAsia" w:eastAsia="仿宋"/>
          <w:color w:val="auto"/>
          <w:sz w:val="44"/>
          <w:szCs w:val="44"/>
          <w:highlight w:val="none"/>
          <w:lang w:val="en-US" w:eastAsia="zh-CN"/>
        </w:rPr>
      </w:pPr>
    </w:p>
    <w:p w14:paraId="500E8123">
      <w:pPr>
        <w:adjustRightInd w:val="0"/>
        <w:snapToGrid w:val="0"/>
        <w:spacing w:line="360" w:lineRule="auto"/>
        <w:ind w:firstLine="320" w:firstLineChars="100"/>
        <w:jc w:val="both"/>
        <w:rPr>
          <w:rFonts w:hint="default" w:ascii="仿宋_GB2312" w:eastAsia="仿宋_GB2312"/>
          <w:color w:val="auto"/>
          <w:sz w:val="36"/>
          <w:szCs w:val="36"/>
          <w:highlight w:val="none"/>
          <w:u w:val="single"/>
          <w:lang w:val="en-US" w:eastAsia="zh-CN"/>
        </w:rPr>
      </w:pPr>
      <w:r>
        <w:rPr>
          <w:rFonts w:hint="eastAsia" w:ascii="仿宋_GB2312" w:eastAsia="仿宋_GB2312"/>
          <w:color w:val="auto"/>
          <w:sz w:val="32"/>
          <w:szCs w:val="32"/>
          <w:highlight w:val="none"/>
        </w:rPr>
        <w:t>项目名称：</w:t>
      </w:r>
      <w:r>
        <w:rPr>
          <w:rFonts w:hint="eastAsia" w:ascii="仿宋_GB2312" w:eastAsia="仿宋_GB2312"/>
          <w:b/>
          <w:bCs/>
          <w:color w:val="auto"/>
          <w:sz w:val="28"/>
          <w:szCs w:val="28"/>
          <w:highlight w:val="none"/>
          <w:u w:val="single"/>
          <w:lang w:val="en-US" w:eastAsia="zh-CN"/>
        </w:rPr>
        <w:t>陕西君境迈德生物医药科技有限公司研发实验室项目</w:t>
      </w:r>
    </w:p>
    <w:p w14:paraId="4257DA33">
      <w:pPr>
        <w:adjustRightInd w:val="0"/>
        <w:snapToGrid w:val="0"/>
        <w:spacing w:line="360" w:lineRule="auto"/>
        <w:ind w:firstLine="320" w:firstLineChars="100"/>
        <w:jc w:val="both"/>
        <w:rPr>
          <w:rFonts w:hint="default" w:ascii="仿宋_GB2312" w:eastAsia="仿宋_GB2312"/>
          <w:color w:val="auto"/>
          <w:sz w:val="36"/>
          <w:szCs w:val="36"/>
          <w:highlight w:val="none"/>
          <w:u w:val="single"/>
          <w:lang w:val="en-US" w:eastAsia="zh-CN"/>
        </w:rPr>
      </w:pPr>
      <w:r>
        <w:rPr>
          <w:rFonts w:hint="eastAsia" w:ascii="仿宋_GB2312" w:eastAsia="仿宋_GB2312"/>
          <w:color w:val="auto"/>
          <w:sz w:val="32"/>
          <w:szCs w:val="32"/>
          <w:highlight w:val="none"/>
        </w:rPr>
        <w:t>建设单</w:t>
      </w:r>
      <w:r>
        <w:rPr>
          <w:rFonts w:hint="eastAsia" w:ascii="仿宋_GB2312" w:hAnsi="Times New Roman" w:eastAsia="仿宋_GB2312" w:cs="Times New Roman"/>
          <w:color w:val="auto"/>
          <w:sz w:val="32"/>
          <w:szCs w:val="32"/>
          <w:highlight w:val="none"/>
        </w:rPr>
        <w:t>位</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rPr>
        <w:t>盖章</w:t>
      </w:r>
      <w:r>
        <w:rPr>
          <w:rFonts w:hint="eastAsia" w:ascii="仿宋_GB2312" w:hAnsi="Times New Roman" w:eastAsia="仿宋_GB2312" w:cs="Times New Roman"/>
          <w:color w:val="auto"/>
          <w:sz w:val="32"/>
          <w:szCs w:val="32"/>
          <w:highlight w:val="none"/>
          <w:lang w:eastAsia="zh-CN"/>
        </w:rPr>
        <w:t>）</w:t>
      </w:r>
      <w:r>
        <w:rPr>
          <w:rFonts w:hint="eastAsia" w:ascii="仿宋_GB2312" w:hAnsi="Times New Roman" w:eastAsia="仿宋_GB2312" w:cs="Times New Roman"/>
          <w:color w:val="auto"/>
          <w:sz w:val="32"/>
          <w:szCs w:val="32"/>
          <w:highlight w:val="none"/>
        </w:rPr>
        <w:t>：</w:t>
      </w:r>
      <w:r>
        <w:rPr>
          <w:rFonts w:hint="eastAsia" w:ascii="仿宋_GB2312" w:hAnsi="Times New Roman" w:eastAsia="仿宋_GB2312" w:cs="Times New Roman"/>
          <w:b/>
          <w:bCs/>
          <w:color w:val="auto"/>
          <w:sz w:val="28"/>
          <w:szCs w:val="28"/>
          <w:highlight w:val="none"/>
          <w:u w:val="single"/>
          <w:lang w:val="en-US" w:eastAsia="zh-CN"/>
        </w:rPr>
        <w:t xml:space="preserve">  陕西君境迈德生物医药科技有限公司  </w:t>
      </w:r>
    </w:p>
    <w:p w14:paraId="0E0C6AC7">
      <w:pPr>
        <w:adjustRightInd w:val="0"/>
        <w:snapToGrid w:val="0"/>
        <w:spacing w:line="360" w:lineRule="auto"/>
        <w:ind w:firstLine="320" w:firstLineChars="100"/>
        <w:jc w:val="both"/>
        <w:rPr>
          <w:rFonts w:hint="default" w:ascii="仿宋_GB2312" w:eastAsia="仿宋_GB2312"/>
          <w:color w:val="auto"/>
          <w:sz w:val="10"/>
          <w:szCs w:val="10"/>
          <w:highlight w:val="none"/>
          <w:u w:val="single"/>
          <w:lang w:val="en-US" w:eastAsia="zh-CN"/>
        </w:rPr>
      </w:pPr>
      <w:r>
        <w:rPr>
          <w:rFonts w:hint="eastAsia" w:ascii="仿宋_GB2312" w:eastAsia="仿宋_GB2312"/>
          <w:color w:val="auto"/>
          <w:sz w:val="32"/>
          <w:szCs w:val="32"/>
          <w:highlight w:val="none"/>
        </w:rPr>
        <w:t>编制日期：</w:t>
      </w:r>
      <w:r>
        <w:rPr>
          <w:rFonts w:hint="eastAsia" w:ascii="仿宋_GB2312" w:eastAsia="仿宋_GB2312"/>
          <w:color w:val="auto"/>
          <w:sz w:val="36"/>
          <w:szCs w:val="36"/>
          <w:highlight w:val="none"/>
          <w:u w:val="single"/>
        </w:rPr>
        <w:t xml:space="preserve"> </w:t>
      </w:r>
      <w:r>
        <w:rPr>
          <w:rFonts w:ascii="仿宋_GB2312" w:eastAsia="仿宋_GB2312"/>
          <w:color w:val="auto"/>
          <w:sz w:val="36"/>
          <w:szCs w:val="36"/>
          <w:highlight w:val="none"/>
          <w:u w:val="single"/>
        </w:rPr>
        <w:t xml:space="preserve">  </w:t>
      </w:r>
      <w:r>
        <w:rPr>
          <w:rFonts w:hint="eastAsia" w:ascii="仿宋_GB2312" w:eastAsia="仿宋_GB2312"/>
          <w:color w:val="auto"/>
          <w:sz w:val="36"/>
          <w:szCs w:val="36"/>
          <w:highlight w:val="none"/>
          <w:u w:val="single"/>
        </w:rPr>
        <w:t xml:space="preserve">     </w:t>
      </w:r>
      <w:r>
        <w:rPr>
          <w:rFonts w:hint="eastAsia" w:ascii="仿宋_GB2312" w:eastAsia="仿宋_GB2312"/>
          <w:color w:val="auto"/>
          <w:sz w:val="36"/>
          <w:szCs w:val="36"/>
          <w:highlight w:val="none"/>
          <w:u w:val="single"/>
          <w:lang w:val="en-US" w:eastAsia="zh-CN"/>
        </w:rPr>
        <w:t xml:space="preserve">    </w:t>
      </w:r>
      <w:r>
        <w:rPr>
          <w:rFonts w:hint="eastAsia" w:ascii="仿宋_GB2312" w:eastAsia="仿宋_GB2312" w:cs="Times New Roman"/>
          <w:b/>
          <w:bCs/>
          <w:color w:val="auto"/>
          <w:sz w:val="28"/>
          <w:szCs w:val="28"/>
          <w:highlight w:val="none"/>
          <w:u w:val="single"/>
          <w:lang w:val="en-US" w:eastAsia="zh-CN"/>
        </w:rPr>
        <w:t>2025年7月</w:t>
      </w:r>
      <w:r>
        <w:rPr>
          <w:rFonts w:hint="eastAsia" w:ascii="仿宋_GB2312" w:eastAsia="仿宋_GB2312"/>
          <w:color w:val="auto"/>
          <w:sz w:val="36"/>
          <w:szCs w:val="36"/>
          <w:highlight w:val="none"/>
          <w:u w:val="single"/>
          <w:lang w:val="en-US" w:eastAsia="zh-CN"/>
        </w:rPr>
        <w:t xml:space="preserve">           </w:t>
      </w:r>
    </w:p>
    <w:p w14:paraId="3A4E49FF">
      <w:pPr>
        <w:adjustRightInd w:val="0"/>
        <w:snapToGrid w:val="0"/>
        <w:spacing w:line="288" w:lineRule="auto"/>
        <w:rPr>
          <w:rFonts w:hint="eastAsia" w:ascii="仿宋_GB2312" w:eastAsia="仿宋_GB2312"/>
          <w:color w:val="auto"/>
          <w:sz w:val="36"/>
          <w:szCs w:val="36"/>
          <w:highlight w:val="none"/>
        </w:rPr>
      </w:pPr>
      <w:bookmarkStart w:id="2" w:name="_Hlk57884087"/>
    </w:p>
    <w:bookmarkEnd w:id="2"/>
    <w:p w14:paraId="29EDADA1">
      <w:pPr>
        <w:adjustRightInd w:val="0"/>
        <w:snapToGrid w:val="0"/>
        <w:spacing w:line="288" w:lineRule="auto"/>
        <w:jc w:val="center"/>
        <w:rPr>
          <w:rFonts w:hint="eastAsia" w:ascii="楷体_GB2312" w:eastAsia="楷体_GB2312"/>
          <w:color w:val="auto"/>
          <w:sz w:val="36"/>
          <w:szCs w:val="36"/>
          <w:highlight w:val="none"/>
        </w:rPr>
      </w:pPr>
      <w:r>
        <w:rPr>
          <w:rFonts w:hint="eastAsia" w:ascii="楷体_GB2312" w:eastAsia="楷体_GB2312"/>
          <w:color w:val="auto"/>
          <w:sz w:val="36"/>
          <w:szCs w:val="36"/>
          <w:highlight w:val="none"/>
        </w:rPr>
        <w:t>中华人民共和国生态环境部制</w:t>
      </w:r>
    </w:p>
    <w:p w14:paraId="7077D0CC">
      <w:pPr>
        <w:pStyle w:val="3"/>
        <w:rPr>
          <w:rFonts w:hint="eastAsia"/>
          <w:color w:val="auto"/>
        </w:rPr>
      </w:pPr>
    </w:p>
    <w:p w14:paraId="0209A99A">
      <w:pPr>
        <w:rPr>
          <w:rFonts w:hint="default" w:ascii="Times New Roman" w:hAnsi="Times New Roman" w:cs="Times New Roman"/>
          <w:color w:val="auto"/>
        </w:rPr>
      </w:pPr>
    </w:p>
    <w:p w14:paraId="1D389AD5">
      <w:pPr>
        <w:rPr>
          <w:rFonts w:hint="default" w:ascii="Times New Roman" w:hAnsi="Times New Roman" w:cs="Times New Roman"/>
          <w:color w:val="auto"/>
        </w:rPr>
      </w:pPr>
    </w:p>
    <w:p w14:paraId="4A2E782A">
      <w:pPr>
        <w:rPr>
          <w:rFonts w:hint="default" w:ascii="Times New Roman" w:hAnsi="Times New Roman" w:cs="Times New Roman"/>
          <w:color w:val="auto"/>
        </w:rPr>
      </w:pPr>
    </w:p>
    <w:p w14:paraId="5CEFE23B">
      <w:pPr>
        <w:spacing w:before="0" w:beforeLines="0" w:after="0" w:afterLines="0" w:line="240" w:lineRule="auto"/>
        <w:ind w:left="0" w:leftChars="0" w:right="0" w:rightChars="0" w:firstLine="0" w:firstLineChars="0"/>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目</w:t>
      </w:r>
      <w:r>
        <w:rPr>
          <w:rFonts w:hint="default" w:ascii="Times New Roman" w:hAnsi="Times New Roman" w:eastAsia="方正小标宋简体" w:cs="Times New Roman"/>
          <w:color w:val="auto"/>
          <w:sz w:val="44"/>
          <w:szCs w:val="44"/>
          <w:lang w:val="en-US" w:eastAsia="zh-CN"/>
        </w:rPr>
        <w:t xml:space="preserve"> </w:t>
      </w:r>
      <w:r>
        <w:rPr>
          <w:rFonts w:hint="default" w:ascii="Times New Roman" w:hAnsi="Times New Roman" w:eastAsia="方正小标宋简体" w:cs="Times New Roman"/>
          <w:color w:val="auto"/>
          <w:sz w:val="44"/>
          <w:szCs w:val="44"/>
        </w:rPr>
        <w:t>录</w:t>
      </w:r>
    </w:p>
    <w:p w14:paraId="50C4770B">
      <w:pPr>
        <w:pStyle w:val="21"/>
        <w:tabs>
          <w:tab w:val="right" w:leader="dot" w:pos="8844"/>
        </w:tabs>
        <w:spacing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TOC \o "1-1" \h \u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_Toc21072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val="0"/>
          <w:color w:val="auto"/>
          <w:sz w:val="28"/>
          <w:szCs w:val="28"/>
          <w:highlight w:val="none"/>
        </w:rPr>
        <w:t>一、建设项目基本情况</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_Toc21072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- 1 -</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14:paraId="622082AA">
      <w:pPr>
        <w:pStyle w:val="21"/>
        <w:tabs>
          <w:tab w:val="right" w:leader="dot" w:pos="8844"/>
        </w:tabs>
        <w:spacing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_Toc25661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val="0"/>
          <w:color w:val="auto"/>
          <w:sz w:val="28"/>
          <w:szCs w:val="28"/>
          <w:highlight w:val="none"/>
        </w:rPr>
        <w:t>二、建设项目工程分析</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_Toc25661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- 21 -</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14:paraId="5B9CEA60">
      <w:pPr>
        <w:pStyle w:val="21"/>
        <w:tabs>
          <w:tab w:val="right" w:leader="dot" w:pos="8844"/>
        </w:tabs>
        <w:spacing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_Toc15215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val="0"/>
          <w:color w:val="auto"/>
          <w:sz w:val="28"/>
          <w:szCs w:val="28"/>
          <w:highlight w:val="none"/>
        </w:rPr>
        <w:t>三、区域环境质量现状、环境保护目标及评价标准</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_Toc15215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- 60 -</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14:paraId="40BB90A3">
      <w:pPr>
        <w:pStyle w:val="21"/>
        <w:tabs>
          <w:tab w:val="right" w:leader="dot" w:pos="8844"/>
        </w:tabs>
        <w:spacing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_Toc25436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val="0"/>
          <w:color w:val="auto"/>
          <w:sz w:val="28"/>
          <w:szCs w:val="28"/>
          <w:highlight w:val="none"/>
        </w:rPr>
        <w:t>四、主要环境影响和保护措施</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_Toc25436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- 66 -</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14:paraId="18359F6D">
      <w:pPr>
        <w:pStyle w:val="21"/>
        <w:tabs>
          <w:tab w:val="right" w:leader="dot" w:pos="8844"/>
        </w:tabs>
        <w:spacing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_Toc20731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val="0"/>
          <w:color w:val="auto"/>
          <w:sz w:val="28"/>
          <w:szCs w:val="28"/>
          <w:highlight w:val="none"/>
        </w:rPr>
        <w:t>五、环境保护措施监督检查清单</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_Toc20731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- 97 -</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14:paraId="188BBFB2">
      <w:pPr>
        <w:pStyle w:val="21"/>
        <w:tabs>
          <w:tab w:val="right" w:leader="dot" w:pos="8844"/>
        </w:tabs>
        <w:spacing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HYPERLINK \l _Toc19992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val="0"/>
          <w:color w:val="auto"/>
          <w:sz w:val="28"/>
          <w:szCs w:val="28"/>
          <w:highlight w:val="none"/>
        </w:rPr>
        <w:t>六、结论</w:t>
      </w:r>
      <w:r>
        <w:rPr>
          <w:rFonts w:hint="default" w:ascii="Times New Roman" w:hAnsi="Times New Roman" w:eastAsia="宋体" w:cs="Times New Roman"/>
          <w:color w:val="auto"/>
          <w:sz w:val="28"/>
          <w:szCs w:val="28"/>
        </w:rPr>
        <w:tab/>
      </w: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PAGEREF _Toc19992 \h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color w:val="auto"/>
          <w:sz w:val="28"/>
          <w:szCs w:val="28"/>
        </w:rPr>
        <w:t>- 99 -</w:t>
      </w:r>
      <w:r>
        <w:rPr>
          <w:rFonts w:hint="default" w:ascii="Times New Roman" w:hAnsi="Times New Roman" w:eastAsia="宋体" w:cs="Times New Roman"/>
          <w:color w:val="auto"/>
          <w:sz w:val="28"/>
          <w:szCs w:val="28"/>
        </w:rPr>
        <w:fldChar w:fldCharType="end"/>
      </w:r>
      <w:r>
        <w:rPr>
          <w:rFonts w:hint="default" w:ascii="Times New Roman" w:hAnsi="Times New Roman" w:eastAsia="宋体" w:cs="Times New Roman"/>
          <w:color w:val="auto"/>
          <w:sz w:val="28"/>
          <w:szCs w:val="28"/>
        </w:rPr>
        <w:fldChar w:fldCharType="end"/>
      </w:r>
    </w:p>
    <w:p w14:paraId="441E470D">
      <w:pPr>
        <w:keepNext w:val="0"/>
        <w:keepLines w:val="0"/>
        <w:pageBreakBefore w:val="0"/>
        <w:kinsoku/>
        <w:wordWrap/>
        <w:overflowPunct/>
        <w:topLinePunct w:val="0"/>
        <w:autoSpaceDE/>
        <w:autoSpaceDN/>
        <w:bidi w:val="0"/>
        <w:adjustRightInd/>
        <w:snapToGrid/>
        <w:spacing w:line="240" w:lineRule="auto"/>
        <w:ind w:right="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rPr>
        <w:fldChar w:fldCharType="end"/>
      </w:r>
      <w:r>
        <w:rPr>
          <w:rFonts w:hint="default" w:ascii="Times New Roman" w:hAnsi="Times New Roman" w:eastAsia="宋体" w:cs="Times New Roman"/>
          <w:b/>
          <w:bCs/>
          <w:color w:val="auto"/>
          <w:sz w:val="24"/>
          <w:szCs w:val="24"/>
          <w:highlight w:val="none"/>
          <w:lang w:val="en-US" w:eastAsia="zh-CN"/>
        </w:rPr>
        <w:t>附件：</w:t>
      </w:r>
    </w:p>
    <w:p w14:paraId="51DC59F2">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附件1：委托书</w:t>
      </w:r>
    </w:p>
    <w:p w14:paraId="76711220">
      <w:pPr>
        <w:pStyle w:val="10"/>
        <w:keepNext w:val="0"/>
        <w:keepLines w:val="0"/>
        <w:pageBreakBefore w:val="0"/>
        <w:kinsoku/>
        <w:wordWrap/>
        <w:overflowPunct/>
        <w:topLinePunct w:val="0"/>
        <w:autoSpaceDE/>
        <w:autoSpaceDN/>
        <w:bidi w:val="0"/>
        <w:adjustRightInd w:val="0"/>
        <w:snapToGrid w:val="0"/>
        <w:spacing w:before="0" w:after="0" w:line="520" w:lineRule="exact"/>
        <w:ind w:right="0"/>
        <w:textAlignment w:val="auto"/>
        <w:rPr>
          <w:rFonts w:hint="default" w:ascii="Times New Roman" w:hAnsi="Times New Roman" w:eastAsia="宋体" w:cs="Times New Roman"/>
          <w:b w:val="0"/>
          <w:bCs w:val="0"/>
          <w:color w:val="auto"/>
          <w:kern w:val="2"/>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rPr>
        <w:t xml:space="preserve">附件2：备案确认书 </w:t>
      </w:r>
    </w:p>
    <w:p w14:paraId="555387B7">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附件3：</w:t>
      </w:r>
      <w:r>
        <w:rPr>
          <w:rFonts w:hint="eastAsia" w:cs="Times New Roman"/>
          <w:b w:val="0"/>
          <w:bCs w:val="0"/>
          <w:color w:val="auto"/>
          <w:sz w:val="24"/>
          <w:szCs w:val="24"/>
          <w:highlight w:val="none"/>
          <w:lang w:val="en-US" w:eastAsia="zh-CN"/>
        </w:rPr>
        <w:t>现有工程</w:t>
      </w:r>
      <w:r>
        <w:rPr>
          <w:rFonts w:hint="default" w:ascii="Times New Roman" w:hAnsi="Times New Roman" w:eastAsia="宋体" w:cs="Times New Roman"/>
          <w:b w:val="0"/>
          <w:bCs w:val="0"/>
          <w:color w:val="auto"/>
          <w:sz w:val="24"/>
          <w:szCs w:val="24"/>
          <w:highlight w:val="none"/>
          <w:lang w:val="en-US" w:eastAsia="zh-CN"/>
        </w:rPr>
        <w:t>环评批复</w:t>
      </w:r>
      <w:r>
        <w:rPr>
          <w:rFonts w:hint="eastAsia" w:cs="Times New Roman"/>
          <w:b w:val="0"/>
          <w:bCs w:val="0"/>
          <w:color w:val="auto"/>
          <w:sz w:val="24"/>
          <w:szCs w:val="24"/>
          <w:highlight w:val="none"/>
          <w:lang w:val="en-US" w:eastAsia="zh-CN"/>
        </w:rPr>
        <w:t>及排污登记</w:t>
      </w:r>
    </w:p>
    <w:p w14:paraId="2A22F624">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附件4：陕西省“三线一单”生态环境管控单元对照分析报告</w:t>
      </w:r>
    </w:p>
    <w:p w14:paraId="5C3ADC91">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附件5：危废处置协议</w:t>
      </w:r>
    </w:p>
    <w:p w14:paraId="7977260B">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附件6：环保验收监测报告及验收意见</w:t>
      </w:r>
    </w:p>
    <w:p w14:paraId="36D3E7A0">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附件7：现状监测报告</w:t>
      </w:r>
    </w:p>
    <w:p w14:paraId="6AB35D23">
      <w:pPr>
        <w:keepNext w:val="0"/>
        <w:keepLines w:val="0"/>
        <w:pageBreakBefore w:val="0"/>
        <w:kinsoku/>
        <w:wordWrap/>
        <w:overflowPunct/>
        <w:topLinePunct w:val="0"/>
        <w:autoSpaceDE/>
        <w:autoSpaceDN/>
        <w:bidi w:val="0"/>
        <w:adjustRightInd w:val="0"/>
        <w:snapToGrid w:val="0"/>
        <w:spacing w:line="520" w:lineRule="exact"/>
        <w:ind w:right="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附件8：引用例行监测报告（含废气、噪声、废水）</w:t>
      </w:r>
    </w:p>
    <w:p w14:paraId="172B66FD">
      <w:pPr>
        <w:pStyle w:val="10"/>
        <w:keepNext w:val="0"/>
        <w:keepLines w:val="0"/>
        <w:pageBreakBefore w:val="0"/>
        <w:kinsoku/>
        <w:wordWrap/>
        <w:overflowPunct/>
        <w:topLinePunct w:val="0"/>
        <w:autoSpaceDE/>
        <w:autoSpaceDN/>
        <w:bidi w:val="0"/>
        <w:adjustRightInd/>
        <w:spacing w:before="0" w:after="0" w:line="520" w:lineRule="exact"/>
        <w:ind w:right="0"/>
        <w:textAlignment w:val="auto"/>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rPr>
        <w:t>附图：</w:t>
      </w:r>
    </w:p>
    <w:p w14:paraId="37EF865E">
      <w:pPr>
        <w:keepNext w:val="0"/>
        <w:keepLines w:val="0"/>
        <w:pageBreakBefore w:val="0"/>
        <w:kinsoku/>
        <w:wordWrap/>
        <w:overflowPunct/>
        <w:topLinePunct w:val="0"/>
        <w:autoSpaceDE/>
        <w:autoSpaceDN/>
        <w:bidi w:val="0"/>
        <w:adjustRightInd/>
        <w:spacing w:line="520" w:lineRule="exact"/>
        <w:ind w:right="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附图1-1：地理位置图</w:t>
      </w:r>
    </w:p>
    <w:p w14:paraId="36A44B4C">
      <w:pPr>
        <w:keepNext w:val="0"/>
        <w:keepLines w:val="0"/>
        <w:pageBreakBefore w:val="0"/>
        <w:kinsoku/>
        <w:wordWrap/>
        <w:overflowPunct/>
        <w:topLinePunct w:val="0"/>
        <w:autoSpaceDE/>
        <w:autoSpaceDN/>
        <w:bidi w:val="0"/>
        <w:adjustRightInd/>
        <w:spacing w:line="520" w:lineRule="exact"/>
        <w:ind w:right="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附图1-2：项目</w:t>
      </w:r>
      <w:r>
        <w:rPr>
          <w:rFonts w:hint="eastAsia" w:ascii="Times New Roman" w:hAnsi="Times New Roman" w:eastAsia="宋体" w:cs="Times New Roman"/>
          <w:color w:val="auto"/>
          <w:sz w:val="24"/>
          <w:szCs w:val="24"/>
          <w:highlight w:val="none"/>
          <w:lang w:val="en-US" w:eastAsia="zh-CN"/>
        </w:rPr>
        <w:t>用地性质</w:t>
      </w:r>
      <w:r>
        <w:rPr>
          <w:rFonts w:hint="eastAsia" w:cs="Times New Roman"/>
          <w:color w:val="auto"/>
          <w:sz w:val="24"/>
          <w:szCs w:val="24"/>
          <w:highlight w:val="none"/>
          <w:lang w:val="en-US" w:eastAsia="zh-CN"/>
        </w:rPr>
        <w:t>图</w:t>
      </w:r>
    </w:p>
    <w:p w14:paraId="57DC30CD">
      <w:pPr>
        <w:pStyle w:val="10"/>
        <w:keepNext w:val="0"/>
        <w:keepLines w:val="0"/>
        <w:pageBreakBefore w:val="0"/>
        <w:kinsoku/>
        <w:wordWrap/>
        <w:overflowPunct/>
        <w:topLinePunct w:val="0"/>
        <w:autoSpaceDE/>
        <w:autoSpaceDN/>
        <w:bidi w:val="0"/>
        <w:adjustRightInd/>
        <w:spacing w:before="0" w:after="0" w:line="520" w:lineRule="exact"/>
        <w:ind w:right="0"/>
        <w:textAlignment w:val="auto"/>
        <w:rPr>
          <w:rFonts w:hint="default" w:ascii="Times New Roman" w:hAnsi="Times New Roman" w:eastAsia="宋体" w:cs="Times New Roman"/>
          <w:color w:val="auto"/>
          <w:kern w:val="2"/>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rPr>
        <w:t>附图2：项目总平面布置图</w:t>
      </w:r>
    </w:p>
    <w:p w14:paraId="0FB0EE63">
      <w:pPr>
        <w:keepNext w:val="0"/>
        <w:keepLines w:val="0"/>
        <w:pageBreakBefore w:val="0"/>
        <w:kinsoku/>
        <w:wordWrap/>
        <w:overflowPunct/>
        <w:topLinePunct w:val="0"/>
        <w:autoSpaceDE/>
        <w:autoSpaceDN/>
        <w:bidi w:val="0"/>
        <w:adjustRightInd/>
        <w:spacing w:line="520" w:lineRule="exact"/>
        <w:ind w:right="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附图3：四邻关系示意图</w:t>
      </w:r>
    </w:p>
    <w:p w14:paraId="485EC293">
      <w:pPr>
        <w:keepNext w:val="0"/>
        <w:keepLines w:val="0"/>
        <w:pageBreakBefore w:val="0"/>
        <w:kinsoku/>
        <w:wordWrap/>
        <w:overflowPunct/>
        <w:topLinePunct w:val="0"/>
        <w:autoSpaceDE/>
        <w:autoSpaceDN/>
        <w:bidi w:val="0"/>
        <w:adjustRightInd/>
        <w:spacing w:line="520" w:lineRule="exact"/>
        <w:ind w:right="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附图4：环境监测布点示意图</w:t>
      </w:r>
    </w:p>
    <w:p w14:paraId="47240547">
      <w:pPr>
        <w:keepNext w:val="0"/>
        <w:keepLines w:val="0"/>
        <w:pageBreakBefore w:val="0"/>
        <w:kinsoku/>
        <w:wordWrap/>
        <w:overflowPunct/>
        <w:topLinePunct w:val="0"/>
        <w:autoSpaceDE/>
        <w:autoSpaceDN/>
        <w:bidi w:val="0"/>
        <w:adjustRightInd/>
        <w:spacing w:line="520" w:lineRule="exact"/>
        <w:ind w:right="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附图5：声功能区划图</w:t>
      </w:r>
    </w:p>
    <w:p w14:paraId="27955FBA">
      <w:pPr>
        <w:spacing w:line="520" w:lineRule="exact"/>
        <w:rPr>
          <w:rFonts w:hint="default" w:ascii="Times New Roman" w:hAnsi="Times New Roman" w:eastAsia="宋体" w:cs="Times New Roman"/>
          <w:color w:val="auto"/>
          <w:sz w:val="24"/>
          <w:szCs w:val="24"/>
          <w:highlight w:val="none"/>
          <w:lang w:val="en-US" w:eastAsia="zh-CN"/>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FullWidth" w:start="3"/>
          <w:cols w:space="720" w:num="1"/>
          <w:docGrid w:linePitch="312" w:charSpace="0"/>
        </w:sectPr>
      </w:pPr>
      <w:r>
        <w:rPr>
          <w:rFonts w:hint="default" w:ascii="Times New Roman" w:hAnsi="Times New Roman" w:cs="Times New Roman"/>
          <w:color w:val="auto"/>
          <w:sz w:val="24"/>
          <w:szCs w:val="24"/>
          <w:highlight w:val="none"/>
          <w:lang w:val="en-US" w:eastAsia="zh-CN"/>
        </w:rPr>
        <w:t>附图6：项目废气收集系统示意图</w:t>
      </w:r>
    </w:p>
    <w:p w14:paraId="06C12FED">
      <w:pPr>
        <w:pStyle w:val="2"/>
        <w:bidi w:val="0"/>
        <w:ind w:left="0" w:leftChars="0" w:firstLine="0" w:firstLineChars="0"/>
        <w:jc w:val="center"/>
        <w:rPr>
          <w:rFonts w:hint="eastAsia" w:ascii="黑体" w:hAnsi="黑体" w:eastAsia="黑体"/>
          <w:snapToGrid w:val="0"/>
          <w:color w:val="auto"/>
          <w:szCs w:val="30"/>
          <w:highlight w:val="none"/>
        </w:rPr>
      </w:pPr>
      <w:bookmarkStart w:id="3" w:name="_Toc602"/>
      <w:bookmarkStart w:id="4" w:name="_Toc21072"/>
      <w:r>
        <w:rPr>
          <w:rFonts w:hint="eastAsia"/>
          <w:b w:val="0"/>
          <w:bCs w:val="0"/>
          <w:color w:val="auto"/>
          <w:highlight w:val="none"/>
        </w:rPr>
        <w:t>一、建设项目基本情况</w:t>
      </w:r>
      <w:bookmarkEnd w:id="3"/>
      <w:bookmarkEnd w:id="4"/>
    </w:p>
    <w:tbl>
      <w:tblPr>
        <w:tblStyle w:val="30"/>
        <w:tblW w:w="91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2156"/>
        <w:gridCol w:w="2213"/>
        <w:gridCol w:w="1725"/>
        <w:gridCol w:w="3075"/>
      </w:tblGrid>
      <w:tr w14:paraId="036958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2156" w:type="dxa"/>
            <w:noWrap w:val="0"/>
            <w:tcMar>
              <w:top w:w="16" w:type="dxa"/>
              <w:left w:w="16" w:type="dxa"/>
              <w:right w:w="16" w:type="dxa"/>
            </w:tcMar>
            <w:vAlign w:val="center"/>
          </w:tcPr>
          <w:p w14:paraId="3D241F03">
            <w:pPr>
              <w:adjustRightInd w:val="0"/>
              <w:snapToGrid w:val="0"/>
              <w:jc w:val="center"/>
              <w:rPr>
                <w:b/>
                <w:bCs/>
                <w:color w:val="auto"/>
                <w:sz w:val="24"/>
                <w:szCs w:val="24"/>
                <w:highlight w:val="none"/>
              </w:rPr>
            </w:pPr>
            <w:r>
              <w:rPr>
                <w:b/>
                <w:bCs/>
                <w:color w:val="auto"/>
                <w:sz w:val="24"/>
                <w:szCs w:val="24"/>
                <w:highlight w:val="none"/>
              </w:rPr>
              <w:t>建设项目名称</w:t>
            </w:r>
          </w:p>
        </w:tc>
        <w:tc>
          <w:tcPr>
            <w:tcW w:w="7013" w:type="dxa"/>
            <w:gridSpan w:val="3"/>
            <w:noWrap w:val="0"/>
            <w:vAlign w:val="center"/>
          </w:tcPr>
          <w:p w14:paraId="3BFC788B">
            <w:pPr>
              <w:adjustRightInd w:val="0"/>
              <w:snapToGrid w:val="0"/>
              <w:jc w:val="center"/>
              <w:rPr>
                <w:rFonts w:hint="default"/>
                <w:color w:val="auto"/>
                <w:sz w:val="24"/>
                <w:szCs w:val="24"/>
                <w:highlight w:val="none"/>
                <w:lang w:val="en-US"/>
              </w:rPr>
            </w:pPr>
            <w:r>
              <w:rPr>
                <w:rFonts w:hint="eastAsia"/>
                <w:color w:val="auto"/>
                <w:sz w:val="24"/>
                <w:szCs w:val="24"/>
                <w:highlight w:val="none"/>
                <w:lang w:val="en-US" w:eastAsia="zh-CN"/>
              </w:rPr>
              <w:t>陕西君境迈德生物医药科技有限公司研发实验室项目</w:t>
            </w:r>
          </w:p>
        </w:tc>
      </w:tr>
      <w:tr w14:paraId="7B6721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5AAB46F4">
            <w:pPr>
              <w:adjustRightInd w:val="0"/>
              <w:snapToGrid w:val="0"/>
              <w:jc w:val="center"/>
              <w:rPr>
                <w:b/>
                <w:bCs/>
                <w:color w:val="auto"/>
                <w:sz w:val="24"/>
                <w:szCs w:val="24"/>
                <w:highlight w:val="none"/>
              </w:rPr>
            </w:pPr>
            <w:r>
              <w:rPr>
                <w:b/>
                <w:bCs/>
                <w:color w:val="auto"/>
                <w:sz w:val="24"/>
                <w:szCs w:val="24"/>
                <w:highlight w:val="none"/>
              </w:rPr>
              <w:t>项目代码</w:t>
            </w:r>
          </w:p>
        </w:tc>
        <w:tc>
          <w:tcPr>
            <w:tcW w:w="7013" w:type="dxa"/>
            <w:gridSpan w:val="3"/>
            <w:noWrap w:val="0"/>
            <w:vAlign w:val="center"/>
          </w:tcPr>
          <w:p w14:paraId="16759453">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2110-611203-04-01-348406</w:t>
            </w:r>
          </w:p>
        </w:tc>
      </w:tr>
      <w:tr w14:paraId="180B2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2F763AE9">
            <w:pPr>
              <w:adjustRightInd w:val="0"/>
              <w:snapToGrid w:val="0"/>
              <w:jc w:val="center"/>
              <w:rPr>
                <w:b/>
                <w:bCs/>
                <w:color w:val="auto"/>
                <w:sz w:val="24"/>
                <w:szCs w:val="24"/>
                <w:highlight w:val="none"/>
              </w:rPr>
            </w:pPr>
            <w:r>
              <w:rPr>
                <w:b/>
                <w:bCs/>
                <w:color w:val="auto"/>
                <w:sz w:val="24"/>
                <w:szCs w:val="24"/>
                <w:highlight w:val="none"/>
              </w:rPr>
              <w:t>建设单位联系人</w:t>
            </w:r>
          </w:p>
        </w:tc>
        <w:tc>
          <w:tcPr>
            <w:tcW w:w="2213" w:type="dxa"/>
            <w:noWrap w:val="0"/>
            <w:vAlign w:val="center"/>
          </w:tcPr>
          <w:p w14:paraId="3EEBBBF6">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李闯</w:t>
            </w:r>
          </w:p>
        </w:tc>
        <w:tc>
          <w:tcPr>
            <w:tcW w:w="1725" w:type="dxa"/>
            <w:noWrap w:val="0"/>
            <w:vAlign w:val="center"/>
          </w:tcPr>
          <w:p w14:paraId="564F0638">
            <w:pPr>
              <w:adjustRightInd w:val="0"/>
              <w:snapToGrid w:val="0"/>
              <w:jc w:val="center"/>
              <w:rPr>
                <w:color w:val="auto"/>
                <w:sz w:val="24"/>
                <w:szCs w:val="24"/>
                <w:highlight w:val="none"/>
              </w:rPr>
            </w:pPr>
            <w:r>
              <w:rPr>
                <w:color w:val="auto"/>
                <w:sz w:val="24"/>
                <w:szCs w:val="24"/>
                <w:highlight w:val="none"/>
              </w:rPr>
              <w:t>联系方式</w:t>
            </w:r>
          </w:p>
        </w:tc>
        <w:tc>
          <w:tcPr>
            <w:tcW w:w="3075" w:type="dxa"/>
            <w:noWrap w:val="0"/>
            <w:vAlign w:val="center"/>
          </w:tcPr>
          <w:p w14:paraId="20352684">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15249238608</w:t>
            </w:r>
          </w:p>
        </w:tc>
      </w:tr>
      <w:tr w14:paraId="00BA82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18F31F0C">
            <w:pPr>
              <w:adjustRightInd w:val="0"/>
              <w:snapToGrid w:val="0"/>
              <w:jc w:val="center"/>
              <w:rPr>
                <w:b/>
                <w:bCs/>
                <w:color w:val="auto"/>
                <w:sz w:val="24"/>
                <w:szCs w:val="24"/>
                <w:highlight w:val="none"/>
              </w:rPr>
            </w:pPr>
            <w:r>
              <w:rPr>
                <w:b/>
                <w:bCs/>
                <w:color w:val="auto"/>
                <w:sz w:val="24"/>
                <w:szCs w:val="24"/>
                <w:highlight w:val="none"/>
              </w:rPr>
              <w:t>建设地点</w:t>
            </w:r>
          </w:p>
        </w:tc>
        <w:tc>
          <w:tcPr>
            <w:tcW w:w="7013" w:type="dxa"/>
            <w:gridSpan w:val="3"/>
            <w:noWrap w:val="0"/>
            <w:vAlign w:val="center"/>
          </w:tcPr>
          <w:p w14:paraId="034CC156">
            <w:pPr>
              <w:adjustRightInd w:val="0"/>
              <w:snapToGrid w:val="0"/>
              <w:jc w:val="center"/>
              <w:rPr>
                <w:rFonts w:hint="default" w:eastAsia="宋体"/>
                <w:color w:val="auto"/>
                <w:sz w:val="24"/>
                <w:szCs w:val="24"/>
                <w:highlight w:val="none"/>
                <w:lang w:val="en-US" w:eastAsia="zh-CN"/>
              </w:rPr>
            </w:pPr>
            <w:r>
              <w:rPr>
                <w:rFonts w:hint="eastAsia" w:ascii="Times New Roman" w:hAnsi="Times New Roman" w:eastAsia="宋体" w:cs="Times New Roman"/>
                <w:color w:val="auto"/>
                <w:sz w:val="24"/>
                <w:szCs w:val="24"/>
                <w:highlight w:val="none"/>
                <w:u w:val="none"/>
                <w:lang w:val="en-US" w:eastAsia="zh-CN"/>
              </w:rPr>
              <w:t>陕西省西咸新区沣东新城石化大道西段106号沣东科技产业园36号楼10601、10602室</w:t>
            </w:r>
          </w:p>
        </w:tc>
      </w:tr>
      <w:tr w14:paraId="321CBF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5135DD4A">
            <w:pPr>
              <w:adjustRightInd w:val="0"/>
              <w:snapToGrid w:val="0"/>
              <w:jc w:val="center"/>
              <w:rPr>
                <w:b/>
                <w:bCs/>
                <w:color w:val="auto"/>
                <w:sz w:val="24"/>
                <w:szCs w:val="24"/>
                <w:highlight w:val="none"/>
              </w:rPr>
            </w:pPr>
            <w:r>
              <w:rPr>
                <w:b/>
                <w:bCs/>
                <w:color w:val="auto"/>
                <w:sz w:val="24"/>
                <w:szCs w:val="24"/>
                <w:highlight w:val="none"/>
              </w:rPr>
              <w:t>地理坐标</w:t>
            </w:r>
          </w:p>
        </w:tc>
        <w:tc>
          <w:tcPr>
            <w:tcW w:w="7013" w:type="dxa"/>
            <w:gridSpan w:val="3"/>
            <w:noWrap w:val="0"/>
            <w:vAlign w:val="center"/>
          </w:tcPr>
          <w:p w14:paraId="6CC97726">
            <w:pPr>
              <w:pStyle w:val="8"/>
              <w:jc w:val="center"/>
              <w:rPr>
                <w:rFonts w:hint="default" w:eastAsia="宋体"/>
                <w:color w:val="auto"/>
                <w:sz w:val="24"/>
                <w:szCs w:val="24"/>
                <w:highlight w:val="none"/>
                <w:lang w:val="en-US" w:eastAsia="zh-CN"/>
              </w:rPr>
            </w:pPr>
            <w:r>
              <w:rPr>
                <w:rFonts w:hint="eastAsia" w:ascii="宋体" w:hAnsi="宋体" w:cs="宋体"/>
                <w:color w:val="auto"/>
                <w:sz w:val="24"/>
                <w:szCs w:val="24"/>
                <w:highlight w:val="none"/>
              </w:rPr>
              <w:t>（</w:t>
            </w:r>
            <w:r>
              <w:rPr>
                <w:rFonts w:hint="default" w:ascii="Times New Roman" w:hAnsi="Times New Roman" w:cs="Times New Roman"/>
                <w:color w:val="auto"/>
                <w:sz w:val="24"/>
                <w:szCs w:val="24"/>
                <w:highlight w:val="none"/>
                <w:u w:val="single"/>
                <w:lang w:val="en-US" w:eastAsia="zh-CN"/>
              </w:rPr>
              <w:t>108</w:t>
            </w:r>
            <w:r>
              <w:rPr>
                <w:rFonts w:hint="eastAsia" w:ascii="宋体" w:hAnsi="宋体" w:cs="宋体"/>
                <w:color w:val="auto"/>
                <w:sz w:val="24"/>
                <w:szCs w:val="24"/>
                <w:highlight w:val="none"/>
              </w:rPr>
              <w:t>度</w:t>
            </w:r>
            <w:r>
              <w:rPr>
                <w:rFonts w:hint="default" w:ascii="Times New Roman" w:hAnsi="Times New Roman" w:cs="Times New Roman"/>
                <w:color w:val="auto"/>
                <w:sz w:val="24"/>
                <w:szCs w:val="24"/>
                <w:highlight w:val="none"/>
                <w:u w:val="single"/>
                <w:lang w:val="en-US" w:eastAsia="zh-CN"/>
              </w:rPr>
              <w:t>48</w:t>
            </w:r>
            <w:r>
              <w:rPr>
                <w:rFonts w:hint="eastAsia" w:ascii="宋体" w:hAnsi="宋体" w:cs="宋体"/>
                <w:color w:val="auto"/>
                <w:sz w:val="24"/>
                <w:szCs w:val="24"/>
                <w:highlight w:val="none"/>
              </w:rPr>
              <w:t>分</w:t>
            </w:r>
            <w:r>
              <w:rPr>
                <w:rFonts w:hint="default" w:ascii="Times New Roman" w:hAnsi="Times New Roman" w:cs="Times New Roman"/>
                <w:color w:val="auto"/>
                <w:sz w:val="24"/>
                <w:szCs w:val="24"/>
                <w:highlight w:val="none"/>
                <w:u w:val="single"/>
                <w:lang w:val="en-US" w:eastAsia="zh-CN"/>
              </w:rPr>
              <w:t>22.610</w:t>
            </w:r>
            <w:r>
              <w:rPr>
                <w:rFonts w:hint="eastAsia" w:ascii="宋体" w:hAnsi="宋体" w:cs="宋体"/>
                <w:color w:val="auto"/>
                <w:sz w:val="24"/>
                <w:szCs w:val="24"/>
                <w:highlight w:val="none"/>
              </w:rPr>
              <w:t>秒，</w:t>
            </w:r>
            <w:r>
              <w:rPr>
                <w:rFonts w:hint="default" w:ascii="Times New Roman" w:hAnsi="Times New Roman" w:cs="Times New Roman"/>
                <w:color w:val="auto"/>
                <w:sz w:val="24"/>
                <w:szCs w:val="24"/>
                <w:highlight w:val="none"/>
                <w:u w:val="single"/>
                <w:lang w:val="en-US" w:eastAsia="zh-CN"/>
              </w:rPr>
              <w:t>34</w:t>
            </w:r>
            <w:r>
              <w:rPr>
                <w:rFonts w:hint="eastAsia" w:ascii="宋体" w:hAnsi="宋体" w:cs="宋体"/>
                <w:color w:val="auto"/>
                <w:sz w:val="24"/>
                <w:szCs w:val="24"/>
                <w:highlight w:val="none"/>
              </w:rPr>
              <w:t>度</w:t>
            </w:r>
            <w:r>
              <w:rPr>
                <w:rFonts w:hint="default" w:ascii="Times New Roman" w:hAnsi="Times New Roman" w:cs="Times New Roman"/>
                <w:color w:val="auto"/>
                <w:sz w:val="24"/>
                <w:szCs w:val="24"/>
                <w:highlight w:val="none"/>
                <w:u w:val="single"/>
                <w:lang w:val="en-US" w:eastAsia="zh-CN"/>
              </w:rPr>
              <w:t>19</w:t>
            </w:r>
            <w:r>
              <w:rPr>
                <w:rFonts w:hint="eastAsia" w:ascii="宋体" w:hAnsi="宋体" w:cs="宋体"/>
                <w:color w:val="auto"/>
                <w:sz w:val="24"/>
                <w:szCs w:val="24"/>
                <w:highlight w:val="none"/>
              </w:rPr>
              <w:t>分</w:t>
            </w:r>
            <w:r>
              <w:rPr>
                <w:rFonts w:hint="default" w:ascii="Times New Roman" w:hAnsi="Times New Roman" w:cs="Times New Roman"/>
                <w:color w:val="auto"/>
                <w:sz w:val="24"/>
                <w:szCs w:val="24"/>
                <w:highlight w:val="none"/>
                <w:u w:val="single"/>
                <w:lang w:val="en-US" w:eastAsia="zh-CN"/>
              </w:rPr>
              <w:t>28.410</w:t>
            </w:r>
            <w:r>
              <w:rPr>
                <w:rFonts w:hint="eastAsia" w:ascii="宋体" w:hAnsi="宋体" w:cs="宋体"/>
                <w:color w:val="auto"/>
                <w:sz w:val="24"/>
                <w:szCs w:val="24"/>
                <w:highlight w:val="none"/>
              </w:rPr>
              <w:t>秒）</w:t>
            </w:r>
          </w:p>
        </w:tc>
      </w:tr>
      <w:tr w14:paraId="6A0CC0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6F07DFE9">
            <w:pPr>
              <w:adjustRightInd w:val="0"/>
              <w:snapToGrid w:val="0"/>
              <w:jc w:val="center"/>
              <w:rPr>
                <w:b/>
                <w:bCs/>
                <w:color w:val="auto"/>
                <w:sz w:val="24"/>
                <w:szCs w:val="24"/>
                <w:highlight w:val="none"/>
              </w:rPr>
            </w:pPr>
            <w:r>
              <w:rPr>
                <w:b/>
                <w:bCs/>
                <w:color w:val="auto"/>
                <w:sz w:val="24"/>
                <w:szCs w:val="24"/>
                <w:highlight w:val="none"/>
              </w:rPr>
              <w:t>国民经济</w:t>
            </w:r>
          </w:p>
          <w:p w14:paraId="3C5E11F2">
            <w:pPr>
              <w:adjustRightInd w:val="0"/>
              <w:snapToGrid w:val="0"/>
              <w:jc w:val="center"/>
              <w:rPr>
                <w:b/>
                <w:bCs/>
                <w:color w:val="auto"/>
                <w:sz w:val="24"/>
                <w:szCs w:val="24"/>
                <w:highlight w:val="none"/>
              </w:rPr>
            </w:pPr>
            <w:r>
              <w:rPr>
                <w:b/>
                <w:bCs/>
                <w:color w:val="auto"/>
                <w:sz w:val="24"/>
                <w:szCs w:val="24"/>
                <w:highlight w:val="none"/>
              </w:rPr>
              <w:t>行业类别</w:t>
            </w:r>
          </w:p>
        </w:tc>
        <w:tc>
          <w:tcPr>
            <w:tcW w:w="2213" w:type="dxa"/>
            <w:noWrap w:val="0"/>
            <w:vAlign w:val="center"/>
          </w:tcPr>
          <w:p w14:paraId="07F436D4">
            <w:pPr>
              <w:adjustRightInd w:val="0"/>
              <w:snapToGrid w:val="0"/>
              <w:jc w:val="center"/>
              <w:rPr>
                <w:rFonts w:hint="default" w:eastAsia="宋体"/>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M7340医学研究和试验发展</w:t>
            </w:r>
          </w:p>
        </w:tc>
        <w:tc>
          <w:tcPr>
            <w:tcW w:w="1725" w:type="dxa"/>
            <w:noWrap w:val="0"/>
            <w:vAlign w:val="center"/>
          </w:tcPr>
          <w:p w14:paraId="71BFD198">
            <w:pPr>
              <w:adjustRightInd w:val="0"/>
              <w:snapToGrid w:val="0"/>
              <w:jc w:val="center"/>
              <w:rPr>
                <w:rFonts w:ascii="Times New Roman" w:hAnsi="Times New Roman" w:eastAsia="宋体" w:cs="Times New Roman"/>
                <w:b/>
                <w:bCs/>
                <w:color w:val="auto"/>
                <w:sz w:val="24"/>
                <w:szCs w:val="24"/>
                <w:highlight w:val="none"/>
              </w:rPr>
            </w:pPr>
            <w:bookmarkStart w:id="5" w:name="_Hlk49843745"/>
            <w:r>
              <w:rPr>
                <w:rFonts w:ascii="Times New Roman" w:hAnsi="Times New Roman" w:eastAsia="宋体" w:cs="Times New Roman"/>
                <w:b/>
                <w:bCs/>
                <w:color w:val="auto"/>
                <w:sz w:val="24"/>
                <w:szCs w:val="24"/>
                <w:highlight w:val="none"/>
              </w:rPr>
              <w:t>建设项目</w:t>
            </w:r>
          </w:p>
          <w:p w14:paraId="19358406">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行业类别</w:t>
            </w:r>
            <w:bookmarkEnd w:id="5"/>
          </w:p>
        </w:tc>
        <w:tc>
          <w:tcPr>
            <w:tcW w:w="3075" w:type="dxa"/>
            <w:noWrap w:val="0"/>
            <w:vAlign w:val="center"/>
          </w:tcPr>
          <w:p w14:paraId="270BD149">
            <w:pPr>
              <w:adjustRightInd w:val="0"/>
              <w:snapToGrid w:val="0"/>
              <w:rPr>
                <w:rFonts w:hint="default"/>
                <w:color w:val="auto"/>
                <w:sz w:val="24"/>
                <w:szCs w:val="24"/>
                <w:highlight w:val="none"/>
                <w:lang w:val="en-US"/>
              </w:rPr>
            </w:pPr>
            <w:r>
              <w:rPr>
                <w:rFonts w:hint="eastAsia"/>
                <w:color w:val="auto"/>
                <w:sz w:val="24"/>
                <w:szCs w:val="24"/>
                <w:highlight w:val="none"/>
                <w:lang w:val="en-US" w:eastAsia="zh-CN"/>
              </w:rPr>
              <w:t>四十五、研究和实验发展“98专业实验室、研发（试验）基地，其他（不产生实验废气、废水、危险废物的除外）”</w:t>
            </w:r>
          </w:p>
        </w:tc>
      </w:tr>
      <w:tr w14:paraId="5BA408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7A7B2861">
            <w:pPr>
              <w:adjustRightInd w:val="0"/>
              <w:snapToGrid w:val="0"/>
              <w:jc w:val="center"/>
              <w:rPr>
                <w:b/>
                <w:bCs/>
                <w:color w:val="auto"/>
                <w:sz w:val="24"/>
                <w:szCs w:val="24"/>
                <w:highlight w:val="none"/>
              </w:rPr>
            </w:pPr>
            <w:r>
              <w:rPr>
                <w:b/>
                <w:bCs/>
                <w:color w:val="auto"/>
                <w:sz w:val="24"/>
                <w:szCs w:val="24"/>
                <w:highlight w:val="none"/>
              </w:rPr>
              <w:t>建设性质</w:t>
            </w:r>
          </w:p>
        </w:tc>
        <w:tc>
          <w:tcPr>
            <w:tcW w:w="2213" w:type="dxa"/>
            <w:noWrap w:val="0"/>
            <w:vAlign w:val="center"/>
          </w:tcPr>
          <w:p w14:paraId="6451AED8">
            <w:pPr>
              <w:jc w:val="left"/>
              <w:rPr>
                <w:color w:val="auto"/>
                <w:sz w:val="24"/>
                <w:szCs w:val="24"/>
                <w:highlight w:val="none"/>
              </w:rPr>
            </w:pPr>
            <w:r>
              <w:rPr>
                <w:rFonts w:hint="eastAsia" w:ascii="宋体" w:hAnsi="宋体"/>
                <w:color w:val="auto"/>
                <w:sz w:val="24"/>
                <w:szCs w:val="24"/>
                <w:highlight w:val="none"/>
                <w:lang w:eastAsia="zh-CN"/>
              </w:rPr>
              <w:sym w:font="Wingdings 2" w:char="00A3"/>
            </w:r>
            <w:r>
              <w:rPr>
                <w:color w:val="auto"/>
                <w:sz w:val="24"/>
                <w:szCs w:val="24"/>
                <w:highlight w:val="none"/>
              </w:rPr>
              <w:t>新建</w:t>
            </w:r>
          </w:p>
          <w:p w14:paraId="1908B415">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改建</w:t>
            </w:r>
          </w:p>
          <w:p w14:paraId="051D6B90">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扩建</w:t>
            </w:r>
          </w:p>
          <w:p w14:paraId="20CD4018">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技术改造</w:t>
            </w:r>
          </w:p>
        </w:tc>
        <w:tc>
          <w:tcPr>
            <w:tcW w:w="1725" w:type="dxa"/>
            <w:noWrap w:val="0"/>
            <w:vAlign w:val="center"/>
          </w:tcPr>
          <w:p w14:paraId="2E9D42A4">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建设项目</w:t>
            </w:r>
          </w:p>
          <w:p w14:paraId="7AC99D58">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申报情形</w:t>
            </w:r>
          </w:p>
        </w:tc>
        <w:tc>
          <w:tcPr>
            <w:tcW w:w="3075" w:type="dxa"/>
            <w:noWrap w:val="0"/>
            <w:vAlign w:val="center"/>
          </w:tcPr>
          <w:p w14:paraId="732E5601">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首次申报项目</w:t>
            </w:r>
          </w:p>
          <w:p w14:paraId="528098E2">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不予批准后再次申报项目</w:t>
            </w:r>
          </w:p>
          <w:p w14:paraId="27A5B9AE">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超五年重新审核项目</w:t>
            </w:r>
          </w:p>
          <w:p w14:paraId="336BDD5A">
            <w:pPr>
              <w:jc w:val="left"/>
              <w:rPr>
                <w:color w:val="auto"/>
                <w:sz w:val="24"/>
                <w:szCs w:val="24"/>
                <w:highlight w:val="none"/>
              </w:rPr>
            </w:pPr>
            <w:r>
              <w:rPr>
                <w:rFonts w:hint="eastAsia" w:ascii="宋体" w:hAnsi="宋体"/>
                <w:color w:val="auto"/>
                <w:sz w:val="24"/>
                <w:szCs w:val="24"/>
                <w:highlight w:val="none"/>
                <w:lang w:eastAsia="zh-CN"/>
              </w:rPr>
              <w:t>□</w:t>
            </w:r>
            <w:r>
              <w:rPr>
                <w:color w:val="auto"/>
                <w:sz w:val="24"/>
                <w:szCs w:val="24"/>
                <w:highlight w:val="none"/>
              </w:rPr>
              <w:t>重大变动重新报批项目</w:t>
            </w:r>
          </w:p>
        </w:tc>
      </w:tr>
      <w:tr w14:paraId="4156B5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283E7210">
            <w:pPr>
              <w:adjustRightInd w:val="0"/>
              <w:snapToGrid w:val="0"/>
              <w:jc w:val="center"/>
              <w:rPr>
                <w:b/>
                <w:bCs/>
                <w:color w:val="auto"/>
                <w:sz w:val="24"/>
                <w:szCs w:val="24"/>
                <w:highlight w:val="none"/>
              </w:rPr>
            </w:pPr>
            <w:r>
              <w:rPr>
                <w:b/>
                <w:bCs/>
                <w:color w:val="auto"/>
                <w:sz w:val="24"/>
                <w:szCs w:val="24"/>
                <w:highlight w:val="none"/>
              </w:rPr>
              <w:t>项目审批</w:t>
            </w:r>
          </w:p>
          <w:p w14:paraId="19B91D42">
            <w:pPr>
              <w:adjustRightInd w:val="0"/>
              <w:snapToGrid w:val="0"/>
              <w:jc w:val="center"/>
              <w:rPr>
                <w:b/>
                <w:bCs/>
                <w:color w:val="auto"/>
                <w:sz w:val="24"/>
                <w:szCs w:val="24"/>
                <w:highlight w:val="none"/>
              </w:rPr>
            </w:pPr>
            <w:r>
              <w:rPr>
                <w:b/>
                <w:bCs/>
                <w:color w:val="auto"/>
                <w:sz w:val="24"/>
                <w:szCs w:val="24"/>
                <w:highlight w:val="none"/>
              </w:rPr>
              <w:t>（核准/备案）部门（选填）</w:t>
            </w:r>
          </w:p>
        </w:tc>
        <w:tc>
          <w:tcPr>
            <w:tcW w:w="2213" w:type="dxa"/>
            <w:noWrap w:val="0"/>
            <w:vAlign w:val="center"/>
          </w:tcPr>
          <w:p w14:paraId="30676298">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陕西西咸新区沣东新城管委会</w:t>
            </w:r>
          </w:p>
        </w:tc>
        <w:tc>
          <w:tcPr>
            <w:tcW w:w="1725" w:type="dxa"/>
            <w:noWrap w:val="0"/>
            <w:vAlign w:val="center"/>
          </w:tcPr>
          <w:p w14:paraId="7E35E59E">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项目审批</w:t>
            </w:r>
          </w:p>
          <w:p w14:paraId="78957402">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（核准/备案）文号（选填）</w:t>
            </w:r>
          </w:p>
        </w:tc>
        <w:tc>
          <w:tcPr>
            <w:tcW w:w="3075" w:type="dxa"/>
            <w:noWrap w:val="0"/>
            <w:vAlign w:val="center"/>
          </w:tcPr>
          <w:p w14:paraId="77E65B2B">
            <w:pPr>
              <w:adjustRightInd w:val="0"/>
              <w:snapToGrid w:val="0"/>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w:t>
            </w:r>
          </w:p>
        </w:tc>
      </w:tr>
      <w:tr w14:paraId="425D00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51BC2F38">
            <w:pPr>
              <w:adjustRightInd w:val="0"/>
              <w:snapToGrid w:val="0"/>
              <w:jc w:val="center"/>
              <w:rPr>
                <w:b/>
                <w:bCs/>
                <w:color w:val="auto"/>
                <w:sz w:val="24"/>
                <w:szCs w:val="24"/>
                <w:highlight w:val="none"/>
              </w:rPr>
            </w:pPr>
            <w:r>
              <w:rPr>
                <w:b/>
                <w:bCs/>
                <w:color w:val="auto"/>
                <w:sz w:val="24"/>
                <w:szCs w:val="24"/>
                <w:highlight w:val="none"/>
              </w:rPr>
              <w:t>总投资（万元）</w:t>
            </w:r>
          </w:p>
        </w:tc>
        <w:tc>
          <w:tcPr>
            <w:tcW w:w="2213" w:type="dxa"/>
            <w:noWrap w:val="0"/>
            <w:vAlign w:val="center"/>
          </w:tcPr>
          <w:p w14:paraId="4FF12585">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50</w:t>
            </w:r>
          </w:p>
        </w:tc>
        <w:tc>
          <w:tcPr>
            <w:tcW w:w="1725" w:type="dxa"/>
            <w:noWrap w:val="0"/>
            <w:tcMar>
              <w:top w:w="16" w:type="dxa"/>
              <w:left w:w="16" w:type="dxa"/>
              <w:right w:w="16" w:type="dxa"/>
            </w:tcMar>
            <w:vAlign w:val="center"/>
          </w:tcPr>
          <w:p w14:paraId="7D9E1F83">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环保投资（万元）</w:t>
            </w:r>
          </w:p>
        </w:tc>
        <w:tc>
          <w:tcPr>
            <w:tcW w:w="3075" w:type="dxa"/>
            <w:noWrap w:val="0"/>
            <w:vAlign w:val="center"/>
          </w:tcPr>
          <w:p w14:paraId="1B7E38CB">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21</w:t>
            </w:r>
          </w:p>
        </w:tc>
      </w:tr>
      <w:tr w14:paraId="56263E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tcMar>
              <w:top w:w="16" w:type="dxa"/>
              <w:left w:w="16" w:type="dxa"/>
              <w:right w:w="16" w:type="dxa"/>
            </w:tcMar>
            <w:vAlign w:val="center"/>
          </w:tcPr>
          <w:p w14:paraId="38D2B632">
            <w:pPr>
              <w:adjustRightInd w:val="0"/>
              <w:snapToGrid w:val="0"/>
              <w:jc w:val="center"/>
              <w:rPr>
                <w:b/>
                <w:bCs/>
                <w:color w:val="auto"/>
                <w:sz w:val="24"/>
                <w:szCs w:val="24"/>
                <w:highlight w:val="none"/>
              </w:rPr>
            </w:pPr>
            <w:r>
              <w:rPr>
                <w:b/>
                <w:bCs/>
                <w:color w:val="auto"/>
                <w:sz w:val="24"/>
                <w:szCs w:val="24"/>
                <w:highlight w:val="none"/>
              </w:rPr>
              <w:t>环保投资占比（%）</w:t>
            </w:r>
          </w:p>
        </w:tc>
        <w:tc>
          <w:tcPr>
            <w:tcW w:w="2213" w:type="dxa"/>
            <w:noWrap w:val="0"/>
            <w:vAlign w:val="center"/>
          </w:tcPr>
          <w:p w14:paraId="2BBFEDFB">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42</w:t>
            </w:r>
          </w:p>
        </w:tc>
        <w:tc>
          <w:tcPr>
            <w:tcW w:w="1725" w:type="dxa"/>
            <w:noWrap w:val="0"/>
            <w:tcMar>
              <w:top w:w="16" w:type="dxa"/>
              <w:left w:w="16" w:type="dxa"/>
              <w:right w:w="16" w:type="dxa"/>
            </w:tcMar>
            <w:vAlign w:val="center"/>
          </w:tcPr>
          <w:p w14:paraId="38E99793">
            <w:pPr>
              <w:adjustRightInd w:val="0"/>
              <w:snapToGrid w:val="0"/>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施工工期</w:t>
            </w:r>
          </w:p>
        </w:tc>
        <w:tc>
          <w:tcPr>
            <w:tcW w:w="3075" w:type="dxa"/>
            <w:noWrap w:val="0"/>
            <w:vAlign w:val="center"/>
          </w:tcPr>
          <w:p w14:paraId="61D0898D">
            <w:pPr>
              <w:adjustRightInd w:val="0"/>
              <w:snapToGrid w:val="0"/>
              <w:jc w:val="center"/>
              <w:rPr>
                <w:rFonts w:hint="default"/>
                <w:color w:val="auto"/>
                <w:sz w:val="24"/>
                <w:szCs w:val="24"/>
                <w:highlight w:val="none"/>
                <w:lang w:val="en-US" w:eastAsia="zh-CN"/>
              </w:rPr>
            </w:pPr>
            <w:r>
              <w:rPr>
                <w:rFonts w:hint="eastAsia"/>
                <w:color w:val="auto"/>
                <w:sz w:val="24"/>
                <w:szCs w:val="24"/>
                <w:highlight w:val="none"/>
                <w:lang w:val="en-US" w:eastAsia="zh-CN"/>
              </w:rPr>
              <w:t>/</w:t>
            </w:r>
          </w:p>
        </w:tc>
      </w:tr>
      <w:tr w14:paraId="3F17A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2156" w:type="dxa"/>
            <w:noWrap w:val="0"/>
            <w:tcMar>
              <w:top w:w="16" w:type="dxa"/>
              <w:left w:w="16" w:type="dxa"/>
              <w:right w:w="16" w:type="dxa"/>
            </w:tcMar>
            <w:vAlign w:val="center"/>
          </w:tcPr>
          <w:p w14:paraId="49F931C7">
            <w:pPr>
              <w:adjustRightInd w:val="0"/>
              <w:snapToGrid w:val="0"/>
              <w:jc w:val="center"/>
              <w:rPr>
                <w:b/>
                <w:bCs/>
                <w:color w:val="auto"/>
                <w:sz w:val="24"/>
                <w:szCs w:val="24"/>
                <w:highlight w:val="none"/>
              </w:rPr>
            </w:pPr>
            <w:r>
              <w:rPr>
                <w:b/>
                <w:bCs/>
                <w:color w:val="auto"/>
                <w:sz w:val="24"/>
                <w:szCs w:val="24"/>
                <w:highlight w:val="none"/>
              </w:rPr>
              <w:t>是否开工建设</w:t>
            </w:r>
          </w:p>
        </w:tc>
        <w:tc>
          <w:tcPr>
            <w:tcW w:w="2213" w:type="dxa"/>
            <w:noWrap w:val="0"/>
            <w:vAlign w:val="center"/>
          </w:tcPr>
          <w:p w14:paraId="6D1F11F7">
            <w:pPr>
              <w:adjustRightInd w:val="0"/>
              <w:snapToGrid w:val="0"/>
              <w:jc w:val="both"/>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否</w:t>
            </w:r>
          </w:p>
          <w:p w14:paraId="73AE25D0">
            <w:pPr>
              <w:adjustRightInd w:val="0"/>
              <w:snapToGrid w:val="0"/>
              <w:jc w:val="both"/>
              <w:rPr>
                <w:rFonts w:hint="default" w:eastAsia="宋体"/>
                <w:color w:val="auto"/>
                <w:sz w:val="24"/>
                <w:szCs w:val="24"/>
                <w:highlight w:val="none"/>
                <w:lang w:val="en-US" w:eastAsia="zh-CN"/>
              </w:rPr>
            </w:pP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是</w:t>
            </w:r>
            <w:r>
              <w:rPr>
                <w:rFonts w:hint="eastAsia" w:cs="Times New Roman"/>
                <w:color w:val="auto"/>
                <w:sz w:val="24"/>
                <w:szCs w:val="24"/>
                <w:highlight w:val="none"/>
                <w:lang w:val="en-US" w:eastAsia="zh-CN"/>
              </w:rPr>
              <w:t>：</w:t>
            </w:r>
            <w:r>
              <w:rPr>
                <w:rFonts w:hint="eastAsia" w:cs="Times New Roman"/>
                <w:color w:val="auto"/>
                <w:sz w:val="22"/>
                <w:szCs w:val="22"/>
                <w:highlight w:val="none"/>
                <w:u w:val="single"/>
                <w:lang w:val="en-US" w:eastAsia="zh-CN"/>
              </w:rPr>
              <w:t>由于项目在运营中随市场需求增加扩大了实验规模，建设单位按要求进行自我整改，故未收到处罚</w:t>
            </w:r>
            <w:r>
              <w:rPr>
                <w:rFonts w:hint="eastAsia" w:cs="Times New Roman"/>
                <w:color w:val="auto"/>
                <w:sz w:val="20"/>
                <w:szCs w:val="20"/>
                <w:highlight w:val="none"/>
                <w:u w:val="single"/>
                <w:lang w:val="en-US" w:eastAsia="zh-CN"/>
              </w:rPr>
              <w:t xml:space="preserve"> </w:t>
            </w:r>
            <w:r>
              <w:rPr>
                <w:rFonts w:hint="eastAsia" w:cs="Times New Roman"/>
                <w:color w:val="auto"/>
                <w:sz w:val="22"/>
                <w:szCs w:val="22"/>
                <w:highlight w:val="none"/>
                <w:u w:val="single"/>
                <w:lang w:val="en-US" w:eastAsia="zh-CN"/>
              </w:rPr>
              <w:t xml:space="preserve">  </w:t>
            </w:r>
            <w:r>
              <w:rPr>
                <w:rFonts w:hint="eastAsia" w:cs="Times New Roman"/>
                <w:color w:val="auto"/>
                <w:sz w:val="24"/>
                <w:szCs w:val="24"/>
                <w:highlight w:val="none"/>
                <w:u w:val="single"/>
                <w:lang w:val="en-US" w:eastAsia="zh-CN"/>
              </w:rPr>
              <w:t xml:space="preserve">  </w:t>
            </w:r>
            <w:r>
              <w:rPr>
                <w:rFonts w:hint="eastAsia" w:cs="Times New Roman"/>
                <w:color w:val="auto"/>
                <w:sz w:val="24"/>
                <w:szCs w:val="24"/>
                <w:highlight w:val="none"/>
                <w:u w:val="none"/>
                <w:lang w:val="en-US" w:eastAsia="zh-CN"/>
              </w:rPr>
              <w:t xml:space="preserve">    </w:t>
            </w:r>
          </w:p>
        </w:tc>
        <w:tc>
          <w:tcPr>
            <w:tcW w:w="1725" w:type="dxa"/>
            <w:noWrap w:val="0"/>
            <w:tcMar>
              <w:top w:w="16" w:type="dxa"/>
              <w:left w:w="16" w:type="dxa"/>
              <w:right w:w="16" w:type="dxa"/>
            </w:tcMar>
            <w:vAlign w:val="center"/>
          </w:tcPr>
          <w:p w14:paraId="1BCAEC6E">
            <w:pPr>
              <w:adjustRightInd w:val="0"/>
              <w:snapToGrid w:val="0"/>
              <w:ind w:firstLine="241" w:firstLineChars="100"/>
              <w:jc w:val="center"/>
              <w:rPr>
                <w:rFonts w:hint="default" w:eastAsia="宋体"/>
                <w:color w:val="auto"/>
                <w:sz w:val="24"/>
                <w:szCs w:val="24"/>
                <w:highlight w:val="none"/>
                <w:lang w:val="en-US" w:eastAsia="zh-CN"/>
              </w:rPr>
            </w:pPr>
            <w:r>
              <w:rPr>
                <w:rFonts w:ascii="Times New Roman" w:hAnsi="Times New Roman" w:eastAsia="宋体" w:cs="Times New Roman"/>
                <w:b/>
                <w:bCs/>
                <w:color w:val="auto"/>
                <w:sz w:val="24"/>
                <w:szCs w:val="24"/>
                <w:highlight w:val="none"/>
              </w:rPr>
              <w:t>用地面积（m</w:t>
            </w:r>
            <w:r>
              <w:rPr>
                <w:rFonts w:ascii="Times New Roman" w:hAnsi="Times New Roman" w:eastAsia="宋体" w:cs="Times New Roman"/>
                <w:b/>
                <w:bCs/>
                <w:color w:val="auto"/>
                <w:sz w:val="24"/>
                <w:szCs w:val="24"/>
                <w:highlight w:val="none"/>
                <w:vertAlign w:val="superscript"/>
              </w:rPr>
              <w:t>2</w:t>
            </w:r>
            <w:r>
              <w:rPr>
                <w:rFonts w:ascii="Times New Roman" w:hAnsi="Times New Roman" w:eastAsia="宋体" w:cs="Times New Roman"/>
                <w:b/>
                <w:bCs/>
                <w:color w:val="auto"/>
                <w:sz w:val="24"/>
                <w:szCs w:val="24"/>
                <w:highlight w:val="none"/>
              </w:rPr>
              <w:t>）</w:t>
            </w:r>
          </w:p>
        </w:tc>
        <w:tc>
          <w:tcPr>
            <w:tcW w:w="3075" w:type="dxa"/>
            <w:noWrap w:val="0"/>
            <w:tcMar>
              <w:top w:w="16" w:type="dxa"/>
              <w:left w:w="16" w:type="dxa"/>
              <w:right w:w="16" w:type="dxa"/>
            </w:tcMar>
            <w:vAlign w:val="center"/>
          </w:tcPr>
          <w:p w14:paraId="3CDF3A0D">
            <w:pPr>
              <w:adjustRightInd w:val="0"/>
              <w:snapToGrid w:val="0"/>
              <w:jc w:val="center"/>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不新增占地面积</w:t>
            </w:r>
          </w:p>
        </w:tc>
      </w:tr>
      <w:tr w14:paraId="6575DC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81" w:hRule="atLeast"/>
          <w:jc w:val="center"/>
        </w:trPr>
        <w:tc>
          <w:tcPr>
            <w:tcW w:w="2156" w:type="dxa"/>
            <w:noWrap w:val="0"/>
            <w:vAlign w:val="center"/>
          </w:tcPr>
          <w:p w14:paraId="24857289">
            <w:pPr>
              <w:autoSpaceDE w:val="0"/>
              <w:autoSpaceDN w:val="0"/>
              <w:adjustRightInd w:val="0"/>
              <w:snapToGrid w:val="0"/>
              <w:jc w:val="center"/>
              <w:rPr>
                <w:b/>
                <w:bCs/>
                <w:color w:val="auto"/>
                <w:kern w:val="0"/>
                <w:sz w:val="24"/>
                <w:szCs w:val="24"/>
                <w:highlight w:val="none"/>
              </w:rPr>
            </w:pPr>
            <w:r>
              <w:rPr>
                <w:b/>
                <w:bCs/>
                <w:color w:val="auto"/>
                <w:kern w:val="0"/>
                <w:sz w:val="24"/>
                <w:szCs w:val="24"/>
                <w:highlight w:val="none"/>
              </w:rPr>
              <w:t>专项评价设置情况</w:t>
            </w:r>
          </w:p>
        </w:tc>
        <w:tc>
          <w:tcPr>
            <w:tcW w:w="7013" w:type="dxa"/>
            <w:gridSpan w:val="3"/>
            <w:noWrap w:val="0"/>
            <w:vAlign w:val="center"/>
          </w:tcPr>
          <w:p w14:paraId="3C847056">
            <w:pPr>
              <w:jc w:val="center"/>
              <w:rPr>
                <w:rFonts w:hint="eastAsia"/>
                <w:color w:val="auto"/>
                <w:sz w:val="24"/>
                <w:szCs w:val="24"/>
                <w:highlight w:val="none"/>
                <w:lang w:eastAsia="zh-CN"/>
              </w:rPr>
            </w:pPr>
            <w:r>
              <w:rPr>
                <w:rFonts w:hint="eastAsia"/>
                <w:color w:val="auto"/>
                <w:sz w:val="24"/>
                <w:szCs w:val="24"/>
                <w:highlight w:val="none"/>
                <w:lang w:val="en-US" w:eastAsia="zh-CN"/>
              </w:rPr>
              <w:t>无</w:t>
            </w:r>
          </w:p>
        </w:tc>
      </w:tr>
      <w:tr w14:paraId="58BA83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vAlign w:val="center"/>
          </w:tcPr>
          <w:p w14:paraId="7C6A0210">
            <w:pPr>
              <w:autoSpaceDE w:val="0"/>
              <w:autoSpaceDN w:val="0"/>
              <w:adjustRightInd w:val="0"/>
              <w:snapToGrid w:val="0"/>
              <w:jc w:val="center"/>
              <w:rPr>
                <w:b/>
                <w:bCs/>
                <w:color w:val="auto"/>
                <w:sz w:val="24"/>
                <w:szCs w:val="24"/>
                <w:highlight w:val="none"/>
              </w:rPr>
            </w:pPr>
            <w:r>
              <w:rPr>
                <w:b/>
                <w:bCs/>
                <w:color w:val="auto"/>
                <w:sz w:val="24"/>
                <w:szCs w:val="24"/>
                <w:highlight w:val="none"/>
              </w:rPr>
              <w:t>规划情况</w:t>
            </w:r>
          </w:p>
        </w:tc>
        <w:tc>
          <w:tcPr>
            <w:tcW w:w="7013" w:type="dxa"/>
            <w:gridSpan w:val="3"/>
            <w:noWrap w:val="0"/>
            <w:vAlign w:val="center"/>
          </w:tcPr>
          <w:p w14:paraId="6758993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default"/>
                <w:color w:val="auto"/>
                <w:sz w:val="24"/>
                <w:szCs w:val="24"/>
                <w:highlight w:val="none"/>
                <w:lang w:val="en-US" w:eastAsia="zh-CN"/>
              </w:rPr>
            </w:pPr>
            <w:r>
              <w:rPr>
                <w:rFonts w:hint="eastAsia"/>
                <w:b/>
                <w:bCs/>
                <w:color w:val="auto"/>
                <w:sz w:val="24"/>
                <w:highlight w:val="none"/>
              </w:rPr>
              <w:t>规划文件名称：《西咸新区-沣东新城分区规划（2010-2020）》</w:t>
            </w:r>
          </w:p>
        </w:tc>
      </w:tr>
      <w:tr w14:paraId="34E87E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6" w:type="dxa"/>
            <w:noWrap w:val="0"/>
            <w:vAlign w:val="center"/>
          </w:tcPr>
          <w:p w14:paraId="309395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sz w:val="24"/>
                <w:szCs w:val="24"/>
                <w:highlight w:val="none"/>
              </w:rPr>
            </w:pPr>
            <w:r>
              <w:rPr>
                <w:b/>
                <w:bCs/>
                <w:color w:val="auto"/>
                <w:sz w:val="24"/>
                <w:szCs w:val="24"/>
                <w:highlight w:val="none"/>
              </w:rPr>
              <w:t>规划环境影响</w:t>
            </w:r>
          </w:p>
          <w:p w14:paraId="4127D94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auto"/>
                <w:kern w:val="0"/>
                <w:sz w:val="24"/>
                <w:szCs w:val="24"/>
                <w:highlight w:val="none"/>
              </w:rPr>
            </w:pPr>
            <w:r>
              <w:rPr>
                <w:b/>
                <w:bCs/>
                <w:color w:val="auto"/>
                <w:sz w:val="24"/>
                <w:szCs w:val="24"/>
                <w:highlight w:val="none"/>
              </w:rPr>
              <w:t>评价情况</w:t>
            </w:r>
          </w:p>
        </w:tc>
        <w:tc>
          <w:tcPr>
            <w:tcW w:w="7013" w:type="dxa"/>
            <w:gridSpan w:val="3"/>
            <w:noWrap w:val="0"/>
            <w:vAlign w:val="center"/>
          </w:tcPr>
          <w:p w14:paraId="75E26AA6">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color w:val="auto"/>
                <w:sz w:val="24"/>
                <w:szCs w:val="24"/>
                <w:highlight w:val="none"/>
              </w:rPr>
            </w:pPr>
            <w:r>
              <w:rPr>
                <w:rFonts w:hint="eastAsia"/>
                <w:b/>
                <w:bCs/>
                <w:color w:val="auto"/>
                <w:sz w:val="24"/>
                <w:szCs w:val="24"/>
                <w:highlight w:val="none"/>
                <w:lang w:val="en-US" w:eastAsia="zh-CN"/>
              </w:rPr>
              <w:t>1.</w:t>
            </w:r>
            <w:r>
              <w:rPr>
                <w:rFonts w:hint="eastAsia"/>
                <w:b/>
                <w:bCs/>
                <w:color w:val="auto"/>
                <w:sz w:val="24"/>
                <w:szCs w:val="24"/>
                <w:highlight w:val="none"/>
              </w:rPr>
              <w:t>规划环评文件名称：</w:t>
            </w:r>
            <w:r>
              <w:rPr>
                <w:rFonts w:hint="eastAsia"/>
                <w:color w:val="auto"/>
                <w:sz w:val="24"/>
                <w:szCs w:val="24"/>
                <w:highlight w:val="none"/>
              </w:rPr>
              <w:t>《</w:t>
            </w:r>
            <w:r>
              <w:rPr>
                <w:color w:val="auto"/>
                <w:sz w:val="24"/>
                <w:szCs w:val="24"/>
                <w:highlight w:val="none"/>
              </w:rPr>
              <w:t>西咸新区</w:t>
            </w:r>
            <w:r>
              <w:rPr>
                <w:rFonts w:hint="eastAsia"/>
                <w:color w:val="auto"/>
                <w:sz w:val="24"/>
                <w:szCs w:val="24"/>
                <w:highlight w:val="none"/>
              </w:rPr>
              <w:t>-</w:t>
            </w:r>
            <w:r>
              <w:rPr>
                <w:color w:val="auto"/>
                <w:sz w:val="24"/>
                <w:szCs w:val="24"/>
                <w:highlight w:val="none"/>
              </w:rPr>
              <w:t>沣东新城分区规划（2010-2020）环境影响报告书</w:t>
            </w:r>
            <w:r>
              <w:rPr>
                <w:rFonts w:hint="eastAsia"/>
                <w:color w:val="auto"/>
                <w:sz w:val="24"/>
                <w:szCs w:val="24"/>
                <w:highlight w:val="none"/>
              </w:rPr>
              <w:t>》；</w:t>
            </w:r>
          </w:p>
          <w:p w14:paraId="733680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4"/>
                <w:szCs w:val="24"/>
                <w:highlight w:val="none"/>
              </w:rPr>
            </w:pPr>
            <w:r>
              <w:rPr>
                <w:rFonts w:hint="eastAsia"/>
                <w:b/>
                <w:bCs/>
                <w:color w:val="auto"/>
                <w:sz w:val="24"/>
                <w:szCs w:val="24"/>
                <w:highlight w:val="none"/>
                <w:lang w:val="en-US" w:eastAsia="zh-CN"/>
              </w:rPr>
              <w:t>2.召集</w:t>
            </w:r>
            <w:r>
              <w:rPr>
                <w:rFonts w:hint="eastAsia"/>
                <w:b/>
                <w:bCs/>
                <w:color w:val="auto"/>
                <w:sz w:val="24"/>
                <w:szCs w:val="24"/>
                <w:highlight w:val="none"/>
              </w:rPr>
              <w:t>审查机关</w:t>
            </w:r>
            <w:r>
              <w:rPr>
                <w:rFonts w:hint="eastAsia"/>
                <w:color w:val="auto"/>
                <w:sz w:val="24"/>
                <w:szCs w:val="24"/>
                <w:highlight w:val="none"/>
              </w:rPr>
              <w:t>：</w:t>
            </w:r>
            <w:r>
              <w:rPr>
                <w:rFonts w:hint="eastAsia"/>
                <w:color w:val="auto"/>
                <w:sz w:val="24"/>
                <w:szCs w:val="24"/>
                <w:highlight w:val="none"/>
                <w:lang w:eastAsia="zh-CN"/>
              </w:rPr>
              <w:t>原</w:t>
            </w:r>
            <w:r>
              <w:rPr>
                <w:rFonts w:hint="eastAsia"/>
                <w:color w:val="auto"/>
                <w:sz w:val="24"/>
                <w:szCs w:val="24"/>
                <w:highlight w:val="none"/>
              </w:rPr>
              <w:t>西安市环境保护局；</w:t>
            </w:r>
          </w:p>
          <w:p w14:paraId="525B37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4"/>
                <w:szCs w:val="24"/>
                <w:highlight w:val="none"/>
              </w:rPr>
            </w:pPr>
            <w:r>
              <w:rPr>
                <w:rFonts w:hint="eastAsia"/>
                <w:b/>
                <w:bCs/>
                <w:color w:val="auto"/>
                <w:sz w:val="24"/>
                <w:szCs w:val="24"/>
                <w:highlight w:val="none"/>
                <w:lang w:val="en-US" w:eastAsia="zh-CN"/>
              </w:rPr>
              <w:t>3.审查文件名称及文号：</w:t>
            </w:r>
            <w:r>
              <w:rPr>
                <w:rFonts w:hint="eastAsia"/>
                <w:b w:val="0"/>
                <w:bCs w:val="0"/>
                <w:color w:val="auto"/>
                <w:sz w:val="24"/>
                <w:szCs w:val="24"/>
                <w:highlight w:val="none"/>
                <w:lang w:val="en-US" w:eastAsia="zh-CN"/>
              </w:rPr>
              <w:t>原</w:t>
            </w:r>
            <w:r>
              <w:rPr>
                <w:rFonts w:hint="eastAsia"/>
                <w:color w:val="auto"/>
                <w:sz w:val="24"/>
                <w:szCs w:val="24"/>
                <w:highlight w:val="none"/>
                <w:lang w:val="en-US" w:eastAsia="zh-CN"/>
              </w:rPr>
              <w:t>西安市环境保护局关于《〈西咸新区-沣东新城分区规划（2010-2020）环境影响报告书〉的审查意见》（市环函〔2014〕20号，2014年3月31日）。</w:t>
            </w:r>
          </w:p>
        </w:tc>
      </w:tr>
    </w:tbl>
    <w:p w14:paraId="4C382E05">
      <w:pPr>
        <w:autoSpaceDE w:val="0"/>
        <w:autoSpaceDN w:val="0"/>
        <w:adjustRightInd w:val="0"/>
        <w:snapToGrid w:val="0"/>
        <w:jc w:val="center"/>
        <w:rPr>
          <w:color w:val="auto"/>
          <w:kern w:val="0"/>
          <w:sz w:val="24"/>
          <w:highlight w:val="none"/>
        </w:rPr>
        <w:sectPr>
          <w:footerReference r:id="rId5" w:type="default"/>
          <w:pgSz w:w="11906" w:h="16838"/>
          <w:pgMar w:top="1417" w:right="1417" w:bottom="1417" w:left="1417" w:header="851" w:footer="1077" w:gutter="0"/>
          <w:pgBorders>
            <w:top w:val="none" w:sz="0" w:space="0"/>
            <w:left w:val="none" w:sz="0" w:space="0"/>
            <w:bottom w:val="none" w:sz="0" w:space="0"/>
            <w:right w:val="none" w:sz="0" w:space="0"/>
          </w:pgBorders>
          <w:pgNumType w:fmt="numberInDash" w:start="1"/>
          <w:cols w:space="720" w:num="1"/>
          <w:docGrid w:linePitch="312" w:charSpace="0"/>
        </w:sectPr>
      </w:pPr>
    </w:p>
    <w:tbl>
      <w:tblPr>
        <w:tblStyle w:val="31"/>
        <w:tblW w:w="85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5"/>
        <w:gridCol w:w="7984"/>
      </w:tblGrid>
      <w:tr w14:paraId="503C7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21" w:hRule="atLeast"/>
          <w:jc w:val="center"/>
        </w:trPr>
        <w:tc>
          <w:tcPr>
            <w:tcW w:w="555" w:type="dxa"/>
            <w:tcBorders>
              <w:tl2br w:val="nil"/>
              <w:tr2bl w:val="nil"/>
            </w:tcBorders>
            <w:noWrap w:val="0"/>
            <w:vAlign w:val="center"/>
          </w:tcPr>
          <w:p w14:paraId="0AC3B84E">
            <w:pPr>
              <w:spacing w:line="240" w:lineRule="auto"/>
              <w:jc w:val="center"/>
              <w:outlineLvl w:val="0"/>
              <w:rPr>
                <w:rFonts w:eastAsia="黑体"/>
                <w:color w:val="auto"/>
                <w:sz w:val="24"/>
                <w:szCs w:val="24"/>
                <w:highlight w:val="none"/>
                <w:vertAlign w:val="baseline"/>
              </w:rPr>
            </w:pPr>
            <w:bookmarkStart w:id="6" w:name="_Toc105"/>
            <w:r>
              <w:rPr>
                <w:rFonts w:hint="eastAsia" w:ascii="Times New Roman" w:hAnsi="Times New Roman" w:cs="宋体"/>
                <w:b/>
                <w:bCs/>
                <w:color w:val="auto"/>
                <w:kern w:val="0"/>
                <w:sz w:val="24"/>
                <w:szCs w:val="24"/>
                <w:highlight w:val="none"/>
              </w:rPr>
              <w:t>规划及规划环境影响评价符合性分析</w:t>
            </w:r>
            <w:bookmarkEnd w:id="6"/>
          </w:p>
        </w:tc>
        <w:tc>
          <w:tcPr>
            <w:tcW w:w="7984" w:type="dxa"/>
            <w:tcBorders>
              <w:tl2br w:val="nil"/>
              <w:tr2bl w:val="nil"/>
            </w:tcBorders>
            <w:noWrap w:val="0"/>
            <w:vAlign w:val="center"/>
          </w:tcPr>
          <w:p w14:paraId="631782AE">
            <w:pPr>
              <w:keepNext w:val="0"/>
              <w:keepLines w:val="0"/>
              <w:pageBreakBefore w:val="0"/>
              <w:widowControl w:val="0"/>
              <w:kinsoku/>
              <w:wordWrap/>
              <w:overflowPunct/>
              <w:topLinePunct w:val="0"/>
              <w:autoSpaceDE/>
              <w:autoSpaceDN/>
              <w:bidi w:val="0"/>
              <w:adjustRightInd/>
              <w:snapToGrid/>
              <w:spacing w:before="157" w:beforeLines="50" w:line="360" w:lineRule="auto"/>
              <w:jc w:val="both"/>
              <w:textAlignment w:val="auto"/>
              <w:rPr>
                <w:rFonts w:ascii="宋体" w:hAnsi="宋体" w:cs="宋体"/>
                <w:color w:val="auto"/>
                <w:sz w:val="24"/>
                <w:highlight w:val="none"/>
              </w:rPr>
            </w:pPr>
            <w:r>
              <w:rPr>
                <w:rFonts w:hint="eastAsia"/>
                <w:b/>
                <w:bCs/>
                <w:color w:val="auto"/>
                <w:sz w:val="24"/>
                <w:highlight w:val="none"/>
                <w:lang w:val="en-US" w:eastAsia="zh-CN"/>
              </w:rPr>
              <w:t>1</w:t>
            </w:r>
            <w:r>
              <w:rPr>
                <w:b/>
                <w:bCs/>
                <w:color w:val="auto"/>
                <w:sz w:val="24"/>
                <w:highlight w:val="none"/>
              </w:rPr>
              <w:t>.与西咸新</w:t>
            </w:r>
            <w:r>
              <w:rPr>
                <w:rFonts w:hint="eastAsia"/>
                <w:b/>
                <w:bCs/>
                <w:color w:val="auto"/>
                <w:sz w:val="24"/>
                <w:highlight w:val="none"/>
                <w:lang w:eastAsia="zh-CN"/>
              </w:rPr>
              <w:t>区</w:t>
            </w:r>
            <w:r>
              <w:rPr>
                <w:b/>
                <w:bCs/>
                <w:color w:val="auto"/>
                <w:sz w:val="24"/>
                <w:highlight w:val="none"/>
              </w:rPr>
              <w:t>-沣东新城</w:t>
            </w:r>
            <w:r>
              <w:rPr>
                <w:rFonts w:hint="eastAsia"/>
                <w:b/>
                <w:bCs/>
                <w:color w:val="auto"/>
                <w:sz w:val="24"/>
                <w:highlight w:val="none"/>
                <w:lang w:eastAsia="zh-CN"/>
              </w:rPr>
              <w:t>分区</w:t>
            </w:r>
            <w:r>
              <w:rPr>
                <w:b/>
                <w:bCs/>
                <w:color w:val="auto"/>
                <w:sz w:val="24"/>
                <w:highlight w:val="none"/>
              </w:rPr>
              <w:t>规划（2010-2020）规划符合性分析</w:t>
            </w:r>
          </w:p>
          <w:p w14:paraId="7D640C8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宋体" w:hAnsi="宋体" w:cs="宋体"/>
                <w:color w:val="auto"/>
                <w:sz w:val="24"/>
                <w:highlight w:val="none"/>
              </w:rPr>
            </w:pPr>
            <w:r>
              <w:rPr>
                <w:rFonts w:ascii="宋体" w:hAnsi="宋体" w:cs="宋体"/>
                <w:color w:val="auto"/>
                <w:sz w:val="24"/>
                <w:highlight w:val="none"/>
              </w:rPr>
              <w:t>本</w:t>
            </w:r>
            <w:r>
              <w:rPr>
                <w:rFonts w:hint="default" w:ascii="Times New Roman" w:hAnsi="Times New Roman" w:cs="Times New Roman"/>
                <w:color w:val="auto"/>
                <w:sz w:val="24"/>
                <w:highlight w:val="none"/>
              </w:rPr>
              <w:t>项目与</w:t>
            </w:r>
            <w:r>
              <w:rPr>
                <w:color w:val="auto"/>
                <w:sz w:val="24"/>
                <w:szCs w:val="24"/>
                <w:highlight w:val="none"/>
              </w:rPr>
              <w:t>西咸新</w:t>
            </w:r>
            <w:r>
              <w:rPr>
                <w:rFonts w:hint="eastAsia"/>
                <w:color w:val="auto"/>
                <w:sz w:val="24"/>
                <w:szCs w:val="24"/>
                <w:highlight w:val="none"/>
                <w:lang w:eastAsia="zh-CN"/>
              </w:rPr>
              <w:t>区</w:t>
            </w:r>
            <w:r>
              <w:rPr>
                <w:color w:val="auto"/>
                <w:sz w:val="24"/>
                <w:szCs w:val="24"/>
                <w:highlight w:val="none"/>
              </w:rPr>
              <w:t>-沣东新城</w:t>
            </w:r>
            <w:r>
              <w:rPr>
                <w:rFonts w:hint="eastAsia"/>
                <w:color w:val="auto"/>
                <w:sz w:val="24"/>
                <w:szCs w:val="24"/>
                <w:highlight w:val="none"/>
                <w:lang w:eastAsia="zh-CN"/>
              </w:rPr>
              <w:t>分区</w:t>
            </w:r>
            <w:r>
              <w:rPr>
                <w:color w:val="auto"/>
                <w:sz w:val="24"/>
                <w:szCs w:val="24"/>
                <w:highlight w:val="none"/>
              </w:rPr>
              <w:t>规划（2010-2020）</w:t>
            </w:r>
            <w:r>
              <w:rPr>
                <w:rFonts w:hint="default" w:ascii="Times New Roman" w:hAnsi="Times New Roman" w:cs="Times New Roman"/>
                <w:color w:val="auto"/>
                <w:sz w:val="24"/>
                <w:highlight w:val="none"/>
              </w:rPr>
              <w:t>符合性分析见表1-1。</w:t>
            </w:r>
          </w:p>
          <w:p w14:paraId="177D6B13">
            <w:pPr>
              <w:keepNext w:val="0"/>
              <w:keepLines w:val="0"/>
              <w:pageBreakBefore w:val="0"/>
              <w:widowControl w:val="0"/>
              <w:kinsoku/>
              <w:wordWrap/>
              <w:overflowPunct/>
              <w:topLinePunct w:val="0"/>
              <w:autoSpaceDE w:val="0"/>
              <w:autoSpaceDN w:val="0"/>
              <w:bidi w:val="0"/>
              <w:adjustRightInd w:val="0"/>
              <w:snapToGrid w:val="0"/>
              <w:spacing w:line="240" w:lineRule="auto"/>
              <w:ind w:firstLine="482" w:firstLineChars="200"/>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r>
              <w:rPr>
                <w:rFonts w:hint="default" w:ascii="Times New Roman" w:hAnsi="Times New Roman" w:eastAsia="宋体" w:cs="Times New Roman"/>
                <w:b/>
                <w:bCs/>
                <w:color w:val="auto"/>
                <w:sz w:val="24"/>
                <w:szCs w:val="24"/>
                <w:highlight w:val="none"/>
              </w:rPr>
              <w:t xml:space="preserve">表1-1 </w:t>
            </w:r>
            <w:r>
              <w:rPr>
                <w:rFonts w:hint="default" w:ascii="Times New Roman" w:hAnsi="Times New Roman" w:eastAsia="宋体" w:cs="Times New Roman"/>
                <w:b/>
                <w:bCs/>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lang w:eastAsia="zh-CN"/>
              </w:rPr>
              <w:t>本项目</w:t>
            </w:r>
            <w:r>
              <w:rPr>
                <w:rFonts w:hint="default" w:ascii="Times New Roman" w:hAnsi="Times New Roman" w:eastAsia="宋体" w:cs="Times New Roman"/>
                <w:b/>
                <w:bCs/>
                <w:color w:val="auto"/>
                <w:sz w:val="24"/>
                <w:szCs w:val="24"/>
                <w:highlight w:val="none"/>
              </w:rPr>
              <w:t>与</w:t>
            </w:r>
            <w:r>
              <w:rPr>
                <w:b/>
                <w:bCs/>
                <w:color w:val="auto"/>
                <w:sz w:val="24"/>
                <w:szCs w:val="24"/>
                <w:highlight w:val="none"/>
              </w:rPr>
              <w:t>西咸新</w:t>
            </w:r>
            <w:r>
              <w:rPr>
                <w:rFonts w:hint="eastAsia"/>
                <w:b/>
                <w:bCs/>
                <w:color w:val="auto"/>
                <w:sz w:val="24"/>
                <w:szCs w:val="24"/>
                <w:highlight w:val="none"/>
                <w:lang w:eastAsia="zh-CN"/>
              </w:rPr>
              <w:t>区</w:t>
            </w:r>
            <w:r>
              <w:rPr>
                <w:b/>
                <w:bCs/>
                <w:color w:val="auto"/>
                <w:sz w:val="24"/>
                <w:szCs w:val="24"/>
                <w:highlight w:val="none"/>
              </w:rPr>
              <w:t>-沣东新城</w:t>
            </w:r>
            <w:r>
              <w:rPr>
                <w:rFonts w:hint="eastAsia"/>
                <w:b/>
                <w:bCs/>
                <w:color w:val="auto"/>
                <w:sz w:val="24"/>
                <w:szCs w:val="24"/>
                <w:highlight w:val="none"/>
                <w:lang w:eastAsia="zh-CN"/>
              </w:rPr>
              <w:t>分区</w:t>
            </w:r>
            <w:r>
              <w:rPr>
                <w:b/>
                <w:bCs/>
                <w:color w:val="auto"/>
                <w:sz w:val="24"/>
                <w:szCs w:val="24"/>
                <w:highlight w:val="none"/>
              </w:rPr>
              <w:t>规划（2010-2020）</w:t>
            </w:r>
            <w:r>
              <w:rPr>
                <w:rFonts w:hint="default" w:ascii="Times New Roman" w:hAnsi="Times New Roman" w:eastAsia="宋体" w:cs="Times New Roman"/>
                <w:b/>
                <w:bCs/>
                <w:color w:val="auto"/>
                <w:sz w:val="24"/>
                <w:szCs w:val="24"/>
                <w:highlight w:val="none"/>
              </w:rPr>
              <w:t>符合性分析</w:t>
            </w:r>
          </w:p>
          <w:tbl>
            <w:tblPr>
              <w:tblStyle w:val="31"/>
              <w:tblW w:w="77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3310"/>
              <w:gridCol w:w="2332"/>
              <w:gridCol w:w="718"/>
            </w:tblGrid>
            <w:tr w14:paraId="6033D9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437" w:type="dxa"/>
                  <w:tcBorders>
                    <w:tl2br w:val="nil"/>
                    <w:tr2bl w:val="nil"/>
                  </w:tcBorders>
                  <w:noWrap w:val="0"/>
                  <w:vAlign w:val="center"/>
                </w:tcPr>
                <w:p w14:paraId="624F9B75">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rPr>
                    <w:t>文件</w:t>
                  </w:r>
                </w:p>
              </w:tc>
              <w:tc>
                <w:tcPr>
                  <w:tcW w:w="3310" w:type="dxa"/>
                  <w:tcBorders>
                    <w:tl2br w:val="nil"/>
                    <w:tr2bl w:val="nil"/>
                  </w:tcBorders>
                  <w:noWrap w:val="0"/>
                  <w:vAlign w:val="center"/>
                </w:tcPr>
                <w:p w14:paraId="58467D54">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rPr>
                    <w:t>政策要求</w:t>
                  </w:r>
                </w:p>
              </w:tc>
              <w:tc>
                <w:tcPr>
                  <w:tcW w:w="2332" w:type="dxa"/>
                  <w:tcBorders>
                    <w:tl2br w:val="nil"/>
                    <w:tr2bl w:val="nil"/>
                  </w:tcBorders>
                  <w:noWrap w:val="0"/>
                  <w:vAlign w:val="center"/>
                </w:tcPr>
                <w:p w14:paraId="4605819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rPr>
                    <w:t>本项目实际情况</w:t>
                  </w:r>
                </w:p>
              </w:tc>
              <w:tc>
                <w:tcPr>
                  <w:tcW w:w="718" w:type="dxa"/>
                  <w:tcBorders>
                    <w:tl2br w:val="nil"/>
                    <w:tr2bl w:val="nil"/>
                  </w:tcBorders>
                  <w:noWrap w:val="0"/>
                  <w:vAlign w:val="center"/>
                </w:tcPr>
                <w:p w14:paraId="6A852F81">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rPr>
                    <w:t>符合性</w:t>
                  </w:r>
                </w:p>
              </w:tc>
            </w:tr>
            <w:tr w14:paraId="3F7C82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tcBorders>
                    <w:tl2br w:val="nil"/>
                    <w:tr2bl w:val="nil"/>
                  </w:tcBorders>
                  <w:noWrap w:val="0"/>
                  <w:vAlign w:val="center"/>
                </w:tcPr>
                <w:p w14:paraId="092B708D">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b/>
                      <w:bCs/>
                      <w:color w:val="auto"/>
                      <w:kern w:val="2"/>
                      <w:sz w:val="24"/>
                      <w:szCs w:val="24"/>
                      <w:highlight w:val="none"/>
                      <w:vertAlign w:val="baseline"/>
                      <w:lang w:val="en-US" w:eastAsia="zh-CN" w:bidi="ar-SA"/>
                    </w:rPr>
                  </w:pPr>
                  <w:r>
                    <w:rPr>
                      <w:rFonts w:hint="eastAsia"/>
                      <w:color w:val="auto"/>
                      <w:kern w:val="0"/>
                      <w:szCs w:val="21"/>
                      <w:highlight w:val="none"/>
                      <w:lang w:eastAsia="zh-CN"/>
                    </w:rPr>
                    <w:t>《</w:t>
                  </w:r>
                  <w:r>
                    <w:rPr>
                      <w:color w:val="auto"/>
                      <w:kern w:val="0"/>
                      <w:szCs w:val="21"/>
                      <w:highlight w:val="none"/>
                    </w:rPr>
                    <w:t>西咸新区-沣东新城</w:t>
                  </w:r>
                  <w:r>
                    <w:rPr>
                      <w:rFonts w:hint="eastAsia"/>
                      <w:color w:val="auto"/>
                      <w:kern w:val="0"/>
                      <w:szCs w:val="21"/>
                      <w:highlight w:val="none"/>
                      <w:lang w:eastAsia="zh-CN"/>
                    </w:rPr>
                    <w:t>分区</w:t>
                  </w:r>
                  <w:r>
                    <w:rPr>
                      <w:color w:val="auto"/>
                      <w:kern w:val="0"/>
                      <w:szCs w:val="21"/>
                      <w:highlight w:val="none"/>
                    </w:rPr>
                    <w:t>规划（2010-2020）</w:t>
                  </w:r>
                  <w:r>
                    <w:rPr>
                      <w:rFonts w:hint="eastAsia"/>
                      <w:color w:val="auto"/>
                      <w:kern w:val="0"/>
                      <w:szCs w:val="21"/>
                      <w:highlight w:val="none"/>
                      <w:lang w:eastAsia="zh-CN"/>
                    </w:rPr>
                    <w:t>》</w:t>
                  </w:r>
                </w:p>
              </w:tc>
              <w:tc>
                <w:tcPr>
                  <w:tcW w:w="3310" w:type="dxa"/>
                  <w:tcBorders>
                    <w:tl2br w:val="nil"/>
                    <w:tr2bl w:val="nil"/>
                  </w:tcBorders>
                  <w:noWrap w:val="0"/>
                  <w:vAlign w:val="center"/>
                </w:tcPr>
                <w:p w14:paraId="718D0DE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宋体" w:hAnsi="宋体" w:cs="宋体"/>
                      <w:color w:val="auto"/>
                      <w:szCs w:val="21"/>
                      <w:highlight w:val="none"/>
                    </w:rPr>
                  </w:pPr>
                  <w:r>
                    <w:rPr>
                      <w:rFonts w:hint="eastAsia" w:ascii="宋体" w:hAnsi="宋体" w:cs="宋体"/>
                      <w:color w:val="auto"/>
                      <w:szCs w:val="21"/>
                      <w:highlight w:val="none"/>
                    </w:rPr>
                    <w:t>沣东新城的规划发展定位为：西部地区统筹科技资源示范基地，高新技术研发和会展中心，大西安建设国际化大都市引领区，未来将建设成为具有东方人文特色的生态化国际新城。</w:t>
                  </w:r>
                </w:p>
                <w:p w14:paraId="5C9F92CA">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Times New Roman" w:hAnsi="Times New Roman" w:eastAsia="宋体" w:cs="Times New Roman"/>
                      <w:b/>
                      <w:bCs/>
                      <w:color w:val="auto"/>
                      <w:kern w:val="2"/>
                      <w:sz w:val="24"/>
                      <w:szCs w:val="24"/>
                      <w:highlight w:val="none"/>
                      <w:vertAlign w:val="baseline"/>
                      <w:lang w:val="en-US" w:eastAsia="zh-CN" w:bidi="ar-SA"/>
                    </w:rPr>
                  </w:pPr>
                  <w:r>
                    <w:rPr>
                      <w:rFonts w:hint="eastAsia" w:ascii="宋体" w:hAnsi="宋体" w:cs="宋体"/>
                      <w:color w:val="auto"/>
                      <w:szCs w:val="21"/>
                      <w:highlight w:val="none"/>
                    </w:rPr>
                    <w:t>城市发展政策指引：……大力发展高科技研发产业，为现代制造业提供创新驱动力。大力发展文化创意产业。大力发展现代服务业，促进区域产业发展，构</w:t>
                  </w:r>
                  <w:r>
                    <w:rPr>
                      <w:rFonts w:hint="eastAsia" w:ascii="宋体" w:hAnsi="宋体" w:cs="宋体"/>
                      <w:color w:val="auto"/>
                      <w:szCs w:val="21"/>
                      <w:highlight w:val="none"/>
                      <w:lang w:eastAsia="zh-CN"/>
                    </w:rPr>
                    <w:t>建</w:t>
                  </w:r>
                  <w:r>
                    <w:rPr>
                      <w:rFonts w:hint="eastAsia" w:ascii="宋体" w:hAnsi="宋体" w:cs="宋体"/>
                      <w:color w:val="auto"/>
                      <w:szCs w:val="21"/>
                      <w:highlight w:val="none"/>
                    </w:rPr>
                    <w:t>区域性金融中心、信息中心、汽车博览中心等</w:t>
                  </w:r>
                </w:p>
              </w:tc>
              <w:tc>
                <w:tcPr>
                  <w:tcW w:w="2332" w:type="dxa"/>
                  <w:tcBorders>
                    <w:tl2br w:val="nil"/>
                    <w:tr2bl w:val="nil"/>
                  </w:tcBorders>
                  <w:noWrap w:val="0"/>
                  <w:vAlign w:val="center"/>
                </w:tcPr>
                <w:p w14:paraId="49B3E769">
                  <w:pPr>
                    <w:keepNext w:val="0"/>
                    <w:keepLines w:val="0"/>
                    <w:pageBreakBefore w:val="0"/>
                    <w:widowControl w:val="0"/>
                    <w:kinsoku/>
                    <w:wordWrap/>
                    <w:overflowPunct/>
                    <w:topLinePunct w:val="0"/>
                    <w:autoSpaceDE w:val="0"/>
                    <w:autoSpaceDN w:val="0"/>
                    <w:bidi w:val="0"/>
                    <w:adjustRightInd w:val="0"/>
                    <w:snapToGrid w:val="0"/>
                    <w:spacing w:line="240" w:lineRule="auto"/>
                    <w:ind w:firstLine="210" w:firstLineChars="100"/>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r>
                    <w:rPr>
                      <w:rFonts w:hint="eastAsia" w:ascii="Times New Roman" w:hAnsi="Times New Roman" w:cs="宋体"/>
                      <w:color w:val="auto"/>
                      <w:kern w:val="0"/>
                      <w:sz w:val="21"/>
                      <w:szCs w:val="21"/>
                      <w:highlight w:val="none"/>
                      <w:lang w:val="en-US" w:eastAsia="zh-CN"/>
                    </w:rPr>
                    <w:t>本项目位于沣东新城</w:t>
                  </w:r>
                  <w:r>
                    <w:rPr>
                      <w:rFonts w:hint="eastAsia" w:cs="宋体"/>
                      <w:color w:val="auto"/>
                      <w:kern w:val="0"/>
                      <w:sz w:val="21"/>
                      <w:szCs w:val="21"/>
                      <w:highlight w:val="none"/>
                      <w:lang w:val="en-US" w:eastAsia="zh-CN"/>
                    </w:rPr>
                    <w:t>石化大道西段沣东科技产业园，</w:t>
                  </w:r>
                  <w:r>
                    <w:rPr>
                      <w:rFonts w:hint="eastAsia" w:cs="宋体"/>
                      <w:color w:val="auto"/>
                      <w:kern w:val="0"/>
                      <w:szCs w:val="21"/>
                      <w:highlight w:val="none"/>
                    </w:rPr>
                    <w:t>进行工程和技术研究和试验发展，主要为化工类实验、化学类实验，属于科技服务业-生物医药</w:t>
                  </w:r>
                  <w:r>
                    <w:rPr>
                      <w:rFonts w:hint="eastAsia" w:cs="宋体"/>
                      <w:color w:val="auto"/>
                      <w:kern w:val="0"/>
                      <w:sz w:val="21"/>
                      <w:szCs w:val="21"/>
                      <w:highlight w:val="none"/>
                      <w:lang w:val="en-US" w:eastAsia="zh-CN"/>
                    </w:rPr>
                    <w:t>。</w:t>
                  </w:r>
                </w:p>
              </w:tc>
              <w:tc>
                <w:tcPr>
                  <w:tcW w:w="718" w:type="dxa"/>
                  <w:tcBorders>
                    <w:tl2br w:val="nil"/>
                    <w:tr2bl w:val="nil"/>
                  </w:tcBorders>
                  <w:noWrap w:val="0"/>
                  <w:vAlign w:val="center"/>
                </w:tcPr>
                <w:p w14:paraId="0763759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b/>
                      <w:bCs/>
                      <w:color w:val="auto"/>
                      <w:kern w:val="2"/>
                      <w:sz w:val="24"/>
                      <w:szCs w:val="24"/>
                      <w:highlight w:val="none"/>
                      <w:vertAlign w:val="baseline"/>
                      <w:lang w:val="en-US" w:eastAsia="zh-CN" w:bidi="ar-SA"/>
                    </w:rPr>
                  </w:pPr>
                  <w:r>
                    <w:rPr>
                      <w:rFonts w:hint="eastAsia"/>
                      <w:color w:val="auto"/>
                      <w:highlight w:val="none"/>
                    </w:rPr>
                    <w:t>符合</w:t>
                  </w:r>
                </w:p>
              </w:tc>
            </w:tr>
            <w:tr w14:paraId="5B6CBF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vMerge w:val="restart"/>
                  <w:tcBorders>
                    <w:tl2br w:val="nil"/>
                    <w:tr2bl w:val="nil"/>
                  </w:tcBorders>
                  <w:noWrap w:val="0"/>
                  <w:vAlign w:val="center"/>
                </w:tcPr>
                <w:p w14:paraId="5B796D90">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0"/>
                      <w:szCs w:val="21"/>
                      <w:highlight w:val="none"/>
                    </w:rPr>
                  </w:pPr>
                  <w:r>
                    <w:rPr>
                      <w:rFonts w:hint="eastAsia" w:ascii="Times New Roman" w:hAnsi="Times New Roman" w:eastAsia="宋体" w:cs="Times New Roman"/>
                      <w:color w:val="auto"/>
                      <w:kern w:val="2"/>
                      <w:sz w:val="21"/>
                      <w:szCs w:val="24"/>
                      <w:highlight w:val="none"/>
                      <w:lang w:val="en-US" w:eastAsia="zh-CN" w:bidi="ar-SA"/>
                    </w:rPr>
                    <w:t>《</w:t>
                  </w:r>
                  <w:r>
                    <w:rPr>
                      <w:rFonts w:ascii="Times New Roman" w:hAnsi="Times New Roman" w:eastAsia="宋体" w:cs="Times New Roman"/>
                      <w:color w:val="auto"/>
                      <w:kern w:val="2"/>
                      <w:sz w:val="21"/>
                      <w:szCs w:val="24"/>
                      <w:highlight w:val="none"/>
                      <w:lang w:val="en-US" w:eastAsia="zh-CN" w:bidi="ar-SA"/>
                    </w:rPr>
                    <w:t>西咸新区</w:t>
                  </w:r>
                  <w:r>
                    <w:rPr>
                      <w:rFonts w:hint="eastAsia" w:ascii="Times New Roman" w:hAnsi="Times New Roman" w:eastAsia="宋体" w:cs="Times New Roman"/>
                      <w:color w:val="auto"/>
                      <w:kern w:val="2"/>
                      <w:sz w:val="21"/>
                      <w:szCs w:val="24"/>
                      <w:highlight w:val="none"/>
                      <w:lang w:val="en-US" w:eastAsia="zh-CN" w:bidi="ar-SA"/>
                    </w:rPr>
                    <w:t>-</w:t>
                  </w:r>
                  <w:r>
                    <w:rPr>
                      <w:rFonts w:ascii="Times New Roman" w:hAnsi="Times New Roman" w:eastAsia="宋体" w:cs="Times New Roman"/>
                      <w:color w:val="auto"/>
                      <w:kern w:val="2"/>
                      <w:sz w:val="21"/>
                      <w:szCs w:val="24"/>
                      <w:highlight w:val="none"/>
                      <w:lang w:val="en-US" w:eastAsia="zh-CN" w:bidi="ar-SA"/>
                    </w:rPr>
                    <w:t>沣东新城分区规划（2010-2020）环境影响报告书及审查意见</w:t>
                  </w:r>
                  <w:r>
                    <w:rPr>
                      <w:rFonts w:hint="eastAsia" w:ascii="Times New Roman" w:hAnsi="Times New Roman" w:eastAsia="宋体" w:cs="Times New Roman"/>
                      <w:color w:val="auto"/>
                      <w:kern w:val="2"/>
                      <w:sz w:val="21"/>
                      <w:szCs w:val="24"/>
                      <w:highlight w:val="none"/>
                      <w:lang w:val="en-US" w:eastAsia="zh-CN" w:bidi="ar-SA"/>
                    </w:rPr>
                    <w:t>》</w:t>
                  </w:r>
                </w:p>
              </w:tc>
              <w:tc>
                <w:tcPr>
                  <w:tcW w:w="3310" w:type="dxa"/>
                  <w:tcBorders>
                    <w:tl2br w:val="nil"/>
                    <w:tr2bl w:val="nil"/>
                  </w:tcBorders>
                  <w:noWrap w:val="0"/>
                  <w:vAlign w:val="center"/>
                </w:tcPr>
                <w:p w14:paraId="5CAB4C53">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both"/>
                    <w:textAlignment w:val="auto"/>
                    <w:rPr>
                      <w:rFonts w:ascii="Times New Roman" w:hAnsi="Times New Roman" w:eastAsia="宋体" w:cs="Times New Roman"/>
                      <w:color w:val="auto"/>
                      <w:kern w:val="2"/>
                      <w:sz w:val="21"/>
                      <w:szCs w:val="24"/>
                      <w:highlight w:val="none"/>
                      <w:lang w:val="en-US" w:eastAsia="zh-CN" w:bidi="ar-SA"/>
                    </w:rPr>
                  </w:pPr>
                  <w:r>
                    <w:rPr>
                      <w:color w:val="auto"/>
                      <w:highlight w:val="none"/>
                    </w:rPr>
                    <w:t>做好规划区项目的环境保护准入工作，限制规划定位的产业以外项目进入，并依法对具体建设项目进行环境影响评价，规划区内不得建设电镀生产线及涉重金属排放企业</w:t>
                  </w:r>
                  <w:r>
                    <w:rPr>
                      <w:rFonts w:hint="eastAsia"/>
                      <w:color w:val="auto"/>
                      <w:highlight w:val="none"/>
                      <w:lang w:eastAsia="zh-CN"/>
                    </w:rPr>
                    <w:t>。</w:t>
                  </w:r>
                </w:p>
              </w:tc>
              <w:tc>
                <w:tcPr>
                  <w:tcW w:w="2332" w:type="dxa"/>
                  <w:tcBorders>
                    <w:tl2br w:val="nil"/>
                    <w:tr2bl w:val="nil"/>
                  </w:tcBorders>
                  <w:noWrap w:val="0"/>
                  <w:vAlign w:val="center"/>
                </w:tcPr>
                <w:p w14:paraId="086B32F0">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color w:val="auto"/>
                      <w:highlight w:val="none"/>
                      <w:lang w:val="en-US" w:eastAsia="zh-CN"/>
                    </w:rPr>
                  </w:pPr>
                  <w:r>
                    <w:rPr>
                      <w:color w:val="auto"/>
                      <w:highlight w:val="none"/>
                      <w:lang w:val="en-US" w:eastAsia="zh-CN"/>
                    </w:rPr>
                    <w:t>本项目</w:t>
                  </w:r>
                  <w:r>
                    <w:rPr>
                      <w:rFonts w:hint="eastAsia"/>
                      <w:color w:val="auto"/>
                      <w:highlight w:val="none"/>
                      <w:lang w:val="en-US" w:eastAsia="zh-CN"/>
                    </w:rPr>
                    <w:t>为医学研究和试验发展行业，不含电镀生产线和涉重金属排放。</w:t>
                  </w:r>
                </w:p>
              </w:tc>
              <w:tc>
                <w:tcPr>
                  <w:tcW w:w="718" w:type="dxa"/>
                  <w:tcBorders>
                    <w:tl2br w:val="nil"/>
                    <w:tr2bl w:val="nil"/>
                  </w:tcBorders>
                  <w:noWrap w:val="0"/>
                  <w:vAlign w:val="center"/>
                </w:tcPr>
                <w:p w14:paraId="515D8EA2">
                  <w:pPr>
                    <w:pStyle w:val="19"/>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符合</w:t>
                  </w:r>
                </w:p>
              </w:tc>
            </w:tr>
            <w:tr w14:paraId="7D4E5D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vMerge w:val="continue"/>
                  <w:tcBorders>
                    <w:tl2br w:val="nil"/>
                    <w:tr2bl w:val="nil"/>
                  </w:tcBorders>
                  <w:noWrap w:val="0"/>
                  <w:vAlign w:val="center"/>
                </w:tcPr>
                <w:p w14:paraId="5677A57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p>
              </w:tc>
              <w:tc>
                <w:tcPr>
                  <w:tcW w:w="3310" w:type="dxa"/>
                  <w:tcBorders>
                    <w:tl2br w:val="nil"/>
                    <w:tr2bl w:val="nil"/>
                  </w:tcBorders>
                  <w:shd w:val="clear" w:color="auto" w:fill="auto"/>
                  <w:noWrap w:val="0"/>
                  <w:vAlign w:val="center"/>
                </w:tcPr>
                <w:p w14:paraId="79C4A960">
                  <w:pPr>
                    <w:adjustRightInd w:val="0"/>
                    <w:snapToGrid w:val="0"/>
                    <w:rPr>
                      <w:rFonts w:hint="eastAsia" w:ascii="Times New Roman" w:hAnsi="Times New Roman" w:eastAsia="宋体" w:cs="Times New Roman"/>
                      <w:color w:val="auto"/>
                      <w:kern w:val="2"/>
                      <w:sz w:val="21"/>
                      <w:szCs w:val="21"/>
                      <w:lang w:val="en-US" w:eastAsia="zh-CN" w:bidi="ar-SA"/>
                    </w:rPr>
                  </w:pPr>
                  <w:r>
                    <w:rPr>
                      <w:rFonts w:hint="eastAsia"/>
                      <w:color w:val="auto"/>
                      <w:kern w:val="0"/>
                      <w:szCs w:val="21"/>
                    </w:rPr>
                    <w:t>设置新城产业准入大气环境标准，对排污量大的行业进行限制，防止对新城产生影响。</w:t>
                  </w:r>
                </w:p>
              </w:tc>
              <w:tc>
                <w:tcPr>
                  <w:tcW w:w="2332" w:type="dxa"/>
                  <w:tcBorders>
                    <w:tl2br w:val="nil"/>
                    <w:tr2bl w:val="nil"/>
                  </w:tcBorders>
                  <w:shd w:val="clear" w:color="auto" w:fill="auto"/>
                  <w:noWrap w:val="0"/>
                  <w:vAlign w:val="center"/>
                </w:tcPr>
                <w:p w14:paraId="2E29CA23">
                  <w:pPr>
                    <w:adjustRightInd w:val="0"/>
                    <w:snapToGrid w:val="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本项目为药物研发实验室项目，不属于排污量大的行业，对环境的影响较小。</w:t>
                  </w:r>
                </w:p>
              </w:tc>
              <w:tc>
                <w:tcPr>
                  <w:tcW w:w="718" w:type="dxa"/>
                  <w:tcBorders>
                    <w:tl2br w:val="nil"/>
                    <w:tr2bl w:val="nil"/>
                  </w:tcBorders>
                  <w:noWrap w:val="0"/>
                  <w:vAlign w:val="center"/>
                </w:tcPr>
                <w:p w14:paraId="4932C028">
                  <w:pPr>
                    <w:pStyle w:val="19"/>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符合</w:t>
                  </w:r>
                </w:p>
              </w:tc>
            </w:tr>
            <w:tr w14:paraId="50806B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vMerge w:val="continue"/>
                  <w:tcBorders>
                    <w:tl2br w:val="nil"/>
                    <w:tr2bl w:val="nil"/>
                  </w:tcBorders>
                  <w:noWrap w:val="0"/>
                  <w:vAlign w:val="center"/>
                </w:tcPr>
                <w:p w14:paraId="4B3F8956">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p>
              </w:tc>
              <w:tc>
                <w:tcPr>
                  <w:tcW w:w="3310" w:type="dxa"/>
                  <w:tcBorders>
                    <w:tl2br w:val="nil"/>
                    <w:tr2bl w:val="nil"/>
                  </w:tcBorders>
                  <w:shd w:val="clear" w:color="auto" w:fill="auto"/>
                  <w:noWrap w:val="0"/>
                  <w:vAlign w:val="top"/>
                </w:tcPr>
                <w:p w14:paraId="40EE1397">
                  <w:pPr>
                    <w:pStyle w:val="83"/>
                    <w:spacing w:before="29" w:line="234" w:lineRule="auto"/>
                    <w:ind w:left="25" w:leftChars="0" w:right="64" w:rightChars="0" w:hanging="1" w:firstLineChars="0"/>
                    <w:jc w:val="both"/>
                    <w:rPr>
                      <w:rFonts w:hint="eastAsia" w:ascii="宋体" w:hAnsi="宋体" w:eastAsia="宋体" w:cs="宋体"/>
                      <w:color w:val="auto"/>
                      <w:kern w:val="2"/>
                      <w:sz w:val="21"/>
                      <w:szCs w:val="21"/>
                      <w:lang w:val="en-US" w:eastAsia="en-US" w:bidi="ar-SA"/>
                    </w:rPr>
                  </w:pPr>
                  <w:r>
                    <w:rPr>
                      <w:color w:val="auto"/>
                      <w:spacing w:val="-1"/>
                      <w:sz w:val="21"/>
                      <w:szCs w:val="21"/>
                    </w:rPr>
                    <w:t>入区企业清洁生产必须达到国内先进水平、严禁“三高</w:t>
                  </w:r>
                  <w:r>
                    <w:rPr>
                      <w:color w:val="auto"/>
                      <w:spacing w:val="-3"/>
                      <w:sz w:val="21"/>
                      <w:szCs w:val="21"/>
                    </w:rPr>
                    <w:t>一低</w:t>
                  </w:r>
                  <w:r>
                    <w:rPr>
                      <w:color w:val="auto"/>
                      <w:spacing w:val="-77"/>
                      <w:sz w:val="21"/>
                      <w:szCs w:val="21"/>
                    </w:rPr>
                    <w:t xml:space="preserve"> </w:t>
                  </w:r>
                  <w:r>
                    <w:rPr>
                      <w:color w:val="auto"/>
                      <w:spacing w:val="-3"/>
                      <w:sz w:val="21"/>
                      <w:szCs w:val="21"/>
                    </w:rPr>
                    <w:t>”企业入区、由总量指</w:t>
                  </w:r>
                  <w:r>
                    <w:rPr>
                      <w:color w:val="auto"/>
                      <w:spacing w:val="-1"/>
                      <w:sz w:val="21"/>
                      <w:szCs w:val="21"/>
                    </w:rPr>
                    <w:t>标限制企业类型和规模、污染物排放指标等工业企业的</w:t>
                  </w:r>
                  <w:r>
                    <w:rPr>
                      <w:color w:val="auto"/>
                      <w:spacing w:val="-5"/>
                      <w:sz w:val="21"/>
                      <w:szCs w:val="21"/>
                    </w:rPr>
                    <w:t>准入条件。</w:t>
                  </w:r>
                </w:p>
              </w:tc>
              <w:tc>
                <w:tcPr>
                  <w:tcW w:w="2332" w:type="dxa"/>
                  <w:tcBorders>
                    <w:tl2br w:val="nil"/>
                    <w:tr2bl w:val="nil"/>
                  </w:tcBorders>
                  <w:shd w:val="clear" w:color="auto" w:fill="auto"/>
                  <w:noWrap w:val="0"/>
                  <w:vAlign w:val="top"/>
                </w:tcPr>
                <w:p w14:paraId="0E58A139">
                  <w:pPr>
                    <w:spacing w:line="255" w:lineRule="auto"/>
                    <w:rPr>
                      <w:rFonts w:ascii="Arial"/>
                      <w:color w:val="auto"/>
                      <w:sz w:val="21"/>
                    </w:rPr>
                  </w:pPr>
                </w:p>
                <w:p w14:paraId="4A98F71C">
                  <w:pPr>
                    <w:pStyle w:val="83"/>
                    <w:spacing w:before="69" w:line="220" w:lineRule="auto"/>
                    <w:ind w:left="126"/>
                    <w:rPr>
                      <w:color w:val="auto"/>
                      <w:sz w:val="21"/>
                      <w:szCs w:val="21"/>
                    </w:rPr>
                  </w:pPr>
                  <w:r>
                    <w:rPr>
                      <w:color w:val="auto"/>
                      <w:spacing w:val="-1"/>
                      <w:sz w:val="21"/>
                      <w:szCs w:val="21"/>
                    </w:rPr>
                    <w:t>本项目污染物产生量</w:t>
                  </w:r>
                </w:p>
                <w:p w14:paraId="3D12EA17">
                  <w:pPr>
                    <w:pStyle w:val="83"/>
                    <w:spacing w:before="9" w:line="221" w:lineRule="auto"/>
                    <w:ind w:left="126"/>
                    <w:rPr>
                      <w:color w:val="auto"/>
                      <w:sz w:val="21"/>
                      <w:szCs w:val="21"/>
                    </w:rPr>
                  </w:pPr>
                  <w:r>
                    <w:rPr>
                      <w:color w:val="auto"/>
                      <w:spacing w:val="-1"/>
                      <w:sz w:val="21"/>
                      <w:szCs w:val="21"/>
                    </w:rPr>
                    <w:t>较少，均有进行治理</w:t>
                  </w:r>
                </w:p>
                <w:p w14:paraId="40458F39">
                  <w:pPr>
                    <w:pStyle w:val="83"/>
                    <w:spacing w:before="9" w:line="222" w:lineRule="auto"/>
                    <w:ind w:left="128"/>
                    <w:rPr>
                      <w:color w:val="auto"/>
                      <w:sz w:val="21"/>
                      <w:szCs w:val="21"/>
                    </w:rPr>
                  </w:pPr>
                  <w:r>
                    <w:rPr>
                      <w:color w:val="auto"/>
                      <w:spacing w:val="-1"/>
                      <w:sz w:val="21"/>
                      <w:szCs w:val="21"/>
                    </w:rPr>
                    <w:t>或处置，不属于“三</w:t>
                  </w:r>
                </w:p>
                <w:p w14:paraId="269DE3FF">
                  <w:pPr>
                    <w:pStyle w:val="83"/>
                    <w:spacing w:before="6" w:line="221" w:lineRule="auto"/>
                    <w:ind w:left="446" w:leftChars="0"/>
                    <w:rPr>
                      <w:rFonts w:hint="eastAsia" w:ascii="宋体" w:hAnsi="宋体" w:eastAsia="宋体" w:cs="宋体"/>
                      <w:color w:val="auto"/>
                      <w:kern w:val="2"/>
                      <w:sz w:val="21"/>
                      <w:szCs w:val="21"/>
                      <w:lang w:val="en-US" w:eastAsia="zh-CN" w:bidi="ar-SA"/>
                    </w:rPr>
                  </w:pPr>
                  <w:r>
                    <w:rPr>
                      <w:color w:val="auto"/>
                      <w:spacing w:val="-7"/>
                      <w:sz w:val="21"/>
                      <w:szCs w:val="21"/>
                    </w:rPr>
                    <w:t>高一低</w:t>
                  </w:r>
                  <w:r>
                    <w:rPr>
                      <w:color w:val="auto"/>
                      <w:spacing w:val="-76"/>
                      <w:sz w:val="21"/>
                      <w:szCs w:val="21"/>
                    </w:rPr>
                    <w:t xml:space="preserve"> </w:t>
                  </w:r>
                  <w:r>
                    <w:rPr>
                      <w:color w:val="auto"/>
                      <w:spacing w:val="-7"/>
                      <w:sz w:val="21"/>
                      <w:szCs w:val="21"/>
                    </w:rPr>
                    <w:t>”企业</w:t>
                  </w:r>
                  <w:r>
                    <w:rPr>
                      <w:rFonts w:hint="eastAsia"/>
                      <w:color w:val="auto"/>
                      <w:spacing w:val="-7"/>
                      <w:sz w:val="21"/>
                      <w:szCs w:val="21"/>
                      <w:lang w:eastAsia="zh-CN"/>
                    </w:rPr>
                    <w:t>。</w:t>
                  </w:r>
                </w:p>
              </w:tc>
              <w:tc>
                <w:tcPr>
                  <w:tcW w:w="718" w:type="dxa"/>
                  <w:tcBorders>
                    <w:tl2br w:val="nil"/>
                    <w:tr2bl w:val="nil"/>
                  </w:tcBorders>
                  <w:shd w:val="clear" w:color="auto" w:fill="auto"/>
                  <w:noWrap w:val="0"/>
                  <w:vAlign w:val="top"/>
                </w:tcPr>
                <w:p w14:paraId="1246F9E4">
                  <w:pPr>
                    <w:spacing w:line="322" w:lineRule="auto"/>
                    <w:rPr>
                      <w:rFonts w:ascii="Arial"/>
                      <w:color w:val="auto"/>
                      <w:sz w:val="21"/>
                    </w:rPr>
                  </w:pPr>
                </w:p>
                <w:p w14:paraId="31D64865">
                  <w:pPr>
                    <w:spacing w:line="322" w:lineRule="auto"/>
                    <w:rPr>
                      <w:rFonts w:ascii="Arial"/>
                      <w:color w:val="auto"/>
                      <w:sz w:val="21"/>
                    </w:rPr>
                  </w:pPr>
                </w:p>
                <w:p w14:paraId="5D8B2A4D">
                  <w:pPr>
                    <w:pStyle w:val="83"/>
                    <w:spacing w:before="68" w:line="221" w:lineRule="auto"/>
                    <w:ind w:left="160" w:leftChars="0"/>
                    <w:rPr>
                      <w:rFonts w:hint="eastAsia" w:ascii="宋体" w:hAnsi="宋体" w:eastAsia="宋体" w:cs="宋体"/>
                      <w:color w:val="auto"/>
                      <w:kern w:val="2"/>
                      <w:sz w:val="21"/>
                      <w:szCs w:val="21"/>
                      <w:lang w:val="en-US" w:eastAsia="zh-CN" w:bidi="ar-SA"/>
                    </w:rPr>
                  </w:pPr>
                  <w:r>
                    <w:rPr>
                      <w:color w:val="auto"/>
                      <w:spacing w:val="-2"/>
                      <w:sz w:val="21"/>
                      <w:szCs w:val="21"/>
                    </w:rPr>
                    <w:t>符合</w:t>
                  </w:r>
                </w:p>
              </w:tc>
            </w:tr>
            <w:tr w14:paraId="0F4268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vMerge w:val="continue"/>
                  <w:tcBorders>
                    <w:tl2br w:val="nil"/>
                    <w:tr2bl w:val="nil"/>
                  </w:tcBorders>
                  <w:noWrap w:val="0"/>
                  <w:vAlign w:val="center"/>
                </w:tcPr>
                <w:p w14:paraId="56D942A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p>
              </w:tc>
              <w:tc>
                <w:tcPr>
                  <w:tcW w:w="3310" w:type="dxa"/>
                  <w:tcBorders>
                    <w:tl2br w:val="nil"/>
                    <w:tr2bl w:val="nil"/>
                  </w:tcBorders>
                  <w:shd w:val="clear" w:color="auto" w:fill="auto"/>
                  <w:noWrap w:val="0"/>
                  <w:vAlign w:val="top"/>
                </w:tcPr>
                <w:p w14:paraId="3E2B4AB7">
                  <w:pPr>
                    <w:pStyle w:val="83"/>
                    <w:spacing w:before="29" w:line="234" w:lineRule="auto"/>
                    <w:ind w:left="24" w:leftChars="0" w:right="64" w:rightChars="0" w:firstLine="3" w:firstLineChars="0"/>
                    <w:rPr>
                      <w:rFonts w:hint="eastAsia" w:ascii="宋体" w:hAnsi="宋体" w:eastAsia="宋体" w:cs="宋体"/>
                      <w:color w:val="auto"/>
                      <w:kern w:val="2"/>
                      <w:sz w:val="21"/>
                      <w:szCs w:val="21"/>
                      <w:lang w:val="en-US" w:eastAsia="en-US" w:bidi="ar-SA"/>
                    </w:rPr>
                  </w:pPr>
                  <w:r>
                    <w:rPr>
                      <w:color w:val="auto"/>
                      <w:spacing w:val="-1"/>
                      <w:sz w:val="21"/>
                      <w:szCs w:val="21"/>
                    </w:rPr>
                    <w:t>大气环境保护对策和措施：</w:t>
                  </w:r>
                  <w:r>
                    <w:rPr>
                      <w:color w:val="auto"/>
                      <w:spacing w:val="2"/>
                      <w:sz w:val="21"/>
                      <w:szCs w:val="21"/>
                    </w:rPr>
                    <w:t xml:space="preserve"> </w:t>
                  </w:r>
                  <w:r>
                    <w:rPr>
                      <w:color w:val="auto"/>
                      <w:spacing w:val="-1"/>
                      <w:sz w:val="21"/>
                      <w:szCs w:val="21"/>
                    </w:rPr>
                    <w:t>严格产业准入制度，控制企</w:t>
                  </w:r>
                  <w:r>
                    <w:rPr>
                      <w:color w:val="auto"/>
                      <w:spacing w:val="6"/>
                      <w:sz w:val="21"/>
                      <w:szCs w:val="21"/>
                    </w:rPr>
                    <w:t xml:space="preserve"> </w:t>
                  </w:r>
                  <w:r>
                    <w:rPr>
                      <w:color w:val="auto"/>
                      <w:spacing w:val="-1"/>
                      <w:sz w:val="21"/>
                      <w:szCs w:val="21"/>
                    </w:rPr>
                    <w:t>业污染排放。设置新城产业</w:t>
                  </w:r>
                  <w:r>
                    <w:rPr>
                      <w:color w:val="auto"/>
                      <w:spacing w:val="6"/>
                      <w:sz w:val="21"/>
                      <w:szCs w:val="21"/>
                    </w:rPr>
                    <w:t xml:space="preserve"> </w:t>
                  </w:r>
                  <w:r>
                    <w:rPr>
                      <w:color w:val="auto"/>
                      <w:spacing w:val="-1"/>
                      <w:sz w:val="21"/>
                      <w:szCs w:val="21"/>
                    </w:rPr>
                    <w:t>准入大气环境标准，对排污</w:t>
                  </w:r>
                  <w:r>
                    <w:rPr>
                      <w:color w:val="auto"/>
                      <w:spacing w:val="6"/>
                      <w:sz w:val="21"/>
                      <w:szCs w:val="21"/>
                    </w:rPr>
                    <w:t xml:space="preserve"> </w:t>
                  </w:r>
                  <w:r>
                    <w:rPr>
                      <w:color w:val="auto"/>
                      <w:spacing w:val="-1"/>
                      <w:sz w:val="21"/>
                      <w:szCs w:val="21"/>
                    </w:rPr>
                    <w:t>量大的行业进行限制，防止对新城产生影响。</w:t>
                  </w:r>
                </w:p>
              </w:tc>
              <w:tc>
                <w:tcPr>
                  <w:tcW w:w="2332" w:type="dxa"/>
                  <w:tcBorders>
                    <w:tl2br w:val="nil"/>
                    <w:tr2bl w:val="nil"/>
                  </w:tcBorders>
                  <w:shd w:val="clear" w:color="auto" w:fill="auto"/>
                  <w:noWrap w:val="0"/>
                  <w:vAlign w:val="top"/>
                </w:tcPr>
                <w:p w14:paraId="0FCB25D9">
                  <w:pPr>
                    <w:pStyle w:val="83"/>
                    <w:spacing w:before="29" w:line="234" w:lineRule="auto"/>
                    <w:ind w:left="31" w:leftChars="0" w:right="163" w:rightChars="0" w:firstLine="1" w:firstLineChars="0"/>
                    <w:jc w:val="both"/>
                    <w:rPr>
                      <w:rFonts w:hint="eastAsia" w:ascii="宋体" w:hAnsi="宋体" w:eastAsia="宋体" w:cs="宋体"/>
                      <w:color w:val="auto"/>
                      <w:kern w:val="2"/>
                      <w:sz w:val="21"/>
                      <w:szCs w:val="21"/>
                      <w:lang w:val="en-US" w:eastAsia="en-US" w:bidi="ar-SA"/>
                    </w:rPr>
                  </w:pPr>
                  <w:r>
                    <w:rPr>
                      <w:color w:val="auto"/>
                      <w:spacing w:val="-1"/>
                      <w:sz w:val="21"/>
                      <w:szCs w:val="21"/>
                    </w:rPr>
                    <w:t>本项目</w:t>
                  </w:r>
                  <w:r>
                    <w:rPr>
                      <w:rFonts w:hint="eastAsia"/>
                      <w:color w:val="auto"/>
                      <w:spacing w:val="-1"/>
                      <w:sz w:val="21"/>
                      <w:szCs w:val="21"/>
                      <w:lang w:val="en-US" w:eastAsia="zh-CN"/>
                    </w:rPr>
                    <w:t>实验过程</w:t>
                  </w:r>
                  <w:r>
                    <w:rPr>
                      <w:color w:val="auto"/>
                      <w:spacing w:val="-1"/>
                      <w:sz w:val="21"/>
                      <w:szCs w:val="21"/>
                    </w:rPr>
                    <w:t>产生的有机废气</w:t>
                  </w:r>
                  <w:r>
                    <w:rPr>
                      <w:rFonts w:hint="eastAsia"/>
                      <w:color w:val="auto"/>
                      <w:spacing w:val="-1"/>
                      <w:sz w:val="21"/>
                      <w:szCs w:val="21"/>
                      <w:lang w:val="en-US" w:eastAsia="zh-CN"/>
                    </w:rPr>
                    <w:t>和无机废气</w:t>
                  </w:r>
                  <w:r>
                    <w:rPr>
                      <w:color w:val="auto"/>
                      <w:spacing w:val="-1"/>
                      <w:sz w:val="21"/>
                      <w:szCs w:val="21"/>
                    </w:rPr>
                    <w:t>经</w:t>
                  </w:r>
                  <w:r>
                    <w:rPr>
                      <w:rFonts w:hint="eastAsia"/>
                      <w:color w:val="auto"/>
                      <w:spacing w:val="-1"/>
                      <w:sz w:val="21"/>
                      <w:szCs w:val="21"/>
                      <w:lang w:val="en-US" w:eastAsia="zh-CN"/>
                    </w:rPr>
                    <w:t>通风柜</w:t>
                  </w:r>
                  <w:r>
                    <w:rPr>
                      <w:color w:val="auto"/>
                      <w:spacing w:val="-1"/>
                      <w:sz w:val="21"/>
                      <w:szCs w:val="21"/>
                    </w:rPr>
                    <w:t>收集后由</w:t>
                  </w:r>
                  <w:r>
                    <w:rPr>
                      <w:rFonts w:hint="eastAsia"/>
                      <w:color w:val="auto"/>
                      <w:spacing w:val="-1"/>
                      <w:sz w:val="21"/>
                      <w:szCs w:val="21"/>
                      <w:lang w:val="en-US" w:eastAsia="zh-CN"/>
                    </w:rPr>
                    <w:t>SDG+</w:t>
                  </w:r>
                  <w:r>
                    <w:rPr>
                      <w:color w:val="auto"/>
                      <w:spacing w:val="-1"/>
                      <w:sz w:val="21"/>
                      <w:szCs w:val="21"/>
                    </w:rPr>
                    <w:t>活性炭处理</w:t>
                  </w:r>
                  <w:r>
                    <w:rPr>
                      <w:color w:val="auto"/>
                      <w:spacing w:val="-5"/>
                      <w:sz w:val="21"/>
                      <w:szCs w:val="21"/>
                    </w:rPr>
                    <w:t>后</w:t>
                  </w:r>
                  <w:r>
                    <w:rPr>
                      <w:rFonts w:hint="default" w:ascii="Times New Roman" w:hAnsi="Times New Roman" w:cs="Times New Roman"/>
                      <w:color w:val="auto"/>
                      <w:spacing w:val="-5"/>
                      <w:sz w:val="21"/>
                      <w:szCs w:val="21"/>
                    </w:rPr>
                    <w:t>经</w:t>
                  </w:r>
                  <w:r>
                    <w:rPr>
                      <w:rFonts w:hint="default" w:ascii="Times New Roman" w:hAnsi="Times New Roman" w:cs="Times New Roman"/>
                      <w:color w:val="auto"/>
                      <w:spacing w:val="-22"/>
                      <w:sz w:val="21"/>
                      <w:szCs w:val="21"/>
                      <w:lang w:val="en-US" w:eastAsia="zh-CN"/>
                    </w:rPr>
                    <w:t>3</w:t>
                  </w:r>
                  <w:r>
                    <w:rPr>
                      <w:rFonts w:hint="default" w:ascii="Times New Roman" w:hAnsi="Times New Roman" w:cs="Times New Roman"/>
                      <w:color w:val="auto"/>
                      <w:spacing w:val="-5"/>
                      <w:sz w:val="21"/>
                      <w:szCs w:val="21"/>
                    </w:rPr>
                    <w:t>根</w:t>
                  </w:r>
                  <w:r>
                    <w:rPr>
                      <w:rFonts w:hint="default" w:ascii="Times New Roman" w:hAnsi="Times New Roman" w:cs="Times New Roman"/>
                      <w:color w:val="auto"/>
                      <w:spacing w:val="-50"/>
                      <w:sz w:val="21"/>
                      <w:szCs w:val="21"/>
                    </w:rPr>
                    <w:t xml:space="preserve"> </w:t>
                  </w:r>
                  <w:r>
                    <w:rPr>
                      <w:rFonts w:hint="default" w:ascii="Times New Roman" w:hAnsi="Times New Roman" w:eastAsia="Times New Roman" w:cs="Times New Roman"/>
                      <w:color w:val="auto"/>
                      <w:spacing w:val="-5"/>
                      <w:sz w:val="21"/>
                      <w:szCs w:val="21"/>
                    </w:rPr>
                    <w:t>2</w:t>
                  </w:r>
                  <w:r>
                    <w:rPr>
                      <w:rFonts w:hint="default" w:ascii="Times New Roman" w:hAnsi="Times New Roman" w:eastAsia="宋体" w:cs="Times New Roman"/>
                      <w:color w:val="auto"/>
                      <w:spacing w:val="-5"/>
                      <w:sz w:val="21"/>
                      <w:szCs w:val="21"/>
                      <w:lang w:val="en-US" w:eastAsia="zh-CN"/>
                    </w:rPr>
                    <w:t>8</w:t>
                  </w:r>
                  <w:r>
                    <w:rPr>
                      <w:rFonts w:hint="default" w:ascii="Times New Roman" w:hAnsi="Times New Roman" w:eastAsia="Times New Roman" w:cs="Times New Roman"/>
                      <w:color w:val="auto"/>
                      <w:spacing w:val="-5"/>
                      <w:sz w:val="21"/>
                      <w:szCs w:val="21"/>
                    </w:rPr>
                    <w:t xml:space="preserve">m </w:t>
                  </w:r>
                  <w:r>
                    <w:rPr>
                      <w:color w:val="auto"/>
                      <w:spacing w:val="-5"/>
                      <w:sz w:val="21"/>
                      <w:szCs w:val="21"/>
                    </w:rPr>
                    <w:t>高排气</w:t>
                  </w:r>
                  <w:r>
                    <w:rPr>
                      <w:color w:val="auto"/>
                      <w:spacing w:val="-1"/>
                      <w:sz w:val="21"/>
                      <w:szCs w:val="21"/>
                    </w:rPr>
                    <w:t>筒达标排放，对大气</w:t>
                  </w:r>
                  <w:r>
                    <w:rPr>
                      <w:color w:val="auto"/>
                      <w:spacing w:val="-3"/>
                      <w:sz w:val="21"/>
                      <w:szCs w:val="21"/>
                    </w:rPr>
                    <w:t>环境影响较小。</w:t>
                  </w:r>
                </w:p>
              </w:tc>
              <w:tc>
                <w:tcPr>
                  <w:tcW w:w="718" w:type="dxa"/>
                  <w:tcBorders>
                    <w:tl2br w:val="nil"/>
                    <w:tr2bl w:val="nil"/>
                  </w:tcBorders>
                  <w:shd w:val="clear" w:color="auto" w:fill="auto"/>
                  <w:noWrap w:val="0"/>
                  <w:vAlign w:val="top"/>
                </w:tcPr>
                <w:p w14:paraId="6913E709">
                  <w:pPr>
                    <w:spacing w:line="320" w:lineRule="auto"/>
                    <w:rPr>
                      <w:rFonts w:ascii="Arial"/>
                      <w:color w:val="auto"/>
                      <w:sz w:val="21"/>
                    </w:rPr>
                  </w:pPr>
                </w:p>
                <w:p w14:paraId="0F643CA3">
                  <w:pPr>
                    <w:spacing w:line="321" w:lineRule="auto"/>
                    <w:rPr>
                      <w:rFonts w:ascii="Arial"/>
                      <w:color w:val="auto"/>
                      <w:sz w:val="21"/>
                    </w:rPr>
                  </w:pPr>
                </w:p>
                <w:p w14:paraId="1D772C0A">
                  <w:pPr>
                    <w:pStyle w:val="83"/>
                    <w:spacing w:before="68" w:line="221" w:lineRule="auto"/>
                    <w:ind w:left="159" w:leftChars="0"/>
                    <w:rPr>
                      <w:rFonts w:hint="eastAsia" w:ascii="宋体" w:hAnsi="宋体" w:eastAsia="宋体" w:cs="宋体"/>
                      <w:color w:val="auto"/>
                      <w:kern w:val="2"/>
                      <w:sz w:val="21"/>
                      <w:szCs w:val="21"/>
                      <w:lang w:val="en-US" w:eastAsia="zh-CN" w:bidi="ar-SA"/>
                    </w:rPr>
                  </w:pPr>
                  <w:r>
                    <w:rPr>
                      <w:color w:val="auto"/>
                      <w:spacing w:val="-2"/>
                      <w:sz w:val="21"/>
                      <w:szCs w:val="21"/>
                    </w:rPr>
                    <w:t>符合</w:t>
                  </w:r>
                </w:p>
              </w:tc>
            </w:tr>
            <w:tr w14:paraId="707A6C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vMerge w:val="continue"/>
                  <w:tcBorders>
                    <w:tl2br w:val="nil"/>
                    <w:tr2bl w:val="nil"/>
                  </w:tcBorders>
                  <w:noWrap w:val="0"/>
                  <w:vAlign w:val="center"/>
                </w:tcPr>
                <w:p w14:paraId="6C48C26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p>
              </w:tc>
              <w:tc>
                <w:tcPr>
                  <w:tcW w:w="3310" w:type="dxa"/>
                  <w:tcBorders>
                    <w:tl2br w:val="nil"/>
                    <w:tr2bl w:val="nil"/>
                  </w:tcBorders>
                  <w:shd w:val="clear" w:color="auto" w:fill="auto"/>
                  <w:noWrap w:val="0"/>
                  <w:vAlign w:val="top"/>
                </w:tcPr>
                <w:p w14:paraId="79E9FE09">
                  <w:pPr>
                    <w:pStyle w:val="83"/>
                    <w:spacing w:before="36" w:line="239" w:lineRule="auto"/>
                    <w:ind w:left="25" w:leftChars="0" w:right="64" w:rightChars="0" w:firstLine="2"/>
                    <w:rPr>
                      <w:rFonts w:hint="eastAsia" w:ascii="宋体" w:hAnsi="宋体" w:eastAsia="宋体" w:cs="宋体"/>
                      <w:color w:val="auto"/>
                      <w:kern w:val="2"/>
                      <w:sz w:val="21"/>
                      <w:szCs w:val="21"/>
                      <w:lang w:val="en-US" w:eastAsia="en-US" w:bidi="ar-SA"/>
                    </w:rPr>
                  </w:pPr>
                  <w:r>
                    <w:rPr>
                      <w:color w:val="auto"/>
                      <w:spacing w:val="-1"/>
                      <w:sz w:val="21"/>
                      <w:szCs w:val="21"/>
                    </w:rPr>
                    <w:t>水环境保护对策和措施：严</w:t>
                  </w:r>
                  <w:r>
                    <w:rPr>
                      <w:color w:val="auto"/>
                      <w:spacing w:val="2"/>
                      <w:sz w:val="21"/>
                      <w:szCs w:val="21"/>
                    </w:rPr>
                    <w:t xml:space="preserve"> </w:t>
                  </w:r>
                  <w:r>
                    <w:rPr>
                      <w:color w:val="auto"/>
                      <w:spacing w:val="-1"/>
                      <w:sz w:val="21"/>
                      <w:szCs w:val="21"/>
                    </w:rPr>
                    <w:t>格环境准入制度，防治企业</w:t>
                  </w:r>
                  <w:r>
                    <w:rPr>
                      <w:color w:val="auto"/>
                      <w:spacing w:val="5"/>
                      <w:sz w:val="21"/>
                      <w:szCs w:val="21"/>
                    </w:rPr>
                    <w:t xml:space="preserve"> </w:t>
                  </w:r>
                  <w:r>
                    <w:rPr>
                      <w:color w:val="auto"/>
                      <w:spacing w:val="-1"/>
                      <w:sz w:val="21"/>
                      <w:szCs w:val="21"/>
                    </w:rPr>
                    <w:t>污染排放。在规划建设中，</w:t>
                  </w:r>
                  <w:r>
                    <w:rPr>
                      <w:color w:val="auto"/>
                      <w:spacing w:val="5"/>
                      <w:sz w:val="21"/>
                      <w:szCs w:val="21"/>
                    </w:rPr>
                    <w:t xml:space="preserve"> </w:t>
                  </w:r>
                  <w:r>
                    <w:rPr>
                      <w:color w:val="auto"/>
                      <w:spacing w:val="-1"/>
                      <w:sz w:val="21"/>
                      <w:szCs w:val="21"/>
                    </w:rPr>
                    <w:t>要设置相应的环保准入门槛，限制造纸、化工、食品</w:t>
                  </w:r>
                  <w:r>
                    <w:rPr>
                      <w:color w:val="auto"/>
                      <w:spacing w:val="6"/>
                      <w:sz w:val="21"/>
                      <w:szCs w:val="21"/>
                    </w:rPr>
                    <w:t xml:space="preserve"> </w:t>
                  </w:r>
                  <w:r>
                    <w:rPr>
                      <w:color w:val="auto"/>
                      <w:spacing w:val="-1"/>
                      <w:sz w:val="21"/>
                      <w:szCs w:val="21"/>
                    </w:rPr>
                    <w:t>饮料加工、皮革、电镀等高</w:t>
                  </w:r>
                  <w:r>
                    <w:rPr>
                      <w:color w:val="auto"/>
                      <w:spacing w:val="5"/>
                      <w:sz w:val="21"/>
                      <w:szCs w:val="21"/>
                    </w:rPr>
                    <w:t xml:space="preserve"> </w:t>
                  </w:r>
                  <w:r>
                    <w:rPr>
                      <w:color w:val="auto"/>
                      <w:spacing w:val="-2"/>
                      <w:sz w:val="21"/>
                      <w:szCs w:val="21"/>
                    </w:rPr>
                    <w:t>耗水、重污染行业进入。</w:t>
                  </w:r>
                </w:p>
              </w:tc>
              <w:tc>
                <w:tcPr>
                  <w:tcW w:w="2332" w:type="dxa"/>
                  <w:tcBorders>
                    <w:tl2br w:val="nil"/>
                    <w:tr2bl w:val="nil"/>
                  </w:tcBorders>
                  <w:shd w:val="clear" w:color="auto" w:fill="auto"/>
                  <w:noWrap w:val="0"/>
                  <w:vAlign w:val="top"/>
                </w:tcPr>
                <w:p w14:paraId="40079FAC">
                  <w:pPr>
                    <w:spacing w:line="254" w:lineRule="auto"/>
                    <w:rPr>
                      <w:rFonts w:ascii="Arial"/>
                      <w:color w:val="auto"/>
                      <w:sz w:val="21"/>
                    </w:rPr>
                  </w:pPr>
                </w:p>
                <w:p w14:paraId="5146CB95">
                  <w:pPr>
                    <w:spacing w:line="254" w:lineRule="auto"/>
                    <w:rPr>
                      <w:rFonts w:ascii="Arial"/>
                      <w:color w:val="auto"/>
                      <w:sz w:val="21"/>
                    </w:rPr>
                  </w:pPr>
                </w:p>
                <w:p w14:paraId="2920F2BB">
                  <w:pPr>
                    <w:pStyle w:val="83"/>
                    <w:spacing w:before="68" w:line="241" w:lineRule="auto"/>
                    <w:ind w:left="35" w:leftChars="0" w:hanging="2" w:firstLineChars="0"/>
                    <w:jc w:val="both"/>
                    <w:rPr>
                      <w:rFonts w:hint="eastAsia" w:ascii="宋体" w:hAnsi="宋体" w:eastAsia="宋体" w:cs="宋体"/>
                      <w:color w:val="auto"/>
                      <w:kern w:val="2"/>
                      <w:sz w:val="21"/>
                      <w:szCs w:val="21"/>
                      <w:lang w:val="en-US" w:eastAsia="en-US" w:bidi="ar-SA"/>
                    </w:rPr>
                  </w:pPr>
                  <w:r>
                    <w:rPr>
                      <w:color w:val="auto"/>
                      <w:spacing w:val="-2"/>
                      <w:sz w:val="21"/>
                      <w:szCs w:val="21"/>
                    </w:rPr>
                    <w:t>本项目属于</w:t>
                  </w:r>
                  <w:r>
                    <w:rPr>
                      <w:rFonts w:hint="eastAsia"/>
                      <w:color w:val="auto"/>
                      <w:spacing w:val="-2"/>
                      <w:sz w:val="21"/>
                      <w:szCs w:val="21"/>
                    </w:rPr>
                    <w:t>科技服务业-生物医药</w:t>
                  </w:r>
                  <w:r>
                    <w:rPr>
                      <w:rFonts w:hint="eastAsia"/>
                      <w:color w:val="auto"/>
                      <w:spacing w:val="-2"/>
                      <w:sz w:val="21"/>
                      <w:szCs w:val="21"/>
                      <w:lang w:val="en-US" w:eastAsia="zh-CN"/>
                    </w:rPr>
                    <w:t>行业</w:t>
                  </w:r>
                  <w:r>
                    <w:rPr>
                      <w:rFonts w:hint="eastAsia"/>
                      <w:color w:val="auto"/>
                      <w:spacing w:val="-2"/>
                      <w:sz w:val="21"/>
                      <w:szCs w:val="21"/>
                    </w:rPr>
                    <w:t>。</w:t>
                  </w:r>
                  <w:r>
                    <w:rPr>
                      <w:color w:val="auto"/>
                      <w:spacing w:val="-2"/>
                      <w:sz w:val="21"/>
                      <w:szCs w:val="21"/>
                    </w:rPr>
                    <w:t>不属于高耗水、重污染</w:t>
                  </w:r>
                  <w:r>
                    <w:rPr>
                      <w:color w:val="auto"/>
                      <w:spacing w:val="1"/>
                      <w:sz w:val="21"/>
                      <w:szCs w:val="21"/>
                    </w:rPr>
                    <w:t xml:space="preserve"> </w:t>
                  </w:r>
                  <w:r>
                    <w:rPr>
                      <w:color w:val="auto"/>
                      <w:spacing w:val="-10"/>
                      <w:sz w:val="21"/>
                      <w:szCs w:val="21"/>
                    </w:rPr>
                    <w:t>行业。</w:t>
                  </w:r>
                </w:p>
              </w:tc>
              <w:tc>
                <w:tcPr>
                  <w:tcW w:w="718" w:type="dxa"/>
                  <w:tcBorders>
                    <w:tl2br w:val="nil"/>
                    <w:tr2bl w:val="nil"/>
                  </w:tcBorders>
                  <w:shd w:val="clear" w:color="auto" w:fill="auto"/>
                  <w:noWrap w:val="0"/>
                  <w:vAlign w:val="top"/>
                </w:tcPr>
                <w:p w14:paraId="557B5EBE">
                  <w:pPr>
                    <w:spacing w:line="259" w:lineRule="auto"/>
                    <w:rPr>
                      <w:rFonts w:ascii="Arial"/>
                      <w:color w:val="auto"/>
                      <w:sz w:val="21"/>
                    </w:rPr>
                  </w:pPr>
                </w:p>
                <w:p w14:paraId="5DAF2C36">
                  <w:pPr>
                    <w:spacing w:line="260" w:lineRule="auto"/>
                    <w:rPr>
                      <w:rFonts w:ascii="Arial"/>
                      <w:color w:val="auto"/>
                      <w:sz w:val="21"/>
                    </w:rPr>
                  </w:pPr>
                </w:p>
                <w:p w14:paraId="45517BB0">
                  <w:pPr>
                    <w:spacing w:line="260" w:lineRule="auto"/>
                    <w:rPr>
                      <w:rFonts w:ascii="Arial"/>
                      <w:color w:val="auto"/>
                      <w:sz w:val="21"/>
                    </w:rPr>
                  </w:pPr>
                </w:p>
                <w:p w14:paraId="58BD2E70">
                  <w:pPr>
                    <w:pStyle w:val="83"/>
                    <w:spacing w:before="68" w:line="221" w:lineRule="auto"/>
                    <w:ind w:left="159" w:leftChars="0"/>
                    <w:rPr>
                      <w:rFonts w:hint="eastAsia" w:ascii="宋体" w:hAnsi="宋体" w:eastAsia="宋体" w:cs="宋体"/>
                      <w:color w:val="auto"/>
                      <w:kern w:val="2"/>
                      <w:sz w:val="21"/>
                      <w:szCs w:val="21"/>
                      <w:lang w:val="en-US" w:eastAsia="zh-CN" w:bidi="ar-SA"/>
                    </w:rPr>
                  </w:pPr>
                  <w:r>
                    <w:rPr>
                      <w:color w:val="auto"/>
                      <w:spacing w:val="-2"/>
                      <w:sz w:val="21"/>
                      <w:szCs w:val="21"/>
                    </w:rPr>
                    <w:t>符合</w:t>
                  </w:r>
                </w:p>
              </w:tc>
            </w:tr>
            <w:tr w14:paraId="227B0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37" w:type="dxa"/>
                  <w:vMerge w:val="continue"/>
                  <w:tcBorders>
                    <w:tl2br w:val="nil"/>
                    <w:tr2bl w:val="nil"/>
                  </w:tcBorders>
                  <w:noWrap w:val="0"/>
                  <w:vAlign w:val="center"/>
                </w:tcPr>
                <w:p w14:paraId="68E0400B">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p>
              </w:tc>
              <w:tc>
                <w:tcPr>
                  <w:tcW w:w="3310" w:type="dxa"/>
                  <w:tcBorders>
                    <w:tl2br w:val="nil"/>
                    <w:tr2bl w:val="nil"/>
                  </w:tcBorders>
                  <w:shd w:val="clear" w:color="auto" w:fill="auto"/>
                  <w:noWrap w:val="0"/>
                  <w:vAlign w:val="top"/>
                </w:tcPr>
                <w:p w14:paraId="3BEB3D3C">
                  <w:pPr>
                    <w:pStyle w:val="83"/>
                    <w:spacing w:before="41" w:line="234" w:lineRule="auto"/>
                    <w:ind w:left="24" w:leftChars="0" w:right="64" w:rightChars="0" w:firstLine="5" w:firstLineChars="0"/>
                    <w:rPr>
                      <w:rFonts w:hint="eastAsia" w:ascii="宋体" w:hAnsi="宋体" w:eastAsia="宋体" w:cs="宋体"/>
                      <w:color w:val="auto"/>
                      <w:kern w:val="2"/>
                      <w:sz w:val="21"/>
                      <w:szCs w:val="21"/>
                      <w:lang w:val="en-US" w:eastAsia="en-US" w:bidi="ar-SA"/>
                    </w:rPr>
                  </w:pPr>
                  <w:r>
                    <w:rPr>
                      <w:color w:val="auto"/>
                      <w:spacing w:val="-1"/>
                      <w:sz w:val="21"/>
                      <w:szCs w:val="21"/>
                    </w:rPr>
                    <w:t>声环境保护对策和措施：加强环境噪声管理，建立完善的环境噪声管理办法。完善环境噪声达标区管理办法，加强对公共和个人娱乐区、商业区等环境噪声管理，加强对建筑噪声以及固定噪声</w:t>
                  </w:r>
                  <w:r>
                    <w:rPr>
                      <w:color w:val="auto"/>
                      <w:spacing w:val="6"/>
                      <w:sz w:val="21"/>
                      <w:szCs w:val="21"/>
                    </w:rPr>
                    <w:t xml:space="preserve"> </w:t>
                  </w:r>
                  <w:r>
                    <w:rPr>
                      <w:color w:val="auto"/>
                      <w:spacing w:val="-1"/>
                      <w:sz w:val="21"/>
                      <w:szCs w:val="21"/>
                    </w:rPr>
                    <w:t>源管理。</w:t>
                  </w:r>
                </w:p>
              </w:tc>
              <w:tc>
                <w:tcPr>
                  <w:tcW w:w="2332" w:type="dxa"/>
                  <w:tcBorders>
                    <w:tl2br w:val="nil"/>
                    <w:tr2bl w:val="nil"/>
                  </w:tcBorders>
                  <w:shd w:val="clear" w:color="auto" w:fill="auto"/>
                  <w:noWrap w:val="0"/>
                  <w:vAlign w:val="top"/>
                </w:tcPr>
                <w:p w14:paraId="1016E1E9">
                  <w:pPr>
                    <w:spacing w:line="323" w:lineRule="auto"/>
                    <w:rPr>
                      <w:rFonts w:ascii="Arial"/>
                      <w:color w:val="auto"/>
                      <w:sz w:val="21"/>
                    </w:rPr>
                  </w:pPr>
                </w:p>
                <w:p w14:paraId="4AD292D5">
                  <w:pPr>
                    <w:spacing w:line="323" w:lineRule="auto"/>
                    <w:rPr>
                      <w:rFonts w:ascii="Arial"/>
                      <w:color w:val="auto"/>
                      <w:sz w:val="21"/>
                    </w:rPr>
                  </w:pPr>
                </w:p>
                <w:p w14:paraId="278D5D50">
                  <w:pPr>
                    <w:pStyle w:val="83"/>
                    <w:spacing w:before="68" w:line="220" w:lineRule="auto"/>
                    <w:ind w:left="33"/>
                    <w:rPr>
                      <w:color w:val="auto"/>
                      <w:sz w:val="21"/>
                      <w:szCs w:val="21"/>
                    </w:rPr>
                  </w:pPr>
                  <w:r>
                    <w:rPr>
                      <w:color w:val="auto"/>
                      <w:spacing w:val="-1"/>
                      <w:sz w:val="21"/>
                      <w:szCs w:val="21"/>
                    </w:rPr>
                    <w:t>本项目噪声经基础减</w:t>
                  </w:r>
                </w:p>
                <w:p w14:paraId="50C199BD">
                  <w:pPr>
                    <w:pStyle w:val="83"/>
                    <w:spacing w:before="20" w:line="243" w:lineRule="auto"/>
                    <w:ind w:left="50" w:leftChars="0" w:hanging="19" w:firstLineChars="0"/>
                    <w:rPr>
                      <w:rFonts w:hint="eastAsia" w:ascii="宋体" w:hAnsi="宋体" w:eastAsia="宋体" w:cs="宋体"/>
                      <w:color w:val="auto"/>
                      <w:kern w:val="2"/>
                      <w:sz w:val="21"/>
                      <w:szCs w:val="21"/>
                      <w:lang w:val="en-US" w:eastAsia="en-US" w:bidi="ar-SA"/>
                    </w:rPr>
                  </w:pPr>
                  <w:r>
                    <w:rPr>
                      <w:color w:val="auto"/>
                      <w:spacing w:val="-2"/>
                      <w:sz w:val="21"/>
                      <w:szCs w:val="21"/>
                    </w:rPr>
                    <w:t>振、厂房隔声后，对周</w:t>
                  </w:r>
                  <w:r>
                    <w:rPr>
                      <w:color w:val="auto"/>
                      <w:spacing w:val="5"/>
                      <w:sz w:val="21"/>
                      <w:szCs w:val="21"/>
                    </w:rPr>
                    <w:t xml:space="preserve"> </w:t>
                  </w:r>
                  <w:r>
                    <w:rPr>
                      <w:color w:val="auto"/>
                      <w:spacing w:val="-6"/>
                      <w:sz w:val="21"/>
                      <w:szCs w:val="21"/>
                    </w:rPr>
                    <w:t>围声环境影响较小。</w:t>
                  </w:r>
                </w:p>
              </w:tc>
              <w:tc>
                <w:tcPr>
                  <w:tcW w:w="718" w:type="dxa"/>
                  <w:tcBorders>
                    <w:tl2br w:val="nil"/>
                    <w:tr2bl w:val="nil"/>
                  </w:tcBorders>
                  <w:shd w:val="clear" w:color="auto" w:fill="auto"/>
                  <w:noWrap w:val="0"/>
                  <w:vAlign w:val="top"/>
                </w:tcPr>
                <w:p w14:paraId="5CBC7B58">
                  <w:pPr>
                    <w:spacing w:line="305" w:lineRule="auto"/>
                    <w:rPr>
                      <w:rFonts w:ascii="Arial"/>
                      <w:color w:val="auto"/>
                      <w:sz w:val="21"/>
                    </w:rPr>
                  </w:pPr>
                </w:p>
                <w:p w14:paraId="4DF7C487">
                  <w:pPr>
                    <w:spacing w:line="305" w:lineRule="auto"/>
                    <w:rPr>
                      <w:rFonts w:ascii="Arial"/>
                      <w:color w:val="auto"/>
                      <w:sz w:val="21"/>
                    </w:rPr>
                  </w:pPr>
                </w:p>
                <w:p w14:paraId="6621D977">
                  <w:pPr>
                    <w:spacing w:line="305" w:lineRule="auto"/>
                    <w:rPr>
                      <w:rFonts w:ascii="Arial"/>
                      <w:color w:val="auto"/>
                      <w:sz w:val="21"/>
                    </w:rPr>
                  </w:pPr>
                </w:p>
                <w:p w14:paraId="1FDBF97B">
                  <w:pPr>
                    <w:pStyle w:val="83"/>
                    <w:spacing w:before="69" w:line="221" w:lineRule="auto"/>
                    <w:ind w:left="159" w:leftChars="0"/>
                    <w:rPr>
                      <w:rFonts w:hint="eastAsia" w:ascii="宋体" w:hAnsi="宋体" w:eastAsia="宋体" w:cs="宋体"/>
                      <w:color w:val="auto"/>
                      <w:kern w:val="2"/>
                      <w:sz w:val="21"/>
                      <w:szCs w:val="21"/>
                      <w:lang w:val="en-US" w:eastAsia="zh-CN" w:bidi="ar-SA"/>
                    </w:rPr>
                  </w:pPr>
                  <w:r>
                    <w:rPr>
                      <w:color w:val="auto"/>
                      <w:spacing w:val="-2"/>
                      <w:sz w:val="21"/>
                      <w:szCs w:val="21"/>
                    </w:rPr>
                    <w:t>符合</w:t>
                  </w:r>
                </w:p>
              </w:tc>
            </w:tr>
            <w:tr w14:paraId="76E0E3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7" w:type="dxa"/>
                  <w:vMerge w:val="continue"/>
                  <w:tcBorders>
                    <w:tl2br w:val="nil"/>
                    <w:tr2bl w:val="nil"/>
                  </w:tcBorders>
                  <w:noWrap w:val="0"/>
                  <w:vAlign w:val="center"/>
                </w:tcPr>
                <w:p w14:paraId="1F31215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Times New Roman" w:hAnsi="Times New Roman" w:eastAsia="宋体" w:cs="Times New Roman"/>
                      <w:color w:val="auto"/>
                      <w:kern w:val="2"/>
                      <w:sz w:val="21"/>
                      <w:szCs w:val="24"/>
                      <w:highlight w:val="none"/>
                      <w:lang w:val="en-US" w:eastAsia="zh-CN" w:bidi="ar-SA"/>
                    </w:rPr>
                  </w:pPr>
                </w:p>
              </w:tc>
              <w:tc>
                <w:tcPr>
                  <w:tcW w:w="3310" w:type="dxa"/>
                  <w:tcBorders>
                    <w:tl2br w:val="nil"/>
                    <w:tr2bl w:val="nil"/>
                  </w:tcBorders>
                  <w:shd w:val="clear" w:color="auto" w:fill="auto"/>
                  <w:noWrap w:val="0"/>
                  <w:vAlign w:val="top"/>
                </w:tcPr>
                <w:p w14:paraId="76D76002">
                  <w:pPr>
                    <w:pStyle w:val="83"/>
                    <w:spacing w:before="42" w:line="239" w:lineRule="auto"/>
                    <w:ind w:left="25" w:right="64" w:firstLine="18"/>
                    <w:rPr>
                      <w:rFonts w:hint="eastAsia" w:ascii="宋体" w:hAnsi="宋体" w:eastAsia="宋体" w:cs="宋体"/>
                      <w:color w:val="auto"/>
                      <w:kern w:val="2"/>
                      <w:sz w:val="21"/>
                      <w:szCs w:val="21"/>
                      <w:lang w:val="en-US" w:eastAsia="en-US" w:bidi="ar-SA"/>
                    </w:rPr>
                  </w:pPr>
                  <w:r>
                    <w:rPr>
                      <w:color w:val="auto"/>
                      <w:spacing w:val="-2"/>
                      <w:sz w:val="21"/>
                      <w:szCs w:val="21"/>
                    </w:rPr>
                    <w:t>固体废物综合整治对策：提</w:t>
                  </w:r>
                  <w:r>
                    <w:rPr>
                      <w:color w:val="auto"/>
                      <w:spacing w:val="-1"/>
                      <w:sz w:val="21"/>
                      <w:szCs w:val="21"/>
                    </w:rPr>
                    <w:t>高全民的环境意识，提倡节约，减少城市生活垃圾产生</w:t>
                  </w:r>
                  <w:r>
                    <w:rPr>
                      <w:color w:val="auto"/>
                      <w:spacing w:val="5"/>
                      <w:sz w:val="21"/>
                      <w:szCs w:val="21"/>
                    </w:rPr>
                    <w:t xml:space="preserve"> </w:t>
                  </w:r>
                  <w:r>
                    <w:rPr>
                      <w:color w:val="auto"/>
                      <w:spacing w:val="-1"/>
                      <w:sz w:val="21"/>
                      <w:szCs w:val="21"/>
                    </w:rPr>
                    <w:t>量，推行生活垃圾分类收集，提高生活垃圾无害化</w:t>
                  </w:r>
                  <w:r>
                    <w:rPr>
                      <w:rFonts w:hint="eastAsia"/>
                      <w:color w:val="auto"/>
                      <w:spacing w:val="-1"/>
                      <w:sz w:val="21"/>
                      <w:szCs w:val="21"/>
                      <w:lang w:eastAsia="zh-CN"/>
                    </w:rPr>
                    <w:t>处理率</w:t>
                  </w:r>
                  <w:r>
                    <w:rPr>
                      <w:color w:val="auto"/>
                      <w:spacing w:val="-1"/>
                      <w:sz w:val="21"/>
                      <w:szCs w:val="21"/>
                    </w:rPr>
                    <w:t>和固体废物综合利用率。提高危险固废和医疗垃</w:t>
                  </w:r>
                  <w:r>
                    <w:rPr>
                      <w:color w:val="auto"/>
                      <w:spacing w:val="3"/>
                      <w:sz w:val="21"/>
                      <w:szCs w:val="21"/>
                    </w:rPr>
                    <w:t xml:space="preserve"> </w:t>
                  </w:r>
                  <w:r>
                    <w:rPr>
                      <w:color w:val="auto"/>
                      <w:spacing w:val="-1"/>
                      <w:sz w:val="21"/>
                      <w:szCs w:val="21"/>
                    </w:rPr>
                    <w:t>圾的安全处理、处置能力。</w:t>
                  </w:r>
                  <w:r>
                    <w:rPr>
                      <w:color w:val="auto"/>
                      <w:spacing w:val="5"/>
                      <w:sz w:val="21"/>
                      <w:szCs w:val="21"/>
                    </w:rPr>
                    <w:t xml:space="preserve"> </w:t>
                  </w:r>
                  <w:r>
                    <w:rPr>
                      <w:color w:val="auto"/>
                      <w:spacing w:val="-1"/>
                      <w:sz w:val="21"/>
                      <w:szCs w:val="21"/>
                    </w:rPr>
                    <w:t>建立危险废物和医疗废物的</w:t>
                  </w:r>
                  <w:r>
                    <w:rPr>
                      <w:color w:val="auto"/>
                      <w:spacing w:val="5"/>
                      <w:sz w:val="21"/>
                      <w:szCs w:val="21"/>
                    </w:rPr>
                    <w:t xml:space="preserve"> </w:t>
                  </w:r>
                  <w:r>
                    <w:rPr>
                      <w:color w:val="auto"/>
                      <w:spacing w:val="-1"/>
                      <w:sz w:val="21"/>
                      <w:szCs w:val="21"/>
                    </w:rPr>
                    <w:t>收集、运输、处置的全过程</w:t>
                  </w:r>
                  <w:r>
                    <w:rPr>
                      <w:color w:val="auto"/>
                      <w:spacing w:val="5"/>
                      <w:sz w:val="21"/>
                      <w:szCs w:val="21"/>
                    </w:rPr>
                    <w:t xml:space="preserve"> </w:t>
                  </w:r>
                  <w:r>
                    <w:rPr>
                      <w:color w:val="auto"/>
                      <w:spacing w:val="-3"/>
                      <w:sz w:val="21"/>
                      <w:szCs w:val="21"/>
                    </w:rPr>
                    <w:t>环境监督管理体系。</w:t>
                  </w:r>
                </w:p>
              </w:tc>
              <w:tc>
                <w:tcPr>
                  <w:tcW w:w="2332" w:type="dxa"/>
                  <w:tcBorders>
                    <w:tl2br w:val="nil"/>
                    <w:tr2bl w:val="nil"/>
                  </w:tcBorders>
                  <w:shd w:val="clear" w:color="auto" w:fill="auto"/>
                  <w:noWrap w:val="0"/>
                  <w:vAlign w:val="top"/>
                </w:tcPr>
                <w:p w14:paraId="6CF901AC">
                  <w:pPr>
                    <w:spacing w:line="306" w:lineRule="auto"/>
                    <w:rPr>
                      <w:rFonts w:ascii="Arial"/>
                      <w:color w:val="auto"/>
                      <w:sz w:val="21"/>
                    </w:rPr>
                  </w:pPr>
                </w:p>
                <w:p w14:paraId="2D64A02D">
                  <w:pPr>
                    <w:spacing w:line="306" w:lineRule="auto"/>
                    <w:rPr>
                      <w:rFonts w:ascii="Arial"/>
                      <w:color w:val="auto"/>
                      <w:sz w:val="21"/>
                    </w:rPr>
                  </w:pPr>
                </w:p>
                <w:p w14:paraId="56495DA2">
                  <w:pPr>
                    <w:spacing w:line="307" w:lineRule="auto"/>
                    <w:rPr>
                      <w:rFonts w:ascii="Arial"/>
                      <w:color w:val="auto"/>
                      <w:sz w:val="21"/>
                    </w:rPr>
                  </w:pPr>
                </w:p>
                <w:p w14:paraId="325F280F">
                  <w:pPr>
                    <w:pStyle w:val="83"/>
                    <w:spacing w:before="68" w:line="239" w:lineRule="auto"/>
                    <w:ind w:left="33"/>
                    <w:rPr>
                      <w:rFonts w:hint="eastAsia" w:ascii="宋体" w:hAnsi="宋体" w:eastAsia="宋体" w:cs="宋体"/>
                      <w:color w:val="auto"/>
                      <w:kern w:val="2"/>
                      <w:sz w:val="21"/>
                      <w:szCs w:val="21"/>
                      <w:lang w:val="en-US" w:eastAsia="en-US" w:bidi="ar-SA"/>
                    </w:rPr>
                  </w:pPr>
                  <w:r>
                    <w:rPr>
                      <w:color w:val="auto"/>
                      <w:spacing w:val="-2"/>
                      <w:sz w:val="21"/>
                      <w:szCs w:val="21"/>
                    </w:rPr>
                    <w:t>本项目危险废物依托</w:t>
                  </w:r>
                  <w:r>
                    <w:rPr>
                      <w:rFonts w:hint="eastAsia"/>
                      <w:color w:val="auto"/>
                      <w:spacing w:val="-2"/>
                      <w:sz w:val="21"/>
                      <w:szCs w:val="21"/>
                      <w:lang w:val="en-US" w:eastAsia="zh-CN"/>
                    </w:rPr>
                    <w:t>现有</w:t>
                  </w:r>
                  <w:r>
                    <w:rPr>
                      <w:color w:val="auto"/>
                      <w:spacing w:val="-3"/>
                      <w:sz w:val="21"/>
                      <w:szCs w:val="21"/>
                    </w:rPr>
                    <w:t>危废暂存库暂存，定</w:t>
                  </w:r>
                  <w:r>
                    <w:rPr>
                      <w:color w:val="auto"/>
                      <w:spacing w:val="-2"/>
                      <w:sz w:val="21"/>
                      <w:szCs w:val="21"/>
                    </w:rPr>
                    <w:t>期交由有资质单位</w:t>
                  </w:r>
                  <w:r>
                    <w:rPr>
                      <w:rFonts w:hint="eastAsia"/>
                      <w:color w:val="auto"/>
                      <w:spacing w:val="-2"/>
                      <w:sz w:val="21"/>
                      <w:szCs w:val="21"/>
                      <w:lang w:eastAsia="zh-CN"/>
                    </w:rPr>
                    <w:t>处理</w:t>
                  </w:r>
                  <w:r>
                    <w:rPr>
                      <w:color w:val="auto"/>
                      <w:spacing w:val="-9"/>
                      <w:sz w:val="21"/>
                      <w:szCs w:val="21"/>
                    </w:rPr>
                    <w:t>置。</w:t>
                  </w:r>
                </w:p>
              </w:tc>
              <w:tc>
                <w:tcPr>
                  <w:tcW w:w="718" w:type="dxa"/>
                  <w:tcBorders>
                    <w:tl2br w:val="nil"/>
                    <w:tr2bl w:val="nil"/>
                  </w:tcBorders>
                  <w:shd w:val="clear" w:color="auto" w:fill="auto"/>
                  <w:noWrap w:val="0"/>
                  <w:vAlign w:val="top"/>
                </w:tcPr>
                <w:p w14:paraId="7DDC6E42">
                  <w:pPr>
                    <w:spacing w:line="264" w:lineRule="auto"/>
                    <w:rPr>
                      <w:rFonts w:ascii="Arial"/>
                      <w:color w:val="auto"/>
                      <w:sz w:val="21"/>
                    </w:rPr>
                  </w:pPr>
                </w:p>
                <w:p w14:paraId="02CE2711">
                  <w:pPr>
                    <w:spacing w:line="265" w:lineRule="auto"/>
                    <w:rPr>
                      <w:rFonts w:ascii="Arial"/>
                      <w:color w:val="auto"/>
                      <w:sz w:val="21"/>
                    </w:rPr>
                  </w:pPr>
                </w:p>
                <w:p w14:paraId="6578693D">
                  <w:pPr>
                    <w:spacing w:line="265" w:lineRule="auto"/>
                    <w:rPr>
                      <w:rFonts w:ascii="Arial"/>
                      <w:color w:val="auto"/>
                      <w:sz w:val="21"/>
                    </w:rPr>
                  </w:pPr>
                </w:p>
                <w:p w14:paraId="2CD87022">
                  <w:pPr>
                    <w:spacing w:line="265" w:lineRule="auto"/>
                    <w:rPr>
                      <w:rFonts w:ascii="Arial"/>
                      <w:color w:val="auto"/>
                      <w:sz w:val="21"/>
                    </w:rPr>
                  </w:pPr>
                </w:p>
                <w:p w14:paraId="53483AFE">
                  <w:pPr>
                    <w:spacing w:line="265" w:lineRule="auto"/>
                    <w:rPr>
                      <w:rFonts w:ascii="Arial"/>
                      <w:color w:val="auto"/>
                      <w:sz w:val="21"/>
                    </w:rPr>
                  </w:pPr>
                </w:p>
                <w:p w14:paraId="384F1542">
                  <w:pPr>
                    <w:pStyle w:val="83"/>
                    <w:spacing w:before="68" w:line="221" w:lineRule="auto"/>
                    <w:ind w:left="159" w:leftChars="0"/>
                    <w:rPr>
                      <w:rFonts w:hint="eastAsia" w:ascii="宋体" w:hAnsi="宋体" w:eastAsia="宋体" w:cs="宋体"/>
                      <w:color w:val="auto"/>
                      <w:kern w:val="2"/>
                      <w:sz w:val="21"/>
                      <w:szCs w:val="21"/>
                      <w:lang w:val="en-US" w:eastAsia="zh-CN" w:bidi="ar-SA"/>
                    </w:rPr>
                  </w:pPr>
                  <w:r>
                    <w:rPr>
                      <w:color w:val="auto"/>
                      <w:spacing w:val="-2"/>
                      <w:sz w:val="21"/>
                      <w:szCs w:val="21"/>
                    </w:rPr>
                    <w:t>符合</w:t>
                  </w:r>
                </w:p>
              </w:tc>
            </w:tr>
            <w:tr w14:paraId="091351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9" w:hRule="atLeast"/>
                <w:jc w:val="center"/>
              </w:trPr>
              <w:tc>
                <w:tcPr>
                  <w:tcW w:w="1437" w:type="dxa"/>
                  <w:vMerge w:val="continue"/>
                  <w:tcBorders>
                    <w:tl2br w:val="nil"/>
                    <w:tr2bl w:val="nil"/>
                  </w:tcBorders>
                  <w:noWrap w:val="0"/>
                  <w:vAlign w:val="center"/>
                </w:tcPr>
                <w:p w14:paraId="52A4F33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0"/>
                      <w:szCs w:val="21"/>
                      <w:highlight w:val="none"/>
                    </w:rPr>
                  </w:pPr>
                </w:p>
              </w:tc>
              <w:tc>
                <w:tcPr>
                  <w:tcW w:w="3310" w:type="dxa"/>
                  <w:tcBorders>
                    <w:tl2br w:val="nil"/>
                    <w:tr2bl w:val="nil"/>
                  </w:tcBorders>
                  <w:noWrap w:val="0"/>
                  <w:vAlign w:val="center"/>
                </w:tcPr>
                <w:p w14:paraId="16D5DE1D">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both"/>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实行污水集中处理，生产废水和生活污水必须经处理达到污水处理厂接纳标准后汇入污水管道，排入污水处理厂集中处理。</w:t>
                  </w:r>
                </w:p>
              </w:tc>
              <w:tc>
                <w:tcPr>
                  <w:tcW w:w="2332" w:type="dxa"/>
                  <w:tcBorders>
                    <w:tl2br w:val="nil"/>
                    <w:tr2bl w:val="nil"/>
                  </w:tcBorders>
                  <w:noWrap w:val="0"/>
                  <w:vAlign w:val="center"/>
                </w:tcPr>
                <w:p w14:paraId="59C9608F">
                  <w:pPr>
                    <w:keepNext w:val="0"/>
                    <w:keepLines w:val="0"/>
                    <w:pageBreakBefore w:val="0"/>
                    <w:widowControl w:val="0"/>
                    <w:kinsoku/>
                    <w:wordWrap/>
                    <w:overflowPunct/>
                    <w:topLinePunct w:val="0"/>
                    <w:autoSpaceDE/>
                    <w:autoSpaceDN/>
                    <w:bidi w:val="0"/>
                    <w:adjustRightInd/>
                    <w:snapToGrid/>
                    <w:ind w:firstLine="210" w:firstLineChars="100"/>
                    <w:textAlignment w:val="auto"/>
                    <w:rPr>
                      <w:rFonts w:hint="default"/>
                      <w:color w:val="auto"/>
                      <w:highlight w:val="none"/>
                      <w:lang w:val="en-US" w:eastAsia="zh-CN"/>
                    </w:rPr>
                  </w:pPr>
                  <w:r>
                    <w:rPr>
                      <w:rFonts w:hint="eastAsia"/>
                      <w:color w:val="auto"/>
                      <w:highlight w:val="none"/>
                      <w:lang w:val="en-US" w:eastAsia="zh-CN"/>
                    </w:rPr>
                    <w:t>本项目</w:t>
                  </w:r>
                  <w:r>
                    <w:rPr>
                      <w:rFonts w:hint="eastAsia"/>
                      <w:color w:val="auto"/>
                      <w:highlight w:val="none"/>
                    </w:rPr>
                    <w:t>实验器具</w:t>
                  </w:r>
                  <w:r>
                    <w:rPr>
                      <w:rFonts w:hint="eastAsia"/>
                      <w:color w:val="auto"/>
                      <w:highlight w:val="none"/>
                      <w:lang w:val="en-US" w:eastAsia="zh-CN"/>
                    </w:rPr>
                    <w:t>首先</w:t>
                  </w:r>
                  <w:r>
                    <w:rPr>
                      <w:rFonts w:hint="eastAsia"/>
                      <w:color w:val="auto"/>
                      <w:highlight w:val="none"/>
                    </w:rPr>
                    <w:t>使用有机溶剂清洗产生的清洗废液</w:t>
                  </w:r>
                  <w:r>
                    <w:rPr>
                      <w:rFonts w:hint="eastAsia"/>
                      <w:color w:val="auto"/>
                      <w:highlight w:val="none"/>
                      <w:lang w:val="en-US" w:eastAsia="zh-CN"/>
                    </w:rPr>
                    <w:t>与</w:t>
                  </w:r>
                  <w:r>
                    <w:rPr>
                      <w:rFonts w:hint="eastAsia"/>
                      <w:color w:val="auto"/>
                      <w:highlight w:val="none"/>
                    </w:rPr>
                    <w:t>实验器具第</w:t>
                  </w:r>
                  <w:r>
                    <w:rPr>
                      <w:rFonts w:hint="eastAsia"/>
                      <w:color w:val="auto"/>
                      <w:highlight w:val="none"/>
                      <w:lang w:eastAsia="zh-CN"/>
                    </w:rPr>
                    <w:t>一、二次</w:t>
                  </w:r>
                  <w:r>
                    <w:rPr>
                      <w:rFonts w:hint="eastAsia"/>
                      <w:color w:val="auto"/>
                      <w:highlight w:val="none"/>
                    </w:rPr>
                    <w:t>使用自来水清洗</w:t>
                  </w:r>
                  <w:r>
                    <w:rPr>
                      <w:rFonts w:hint="eastAsia"/>
                      <w:color w:val="auto"/>
                      <w:highlight w:val="none"/>
                      <w:lang w:val="en-US" w:eastAsia="zh-CN"/>
                    </w:rPr>
                    <w:t>废水作</w:t>
                  </w:r>
                  <w:r>
                    <w:rPr>
                      <w:rFonts w:hint="eastAsia"/>
                      <w:color w:val="auto"/>
                      <w:highlight w:val="none"/>
                    </w:rPr>
                    <w:t>为危险废物暂存于危废贮存库内，定期交由陕西水发环境有限公司收运处置。第</w:t>
                  </w:r>
                  <w:r>
                    <w:rPr>
                      <w:rFonts w:hint="eastAsia"/>
                      <w:color w:val="auto"/>
                      <w:highlight w:val="none"/>
                      <w:lang w:val="en-US" w:eastAsia="zh-CN"/>
                    </w:rPr>
                    <w:t>三、四</w:t>
                  </w:r>
                  <w:r>
                    <w:rPr>
                      <w:rFonts w:hint="eastAsia"/>
                      <w:color w:val="auto"/>
                      <w:highlight w:val="none"/>
                    </w:rPr>
                    <w:t>次清洗废水和台面、地面清洗废水经现有自建的污水处理间进行预处理，与生活污水一起排入化粪池（依托伟合沣东科技产业园）内，经处理达标后排入市政污水管网，最终进入西安净水处理有限责任公司第六再生水厂进一步处理。</w:t>
                  </w:r>
                </w:p>
              </w:tc>
              <w:tc>
                <w:tcPr>
                  <w:tcW w:w="718" w:type="dxa"/>
                  <w:tcBorders>
                    <w:tl2br w:val="nil"/>
                    <w:tr2bl w:val="nil"/>
                  </w:tcBorders>
                  <w:noWrap w:val="0"/>
                  <w:vAlign w:val="center"/>
                </w:tcPr>
                <w:p w14:paraId="4CE13944">
                  <w:pPr>
                    <w:jc w:val="center"/>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符合</w:t>
                  </w:r>
                </w:p>
              </w:tc>
            </w:tr>
            <w:tr w14:paraId="6C434B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1437" w:type="dxa"/>
                  <w:vMerge w:val="continue"/>
                  <w:tcBorders>
                    <w:tl2br w:val="nil"/>
                    <w:tr2bl w:val="nil"/>
                  </w:tcBorders>
                  <w:noWrap w:val="0"/>
                  <w:vAlign w:val="center"/>
                </w:tcPr>
                <w:p w14:paraId="77036B7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color w:val="auto"/>
                      <w:kern w:val="0"/>
                      <w:szCs w:val="21"/>
                      <w:highlight w:val="none"/>
                    </w:rPr>
                  </w:pPr>
                </w:p>
              </w:tc>
              <w:tc>
                <w:tcPr>
                  <w:tcW w:w="3310" w:type="dxa"/>
                  <w:tcBorders>
                    <w:tl2br w:val="nil"/>
                    <w:tr2bl w:val="nil"/>
                  </w:tcBorders>
                  <w:noWrap w:val="0"/>
                  <w:vAlign w:val="center"/>
                </w:tcPr>
                <w:p w14:paraId="59ECE354">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color w:val="auto"/>
                      <w:kern w:val="2"/>
                      <w:sz w:val="21"/>
                      <w:szCs w:val="24"/>
                      <w:highlight w:val="none"/>
                      <w:lang w:val="en-US" w:eastAsia="zh-CN" w:bidi="ar-SA"/>
                    </w:rPr>
                  </w:pPr>
                  <w:r>
                    <w:rPr>
                      <w:color w:val="auto"/>
                      <w:highlight w:val="none"/>
                    </w:rPr>
                    <w:t>规划区内工业固废应分类收集处理、综合利用，危险废物由企业委托有资质的固体废弃物安全处置中心安全处置</w:t>
                  </w:r>
                  <w:r>
                    <w:rPr>
                      <w:rFonts w:hint="eastAsia"/>
                      <w:color w:val="auto"/>
                      <w:highlight w:val="none"/>
                      <w:lang w:eastAsia="zh-CN"/>
                    </w:rPr>
                    <w:t>。</w:t>
                  </w:r>
                </w:p>
              </w:tc>
              <w:tc>
                <w:tcPr>
                  <w:tcW w:w="2332" w:type="dxa"/>
                  <w:tcBorders>
                    <w:tl2br w:val="nil"/>
                    <w:tr2bl w:val="nil"/>
                  </w:tcBorders>
                  <w:noWrap w:val="0"/>
                  <w:vAlign w:val="center"/>
                </w:tcPr>
                <w:p w14:paraId="3B561180">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lang w:val="en-US" w:eastAsia="zh-CN"/>
                    </w:rPr>
                    <w:t>本项目产生的废包装材料收集后外售，危险废物分类收集后暂存于危废贮存库，定期交由有资质单位统一处置。</w:t>
                  </w:r>
                </w:p>
              </w:tc>
              <w:tc>
                <w:tcPr>
                  <w:tcW w:w="718" w:type="dxa"/>
                  <w:tcBorders>
                    <w:tl2br w:val="nil"/>
                    <w:tr2bl w:val="nil"/>
                  </w:tcBorders>
                  <w:noWrap w:val="0"/>
                  <w:vAlign w:val="center"/>
                </w:tcPr>
                <w:p w14:paraId="2203D0C2">
                  <w:pPr>
                    <w:jc w:val="center"/>
                    <w:rPr>
                      <w:rFonts w:hint="eastAsia"/>
                      <w:color w:val="auto"/>
                      <w:kern w:val="2"/>
                      <w:sz w:val="21"/>
                      <w:szCs w:val="24"/>
                      <w:highlight w:val="none"/>
                      <w:lang w:val="en-US" w:eastAsia="zh-CN" w:bidi="ar-SA"/>
                    </w:rPr>
                  </w:pPr>
                  <w:r>
                    <w:rPr>
                      <w:rFonts w:hint="eastAsia"/>
                      <w:color w:val="auto"/>
                      <w:highlight w:val="none"/>
                      <w:lang w:val="en-US" w:eastAsia="zh-CN"/>
                    </w:rPr>
                    <w:t>符合</w:t>
                  </w:r>
                </w:p>
              </w:tc>
            </w:tr>
          </w:tbl>
          <w:p w14:paraId="57B70636">
            <w:pPr>
              <w:spacing w:line="360" w:lineRule="auto"/>
              <w:jc w:val="both"/>
              <w:outlineLvl w:val="0"/>
              <w:rPr>
                <w:rFonts w:eastAsia="黑体"/>
                <w:color w:val="auto"/>
                <w:sz w:val="30"/>
                <w:highlight w:val="none"/>
                <w:vertAlign w:val="baseline"/>
              </w:rPr>
            </w:pPr>
          </w:p>
        </w:tc>
      </w:tr>
      <w:tr w14:paraId="6B29A9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90" w:hRule="atLeast"/>
          <w:jc w:val="center"/>
        </w:trPr>
        <w:tc>
          <w:tcPr>
            <w:tcW w:w="555" w:type="dxa"/>
            <w:tcBorders>
              <w:tl2br w:val="nil"/>
              <w:tr2bl w:val="nil"/>
            </w:tcBorders>
            <w:noWrap w:val="0"/>
            <w:vAlign w:val="center"/>
          </w:tcPr>
          <w:p w14:paraId="0A213B1D">
            <w:pPr>
              <w:spacing w:line="240" w:lineRule="auto"/>
              <w:jc w:val="center"/>
              <w:outlineLvl w:val="0"/>
              <w:rPr>
                <w:rFonts w:hint="eastAsia" w:ascii="Times New Roman" w:hAnsi="Times New Roman" w:cs="宋体"/>
                <w:b/>
                <w:bCs/>
                <w:color w:val="auto"/>
                <w:kern w:val="0"/>
                <w:sz w:val="24"/>
                <w:szCs w:val="24"/>
                <w:highlight w:val="none"/>
              </w:rPr>
            </w:pPr>
            <w:bookmarkStart w:id="7" w:name="_Toc9345"/>
            <w:r>
              <w:rPr>
                <w:rFonts w:hint="eastAsia" w:ascii="Times New Roman" w:hAnsi="Times New Roman" w:cs="宋体"/>
                <w:b/>
                <w:bCs/>
                <w:color w:val="auto"/>
                <w:kern w:val="0"/>
                <w:sz w:val="24"/>
                <w:szCs w:val="24"/>
                <w:highlight w:val="none"/>
                <w:lang w:eastAsia="zh-CN"/>
              </w:rPr>
              <w:t>其他符合性</w:t>
            </w:r>
            <w:r>
              <w:rPr>
                <w:rFonts w:hint="eastAsia" w:ascii="Times New Roman" w:hAnsi="Times New Roman" w:cs="宋体"/>
                <w:b/>
                <w:bCs/>
                <w:color w:val="auto"/>
                <w:kern w:val="0"/>
                <w:sz w:val="24"/>
                <w:szCs w:val="24"/>
                <w:highlight w:val="none"/>
              </w:rPr>
              <w:t>分析</w:t>
            </w:r>
            <w:bookmarkEnd w:id="7"/>
          </w:p>
        </w:tc>
        <w:tc>
          <w:tcPr>
            <w:tcW w:w="7984" w:type="dxa"/>
            <w:tcBorders>
              <w:tl2br w:val="nil"/>
              <w:tr2bl w:val="nil"/>
            </w:tcBorders>
            <w:noWrap w:val="0"/>
            <w:vAlign w:val="center"/>
          </w:tcPr>
          <w:p w14:paraId="62DCB467">
            <w:pPr>
              <w:keepNext w:val="0"/>
              <w:keepLines w:val="0"/>
              <w:pageBreakBefore w:val="0"/>
              <w:widowControl w:val="0"/>
              <w:numPr>
                <w:ilvl w:val="-1"/>
                <w:numId w:val="0"/>
              </w:numPr>
              <w:kinsoku/>
              <w:wordWrap/>
              <w:overflowPunct/>
              <w:topLinePunct w:val="0"/>
              <w:autoSpaceDE/>
              <w:autoSpaceDN/>
              <w:bidi w:val="0"/>
              <w:adjustRightInd/>
              <w:snapToGrid/>
              <w:spacing w:before="0" w:beforeLines="-2147483648" w:line="360" w:lineRule="auto"/>
              <w:ind w:firstLine="482" w:firstLineChars="200"/>
              <w:jc w:val="both"/>
              <w:textAlignment w:val="auto"/>
              <w:rPr>
                <w:rFonts w:hint="default" w:ascii="Times New Roman" w:hAnsi="Times New Roman" w:eastAsia="宋体" w:cs="Times New Roman"/>
                <w:b/>
                <w:bCs/>
                <w:color w:val="auto"/>
                <w:sz w:val="24"/>
                <w:szCs w:val="24"/>
                <w:highlight w:val="none"/>
              </w:rPr>
            </w:pPr>
            <w:r>
              <w:rPr>
                <w:rFonts w:hint="eastAsia" w:cs="Times New Roman"/>
                <w:b/>
                <w:bCs/>
                <w:color w:val="auto"/>
                <w:sz w:val="24"/>
                <w:szCs w:val="24"/>
                <w:highlight w:val="none"/>
                <w:lang w:val="en-US" w:eastAsia="zh-CN"/>
              </w:rPr>
              <w:t>1.</w:t>
            </w:r>
            <w:r>
              <w:rPr>
                <w:rFonts w:hint="eastAsia" w:cs="Times New Roman"/>
                <w:b/>
                <w:bCs/>
                <w:color w:val="auto"/>
                <w:sz w:val="24"/>
                <w:szCs w:val="24"/>
                <w:highlight w:val="none"/>
                <w:lang w:eastAsia="zh-CN"/>
              </w:rPr>
              <w:t>与</w:t>
            </w:r>
            <w:r>
              <w:rPr>
                <w:rFonts w:hint="default" w:ascii="Times New Roman" w:hAnsi="Times New Roman" w:eastAsia="宋体" w:cs="Times New Roman"/>
                <w:b/>
                <w:bCs/>
                <w:color w:val="auto"/>
                <w:sz w:val="24"/>
                <w:szCs w:val="24"/>
                <w:highlight w:val="none"/>
              </w:rPr>
              <w:t>产业政策符合性分析</w:t>
            </w:r>
          </w:p>
          <w:p w14:paraId="4E5BC7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本项目主要进行医药中间体开发工艺及药物活性分子化合物合成，根据《产业结构调整指导目录（2024年本）》、《西部地区鼓励类产业目录（2025年本）》，本项目不在</w:t>
            </w:r>
            <w:r>
              <w:rPr>
                <w:rFonts w:hint="eastAsia"/>
                <w:color w:val="auto"/>
                <w:sz w:val="24"/>
                <w:szCs w:val="24"/>
                <w:highlight w:val="none"/>
                <w:lang w:eastAsia="zh-CN"/>
              </w:rPr>
              <w:t>“</w:t>
            </w:r>
            <w:r>
              <w:rPr>
                <w:rFonts w:hint="eastAsia"/>
                <w:color w:val="auto"/>
                <w:sz w:val="24"/>
                <w:szCs w:val="24"/>
                <w:highlight w:val="none"/>
                <w:lang w:val="en-US" w:eastAsia="zh-CN"/>
              </w:rPr>
              <w:t>鼓励类</w:t>
            </w:r>
            <w:r>
              <w:rPr>
                <w:rFonts w:hint="eastAsia"/>
                <w:color w:val="auto"/>
                <w:sz w:val="24"/>
                <w:szCs w:val="24"/>
                <w:highlight w:val="none"/>
                <w:lang w:eastAsia="zh-CN"/>
              </w:rPr>
              <w:t>”</w:t>
            </w:r>
            <w:r>
              <w:rPr>
                <w:rFonts w:hint="eastAsia"/>
                <w:color w:val="auto"/>
                <w:sz w:val="24"/>
                <w:szCs w:val="24"/>
                <w:highlight w:val="none"/>
                <w:lang w:val="en-US" w:eastAsia="zh-CN"/>
              </w:rPr>
              <w:t>“限制类”“淘汰类”，因此，可视为允许类；根据《市场准入负面清单》（</w:t>
            </w:r>
            <w:r>
              <w:rPr>
                <w:rFonts w:hint="default"/>
                <w:color w:val="auto"/>
                <w:sz w:val="24"/>
                <w:szCs w:val="24"/>
                <w:highlight w:val="none"/>
                <w:lang w:val="en-US" w:eastAsia="zh-CN"/>
              </w:rPr>
              <w:t>202</w:t>
            </w:r>
            <w:r>
              <w:rPr>
                <w:rFonts w:hint="eastAsia"/>
                <w:color w:val="auto"/>
                <w:sz w:val="24"/>
                <w:szCs w:val="24"/>
                <w:highlight w:val="none"/>
                <w:lang w:val="en-US" w:eastAsia="zh-CN"/>
              </w:rPr>
              <w:t>5年版）相关要求，本项目不属于禁止准入类；同时对照关于印发《陕西省限制投资类产业指导目录》的通知，本项目不在其列。</w:t>
            </w:r>
          </w:p>
          <w:p w14:paraId="174D2B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综上所述，本项目建设符合国家和地方产业政策。</w:t>
            </w:r>
          </w:p>
          <w:p w14:paraId="20CDFFCF">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2.与相关环保政策</w:t>
            </w:r>
            <w:r>
              <w:rPr>
                <w:rFonts w:hint="eastAsia" w:ascii="Times New Roman" w:hAnsi="Times New Roman" w:eastAsia="宋体" w:cs="Times New Roman"/>
                <w:b/>
                <w:bCs/>
                <w:color w:val="auto"/>
                <w:sz w:val="24"/>
                <w:szCs w:val="24"/>
                <w:highlight w:val="none"/>
                <w:lang w:val="en-US" w:eastAsia="zh-CN"/>
              </w:rPr>
              <w:t>文件</w:t>
            </w:r>
            <w:r>
              <w:rPr>
                <w:rFonts w:hint="default" w:ascii="Times New Roman" w:hAnsi="Times New Roman" w:eastAsia="宋体" w:cs="Times New Roman"/>
                <w:b/>
                <w:bCs/>
                <w:color w:val="auto"/>
                <w:sz w:val="24"/>
                <w:szCs w:val="24"/>
                <w:highlight w:val="none"/>
                <w:lang w:val="en-US" w:eastAsia="zh-CN"/>
              </w:rPr>
              <w:t>符合性分析表</w:t>
            </w:r>
          </w:p>
          <w:p w14:paraId="78F4EFC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表1-</w:t>
            </w:r>
            <w:r>
              <w:rPr>
                <w:rFonts w:hint="eastAsia" w:cs="Times New Roman"/>
                <w:b/>
                <w:bCs/>
                <w:color w:val="auto"/>
                <w:sz w:val="24"/>
                <w:szCs w:val="24"/>
                <w:highlight w:val="none"/>
                <w:lang w:val="en-US" w:eastAsia="zh-CN"/>
              </w:rPr>
              <w:t>2</w:t>
            </w:r>
            <w:r>
              <w:rPr>
                <w:rFonts w:hint="eastAsia" w:ascii="Times New Roman" w:hAnsi="Times New Roman" w:eastAsia="宋体" w:cs="Times New Roman"/>
                <w:b/>
                <w:bCs/>
                <w:color w:val="auto"/>
                <w:sz w:val="24"/>
                <w:szCs w:val="24"/>
                <w:highlight w:val="none"/>
                <w:lang w:val="en-US" w:eastAsia="zh-CN"/>
              </w:rPr>
              <w:t xml:space="preserve">  本项目与相关环保政策符合性分析</w:t>
            </w:r>
          </w:p>
          <w:tbl>
            <w:tblPr>
              <w:tblStyle w:val="31"/>
              <w:tblW w:w="498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1809"/>
              <w:gridCol w:w="2390"/>
              <w:gridCol w:w="2816"/>
              <w:gridCol w:w="706"/>
            </w:tblGrid>
            <w:tr w14:paraId="034618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2BB52091">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hint="eastAsia"/>
                      <w:b/>
                      <w:bCs/>
                      <w:color w:val="auto"/>
                      <w:sz w:val="21"/>
                      <w:szCs w:val="21"/>
                      <w:highlight w:val="none"/>
                      <w:lang w:val="en-US" w:eastAsia="zh-CN"/>
                    </w:rPr>
                  </w:pPr>
                  <w:r>
                    <w:rPr>
                      <w:rFonts w:hint="eastAsia"/>
                      <w:b/>
                      <w:bCs/>
                      <w:color w:val="auto"/>
                      <w:sz w:val="21"/>
                      <w:szCs w:val="21"/>
                      <w:highlight w:val="none"/>
                      <w:lang w:val="en-US" w:eastAsia="zh-CN"/>
                    </w:rPr>
                    <w:t>相关政策、规划</w:t>
                  </w:r>
                </w:p>
              </w:tc>
              <w:tc>
                <w:tcPr>
                  <w:tcW w:w="1547" w:type="pct"/>
                  <w:tcBorders>
                    <w:tl2br w:val="nil"/>
                    <w:tr2bl w:val="nil"/>
                  </w:tcBorders>
                  <w:noWrap w:val="0"/>
                  <w:vAlign w:val="center"/>
                </w:tcPr>
                <w:p w14:paraId="6FD23B59">
                  <w:pPr>
                    <w:keepNext w:val="0"/>
                    <w:keepLines w:val="0"/>
                    <w:pageBreakBefore w:val="0"/>
                    <w:widowControl w:val="0"/>
                    <w:kinsoku/>
                    <w:wordWrap/>
                    <w:overflowPunct/>
                    <w:topLinePunct w:val="0"/>
                    <w:autoSpaceDE/>
                    <w:autoSpaceDN/>
                    <w:bidi w:val="0"/>
                    <w:adjustRightInd/>
                    <w:snapToGrid/>
                    <w:spacing w:line="360" w:lineRule="auto"/>
                    <w:ind w:left="0" w:right="0" w:firstLine="422" w:firstLineChars="200"/>
                    <w:jc w:val="both"/>
                    <w:textAlignment w:val="auto"/>
                    <w:rPr>
                      <w:rFonts w:hint="eastAsia"/>
                      <w:b/>
                      <w:bCs/>
                      <w:color w:val="auto"/>
                      <w:sz w:val="21"/>
                      <w:szCs w:val="21"/>
                      <w:highlight w:val="none"/>
                      <w:lang w:val="en-US" w:eastAsia="zh-CN"/>
                    </w:rPr>
                  </w:pPr>
                  <w:r>
                    <w:rPr>
                      <w:rFonts w:hint="eastAsia"/>
                      <w:b/>
                      <w:bCs/>
                      <w:color w:val="auto"/>
                      <w:sz w:val="21"/>
                      <w:szCs w:val="21"/>
                      <w:highlight w:val="none"/>
                      <w:lang w:val="en-US" w:eastAsia="zh-CN"/>
                    </w:rPr>
                    <w:t>要求</w:t>
                  </w:r>
                </w:p>
              </w:tc>
              <w:tc>
                <w:tcPr>
                  <w:tcW w:w="1823" w:type="pct"/>
                  <w:tcBorders>
                    <w:tl2br w:val="nil"/>
                    <w:tr2bl w:val="nil"/>
                  </w:tcBorders>
                  <w:noWrap w:val="0"/>
                  <w:vAlign w:val="center"/>
                </w:tcPr>
                <w:p w14:paraId="364F06F0">
                  <w:pPr>
                    <w:keepNext w:val="0"/>
                    <w:keepLines w:val="0"/>
                    <w:pageBreakBefore w:val="0"/>
                    <w:widowControl w:val="0"/>
                    <w:kinsoku/>
                    <w:wordWrap/>
                    <w:overflowPunct/>
                    <w:topLinePunct w:val="0"/>
                    <w:autoSpaceDE/>
                    <w:autoSpaceDN/>
                    <w:bidi w:val="0"/>
                    <w:adjustRightInd/>
                    <w:snapToGrid/>
                    <w:spacing w:line="360" w:lineRule="auto"/>
                    <w:ind w:left="0" w:right="0" w:firstLine="422" w:firstLineChars="200"/>
                    <w:jc w:val="both"/>
                    <w:textAlignment w:val="auto"/>
                    <w:rPr>
                      <w:rFonts w:hint="eastAsia"/>
                      <w:b/>
                      <w:bCs/>
                      <w:color w:val="auto"/>
                      <w:sz w:val="21"/>
                      <w:szCs w:val="21"/>
                      <w:highlight w:val="none"/>
                      <w:lang w:val="en-US" w:eastAsia="zh-CN"/>
                    </w:rPr>
                  </w:pPr>
                  <w:r>
                    <w:rPr>
                      <w:rFonts w:hint="eastAsia"/>
                      <w:b/>
                      <w:bCs/>
                      <w:color w:val="auto"/>
                      <w:sz w:val="21"/>
                      <w:szCs w:val="21"/>
                      <w:highlight w:val="none"/>
                      <w:lang w:val="en-US" w:eastAsia="zh-CN"/>
                    </w:rPr>
                    <w:t>本项目与规划关系</w:t>
                  </w:r>
                </w:p>
              </w:tc>
              <w:tc>
                <w:tcPr>
                  <w:tcW w:w="457" w:type="pct"/>
                  <w:tcBorders>
                    <w:tl2br w:val="nil"/>
                    <w:tr2bl w:val="nil"/>
                  </w:tcBorders>
                  <w:noWrap w:val="0"/>
                  <w:vAlign w:val="center"/>
                </w:tcPr>
                <w:p w14:paraId="194EAF4E">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hint="eastAsia"/>
                      <w:b/>
                      <w:bCs/>
                      <w:color w:val="auto"/>
                      <w:sz w:val="21"/>
                      <w:szCs w:val="21"/>
                      <w:highlight w:val="none"/>
                      <w:lang w:val="en-US" w:eastAsia="zh-CN"/>
                    </w:rPr>
                  </w:pPr>
                  <w:r>
                    <w:rPr>
                      <w:rFonts w:hint="eastAsia"/>
                      <w:b/>
                      <w:bCs/>
                      <w:color w:val="auto"/>
                      <w:sz w:val="21"/>
                      <w:szCs w:val="21"/>
                      <w:highlight w:val="none"/>
                      <w:lang w:val="en-US" w:eastAsia="zh-CN"/>
                    </w:rPr>
                    <w:t>相符性</w:t>
                  </w:r>
                </w:p>
              </w:tc>
            </w:tr>
            <w:tr w14:paraId="762005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91" w:hRule="atLeast"/>
                <w:jc w:val="center"/>
              </w:trPr>
              <w:tc>
                <w:tcPr>
                  <w:tcW w:w="1171" w:type="pct"/>
                  <w:tcBorders>
                    <w:tl2br w:val="nil"/>
                    <w:tr2bl w:val="nil"/>
                  </w:tcBorders>
                  <w:noWrap w:val="0"/>
                  <w:vAlign w:val="center"/>
                </w:tcPr>
                <w:p w14:paraId="7845F96F">
                  <w:pPr>
                    <w:spacing w:before="65" w:line="360" w:lineRule="auto"/>
                    <w:ind w:firstLine="0" w:firstLineChars="0"/>
                    <w:rPr>
                      <w:rFonts w:hint="eastAsia" w:ascii="宋体" w:hAnsi="宋体" w:cs="宋体"/>
                      <w:b w:val="0"/>
                      <w:bCs w:val="0"/>
                      <w:color w:val="auto"/>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《中华人民共和国大气污染防治法》（2018修订）</w:t>
                  </w:r>
                </w:p>
              </w:tc>
              <w:tc>
                <w:tcPr>
                  <w:tcW w:w="1547" w:type="pct"/>
                  <w:tcBorders>
                    <w:tl2br w:val="nil"/>
                    <w:tr2bl w:val="nil"/>
                  </w:tcBorders>
                  <w:shd w:val="clear" w:color="auto" w:fill="auto"/>
                  <w:noWrap w:val="0"/>
                  <w:vAlign w:val="center"/>
                </w:tcPr>
                <w:p w14:paraId="4FCC3281">
                  <w:pPr>
                    <w:spacing w:before="30" w:line="360" w:lineRule="auto"/>
                    <w:ind w:left="0"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zh-CN" w:eastAsia="zh-CN" w:bidi="ar-SA"/>
                    </w:rPr>
                    <w:t>工业污染防治第四十五条：产生含挥发性有机物废气的生产和服务活动，应当在密闭空间或者设备中进行，并按照规定安装、使用污染防治设施；无法密闭的，应当采取措施减少废气排放</w:t>
                  </w:r>
                </w:p>
              </w:tc>
              <w:tc>
                <w:tcPr>
                  <w:tcW w:w="1823" w:type="pct"/>
                  <w:tcBorders>
                    <w:tl2br w:val="nil"/>
                    <w:tr2bl w:val="nil"/>
                  </w:tcBorders>
                  <w:shd w:val="clear" w:color="auto" w:fill="auto"/>
                  <w:noWrap w:val="0"/>
                  <w:vAlign w:val="center"/>
                </w:tcPr>
                <w:p w14:paraId="4D6FA470">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hint="eastAsia" w:eastAsia="宋体"/>
                      <w:b w:val="0"/>
                      <w:bCs w:val="0"/>
                      <w:color w:val="auto"/>
                      <w:sz w:val="21"/>
                      <w:szCs w:val="21"/>
                      <w:highlight w:val="none"/>
                      <w:lang w:val="en-US" w:eastAsia="zh-CN"/>
                    </w:rPr>
                  </w:pPr>
                  <w:r>
                    <w:rPr>
                      <w:rFonts w:hint="eastAsia"/>
                      <w:b w:val="0"/>
                      <w:bCs w:val="0"/>
                      <w:color w:val="auto"/>
                      <w:highlight w:val="none"/>
                      <w:lang w:val="en-US" w:eastAsia="zh-CN"/>
                    </w:rPr>
                    <w:t>本</w:t>
                  </w:r>
                  <w:r>
                    <w:rPr>
                      <w:rFonts w:hint="eastAsia"/>
                      <w:b w:val="0"/>
                      <w:bCs w:val="0"/>
                      <w:color w:val="auto"/>
                      <w:highlight w:val="none"/>
                    </w:rPr>
                    <w:t>项目</w:t>
                  </w:r>
                  <w:r>
                    <w:rPr>
                      <w:rFonts w:hint="eastAsia"/>
                      <w:b w:val="0"/>
                      <w:bCs w:val="0"/>
                      <w:color w:val="auto"/>
                      <w:highlight w:val="none"/>
                      <w:lang w:val="en-US" w:eastAsia="zh-CN"/>
                    </w:rPr>
                    <w:t>实验</w:t>
                  </w:r>
                  <w:r>
                    <w:rPr>
                      <w:rFonts w:hint="eastAsia"/>
                      <w:b w:val="0"/>
                      <w:bCs w:val="0"/>
                      <w:color w:val="auto"/>
                      <w:highlight w:val="none"/>
                    </w:rPr>
                    <w:t>研发过程中产生</w:t>
                  </w:r>
                  <w:r>
                    <w:rPr>
                      <w:rFonts w:hint="eastAsia"/>
                      <w:b w:val="0"/>
                      <w:bCs w:val="0"/>
                      <w:color w:val="auto"/>
                      <w:highlight w:val="none"/>
                      <w:lang w:val="en-US" w:eastAsia="zh-CN"/>
                    </w:rPr>
                    <w:t>的有机废气和无机废气经过通风柜收集经SDG+活性炭吸附装置吸附处理后通过28米高排气筒</w:t>
                  </w:r>
                  <w:r>
                    <w:rPr>
                      <w:rFonts w:hint="eastAsia"/>
                      <w:b w:val="0"/>
                      <w:bCs w:val="0"/>
                      <w:color w:val="auto"/>
                      <w:highlight w:val="none"/>
                    </w:rPr>
                    <w:t>可达标排放</w:t>
                  </w:r>
                  <w:r>
                    <w:rPr>
                      <w:rFonts w:hint="eastAsia"/>
                      <w:b w:val="0"/>
                      <w:bCs w:val="0"/>
                      <w:color w:val="auto"/>
                      <w:highlight w:val="none"/>
                      <w:lang w:eastAsia="zh-CN"/>
                    </w:rPr>
                    <w:t>。</w:t>
                  </w:r>
                </w:p>
              </w:tc>
              <w:tc>
                <w:tcPr>
                  <w:tcW w:w="457" w:type="pct"/>
                  <w:tcBorders>
                    <w:tl2br w:val="nil"/>
                    <w:tr2bl w:val="nil"/>
                  </w:tcBorders>
                  <w:noWrap w:val="0"/>
                  <w:vAlign w:val="center"/>
                </w:tcPr>
                <w:p w14:paraId="5D465E4A">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both"/>
                    <w:textAlignment w:val="auto"/>
                    <w:rPr>
                      <w:rFonts w:hint="default"/>
                      <w:b w:val="0"/>
                      <w:bCs w:val="0"/>
                      <w:color w:val="auto"/>
                      <w:sz w:val="21"/>
                      <w:szCs w:val="21"/>
                      <w:highlight w:val="none"/>
                      <w:lang w:val="en-US" w:eastAsia="zh-CN"/>
                    </w:rPr>
                  </w:pPr>
                  <w:r>
                    <w:rPr>
                      <w:rFonts w:hint="eastAsia"/>
                      <w:b w:val="0"/>
                      <w:bCs w:val="0"/>
                      <w:color w:val="auto"/>
                      <w:sz w:val="21"/>
                      <w:szCs w:val="21"/>
                      <w:highlight w:val="none"/>
                      <w:lang w:val="en-US" w:eastAsia="zh-CN"/>
                    </w:rPr>
                    <w:t>符合</w:t>
                  </w:r>
                </w:p>
              </w:tc>
            </w:tr>
            <w:tr w14:paraId="797E5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71" w:type="pct"/>
                  <w:tcBorders>
                    <w:tl2br w:val="nil"/>
                    <w:tr2bl w:val="nil"/>
                  </w:tcBorders>
                  <w:shd w:val="clear" w:color="auto" w:fill="auto"/>
                  <w:noWrap w:val="0"/>
                  <w:vAlign w:val="center"/>
                </w:tcPr>
                <w:p w14:paraId="14B2971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color w:val="auto"/>
                      <w:kern w:val="2"/>
                      <w:sz w:val="21"/>
                      <w:szCs w:val="21"/>
                      <w:highlight w:val="none"/>
                      <w:lang w:val="en-US" w:eastAsia="zh-CN" w:bidi="ar-SA"/>
                    </w:rPr>
                  </w:pPr>
                  <w:r>
                    <w:rPr>
                      <w:rFonts w:ascii="Times New Roman" w:hAnsi="Times New Roman" w:eastAsia="宋体" w:cs="Times New Roman"/>
                      <w:color w:val="auto"/>
                      <w:sz w:val="21"/>
                      <w:szCs w:val="21"/>
                      <w:highlight w:val="none"/>
                    </w:rPr>
                    <w:t>《关于加快解决当前挥发性有机物治理突出问题的通知》</w:t>
                  </w:r>
                </w:p>
              </w:tc>
              <w:tc>
                <w:tcPr>
                  <w:tcW w:w="1547" w:type="pct"/>
                  <w:tcBorders>
                    <w:tl2br w:val="nil"/>
                    <w:tr2bl w:val="nil"/>
                  </w:tcBorders>
                  <w:shd w:val="clear" w:color="auto" w:fill="auto"/>
                  <w:noWrap w:val="0"/>
                  <w:vAlign w:val="center"/>
                </w:tcPr>
                <w:p w14:paraId="15B4BE2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zh-CN" w:eastAsia="zh-CN"/>
                    </w:rPr>
                    <w:t>对于VOCs治理设施产生的废过滤棉、废催化剂、废吸附剂、废吸收剂、废有机溶剂等二次污染物，应交有资质的单位处理处置；采用活性炭吸附工艺的企业应对活性炭质量严格把关，并根据排放废气的风量、浓度，合理确定活性炭充填量、更换周期，确保足额充填、定期更换；采用一次性活性炭吸附工艺的，应选择碘值不低于800mg/g的活性炭；</w:t>
                  </w:r>
                </w:p>
              </w:tc>
              <w:tc>
                <w:tcPr>
                  <w:tcW w:w="1823" w:type="pct"/>
                  <w:tcBorders>
                    <w:tl2br w:val="nil"/>
                    <w:tr2bl w:val="nil"/>
                  </w:tcBorders>
                  <w:shd w:val="clear" w:color="auto" w:fill="auto"/>
                  <w:noWrap w:val="0"/>
                  <w:vAlign w:val="center"/>
                </w:tcPr>
                <w:p w14:paraId="1CFF781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highlight w:val="none"/>
                      <w:lang w:val="en-US" w:eastAsia="zh-CN"/>
                    </w:rPr>
                    <w:t>本项目产生的有机废气主要利用活性炭进行吸附，使用的蜂窝活性炭碘吸附值为</w:t>
                  </w:r>
                  <w:r>
                    <w:rPr>
                      <w:rFonts w:hint="default"/>
                      <w:color w:val="auto"/>
                      <w:highlight w:val="none"/>
                    </w:rPr>
                    <w:t>812mg/g</w:t>
                  </w:r>
                  <w:r>
                    <w:rPr>
                      <w:rFonts w:hint="eastAsia"/>
                      <w:color w:val="auto"/>
                      <w:highlight w:val="none"/>
                      <w:lang w:val="en-US" w:eastAsia="zh-CN"/>
                    </w:rPr>
                    <w:t>，并已设置活性炭更换台账，废气经处理后经28m排气筒能够稳定达标排放，更换频次一年两次，</w:t>
                  </w:r>
                  <w:r>
                    <w:rPr>
                      <w:rFonts w:hint="eastAsia" w:ascii="Times New Roman" w:hAnsi="Times New Roman" w:eastAsia="宋体" w:cs="Times New Roman"/>
                      <w:color w:val="auto"/>
                      <w:sz w:val="21"/>
                      <w:szCs w:val="21"/>
                      <w:highlight w:val="none"/>
                      <w:lang w:val="en-US" w:eastAsia="zh-CN"/>
                    </w:rPr>
                    <w:t>废活性炭定期更换并交由陕西水发环境有限公司处置。</w:t>
                  </w:r>
                </w:p>
              </w:tc>
              <w:tc>
                <w:tcPr>
                  <w:tcW w:w="457" w:type="pct"/>
                  <w:tcBorders>
                    <w:tl2br w:val="nil"/>
                    <w:tr2bl w:val="nil"/>
                  </w:tcBorders>
                  <w:shd w:val="clear" w:color="auto" w:fill="auto"/>
                  <w:noWrap w:val="0"/>
                  <w:vAlign w:val="center"/>
                </w:tcPr>
                <w:p w14:paraId="05BEAFC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 w:val="21"/>
                      <w:szCs w:val="21"/>
                      <w:highlight w:val="none"/>
                      <w:lang w:val="en-US" w:eastAsia="zh-CN"/>
                    </w:rPr>
                    <w:t>符合</w:t>
                  </w:r>
                </w:p>
              </w:tc>
            </w:tr>
            <w:tr w14:paraId="2959C4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028" w:hRule="atLeast"/>
                <w:jc w:val="center"/>
              </w:trPr>
              <w:tc>
                <w:tcPr>
                  <w:tcW w:w="1171" w:type="pct"/>
                  <w:vMerge w:val="restart"/>
                  <w:tcBorders>
                    <w:tl2br w:val="nil"/>
                    <w:tr2bl w:val="nil"/>
                  </w:tcBorders>
                  <w:shd w:val="clear" w:color="auto" w:fill="auto"/>
                  <w:noWrap w:val="0"/>
                  <w:vAlign w:val="center"/>
                </w:tcPr>
                <w:p w14:paraId="76458775">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ascii="宋体" w:hAnsi="宋体" w:eastAsia="宋体" w:cs="宋体"/>
                      <w:b w:val="0"/>
                      <w:bCs w:val="0"/>
                      <w:color w:val="0000FF"/>
                      <w:spacing w:val="3"/>
                      <w:sz w:val="21"/>
                      <w:szCs w:val="21"/>
                      <w:highlight w:val="none"/>
                      <w:lang w:val="en-US" w:eastAsia="zh-CN"/>
                    </w:rPr>
                  </w:pPr>
                  <w:r>
                    <w:rPr>
                      <w:rFonts w:hint="default" w:ascii="Times New Roman" w:hAnsi="Times New Roman" w:cs="Times New Roman"/>
                      <w:b w:val="0"/>
                      <w:bCs w:val="0"/>
                      <w:color w:val="0000FF"/>
                      <w:spacing w:val="3"/>
                      <w:sz w:val="21"/>
                      <w:szCs w:val="21"/>
                      <w:highlight w:val="none"/>
                    </w:rPr>
                    <w:t>重点管控新污染物清单（2023 年版</w:t>
                  </w:r>
                  <w:r>
                    <w:rPr>
                      <w:rFonts w:hint="eastAsia" w:ascii="宋体" w:hAnsi="宋体" w:cs="宋体"/>
                      <w:b w:val="0"/>
                      <w:bCs w:val="0"/>
                      <w:color w:val="0000FF"/>
                      <w:spacing w:val="3"/>
                      <w:sz w:val="21"/>
                      <w:szCs w:val="21"/>
                      <w:highlight w:val="none"/>
                    </w:rPr>
                    <w:t>）</w:t>
                  </w:r>
                </w:p>
              </w:tc>
              <w:tc>
                <w:tcPr>
                  <w:tcW w:w="1547" w:type="pct"/>
                  <w:tcBorders>
                    <w:tl2br w:val="nil"/>
                    <w:tr2bl w:val="nil"/>
                  </w:tcBorders>
                  <w:shd w:val="clear" w:color="auto" w:fill="auto"/>
                  <w:noWrap w:val="0"/>
                  <w:vAlign w:val="center"/>
                </w:tcPr>
                <w:p w14:paraId="1064F89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ascii="Times New Roman" w:hAnsi="Times New Roman" w:eastAsia="宋体" w:cs="Times New Roman"/>
                      <w:color w:val="0000FF"/>
                      <w:sz w:val="21"/>
                      <w:szCs w:val="21"/>
                      <w:highlight w:val="none"/>
                      <w:lang w:val="zh-CN" w:eastAsia="zh-CN"/>
                    </w:rPr>
                  </w:pPr>
                </w:p>
                <w:p w14:paraId="127CB42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val="0"/>
                      <w:bCs w:val="0"/>
                      <w:color w:val="0000FF"/>
                      <w:spacing w:val="3"/>
                      <w:sz w:val="21"/>
                      <w:szCs w:val="21"/>
                      <w:highlight w:val="none"/>
                    </w:rPr>
                  </w:pPr>
                  <w:r>
                    <w:rPr>
                      <w:rFonts w:hint="eastAsia" w:ascii="Times New Roman" w:hAnsi="Times New Roman"/>
                      <w:color w:val="0000FF"/>
                      <w:sz w:val="21"/>
                      <w:szCs w:val="21"/>
                    </w:rPr>
                    <w:t>禁止生产含有</w:t>
                  </w:r>
                  <w:r>
                    <w:rPr>
                      <w:rFonts w:hint="eastAsia"/>
                      <w:color w:val="0000FF"/>
                      <w:sz w:val="21"/>
                      <w:szCs w:val="21"/>
                      <w:lang w:val="en-US" w:eastAsia="zh-CN"/>
                    </w:rPr>
                    <w:t>二</w:t>
                  </w:r>
                  <w:r>
                    <w:rPr>
                      <w:rFonts w:hint="eastAsia" w:ascii="Times New Roman" w:hAnsi="Times New Roman"/>
                      <w:color w:val="0000FF"/>
                      <w:sz w:val="21"/>
                      <w:szCs w:val="21"/>
                    </w:rPr>
                    <w:t>氯甲烷的脱漆剂</w:t>
                  </w:r>
                </w:p>
              </w:tc>
              <w:tc>
                <w:tcPr>
                  <w:tcW w:w="1823" w:type="pct"/>
                  <w:tcBorders>
                    <w:tl2br w:val="nil"/>
                    <w:tr2bl w:val="nil"/>
                  </w:tcBorders>
                  <w:shd w:val="clear" w:color="auto" w:fill="auto"/>
                  <w:noWrap w:val="0"/>
                  <w:vAlign w:val="center"/>
                </w:tcPr>
                <w:p w14:paraId="08D9A770">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200"/>
                    <w:jc w:val="both"/>
                    <w:textAlignment w:val="auto"/>
                    <w:rPr>
                      <w:rFonts w:hint="eastAsia"/>
                      <w:b w:val="0"/>
                      <w:bCs w:val="0"/>
                      <w:color w:val="0000FF"/>
                      <w:highlight w:val="none"/>
                      <w:lang w:val="en-US" w:eastAsia="zh-CN"/>
                    </w:rPr>
                  </w:pPr>
                </w:p>
                <w:p w14:paraId="2F8961E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eastAsia="宋体"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本项目为医药研发实验室，本项目不涉及含有二氯甲烷的脱漆剂生产</w:t>
                  </w:r>
                </w:p>
              </w:tc>
              <w:tc>
                <w:tcPr>
                  <w:tcW w:w="457" w:type="pct"/>
                  <w:tcBorders>
                    <w:tl2br w:val="nil"/>
                    <w:tr2bl w:val="nil"/>
                  </w:tcBorders>
                  <w:shd w:val="clear" w:color="auto" w:fill="auto"/>
                  <w:noWrap w:val="0"/>
                  <w:vAlign w:val="center"/>
                </w:tcPr>
                <w:p w14:paraId="28BC6A1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7D1734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61A2D72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0000FF"/>
                      <w:spacing w:val="3"/>
                      <w:sz w:val="21"/>
                      <w:szCs w:val="21"/>
                      <w:highlight w:val="none"/>
                    </w:rPr>
                  </w:pPr>
                </w:p>
              </w:tc>
              <w:tc>
                <w:tcPr>
                  <w:tcW w:w="1547" w:type="pct"/>
                  <w:tcBorders>
                    <w:tl2br w:val="nil"/>
                    <w:tr2bl w:val="nil"/>
                  </w:tcBorders>
                  <w:shd w:val="clear" w:color="auto" w:fill="auto"/>
                  <w:noWrap w:val="0"/>
                  <w:vAlign w:val="center"/>
                </w:tcPr>
                <w:p w14:paraId="5444D11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color w:val="0000FF"/>
                      <w:sz w:val="21"/>
                      <w:szCs w:val="21"/>
                    </w:rPr>
                  </w:pPr>
                  <w:r>
                    <w:rPr>
                      <w:rFonts w:hint="eastAsia" w:ascii="Times New Roman" w:hAnsi="Times New Roman"/>
                      <w:color w:val="0000FF"/>
                      <w:sz w:val="21"/>
                      <w:szCs w:val="21"/>
                    </w:rPr>
                    <w:t>依据化妆品安全技术规范，禁止将二氯甲烷用作化妆品组分</w:t>
                  </w:r>
                </w:p>
              </w:tc>
              <w:tc>
                <w:tcPr>
                  <w:tcW w:w="1823" w:type="pct"/>
                  <w:tcBorders>
                    <w:tl2br w:val="nil"/>
                    <w:tr2bl w:val="nil"/>
                  </w:tcBorders>
                  <w:shd w:val="clear" w:color="auto" w:fill="auto"/>
                  <w:noWrap w:val="0"/>
                  <w:vAlign w:val="center"/>
                </w:tcPr>
                <w:p w14:paraId="1C7CF59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本项目为医药研发实验室项目，本项目不涉及化妆品生产</w:t>
                  </w:r>
                </w:p>
              </w:tc>
              <w:tc>
                <w:tcPr>
                  <w:tcW w:w="457" w:type="pct"/>
                  <w:tcBorders>
                    <w:tl2br w:val="nil"/>
                    <w:tr2bl w:val="nil"/>
                  </w:tcBorders>
                  <w:shd w:val="clear" w:color="auto" w:fill="auto"/>
                  <w:noWrap w:val="0"/>
                  <w:vAlign w:val="center"/>
                </w:tcPr>
                <w:p w14:paraId="2FAB1D6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4242FE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24A81AD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0000FF"/>
                      <w:spacing w:val="3"/>
                      <w:sz w:val="21"/>
                      <w:szCs w:val="21"/>
                      <w:highlight w:val="none"/>
                    </w:rPr>
                  </w:pPr>
                </w:p>
              </w:tc>
              <w:tc>
                <w:tcPr>
                  <w:tcW w:w="1547" w:type="pct"/>
                  <w:tcBorders>
                    <w:tl2br w:val="nil"/>
                    <w:tr2bl w:val="nil"/>
                  </w:tcBorders>
                  <w:shd w:val="clear" w:color="auto" w:fill="auto"/>
                  <w:noWrap w:val="0"/>
                  <w:vAlign w:val="center"/>
                </w:tcPr>
                <w:p w14:paraId="0E2312D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cs="Times New Roman"/>
                      <w:b w:val="0"/>
                      <w:bCs w:val="0"/>
                      <w:color w:val="0000FF"/>
                      <w:spacing w:val="3"/>
                      <w:sz w:val="21"/>
                      <w:szCs w:val="21"/>
                      <w:highlight w:val="none"/>
                    </w:rPr>
                  </w:pPr>
                  <w:r>
                    <w:rPr>
                      <w:rFonts w:hint="eastAsia" w:ascii="Times New Roman" w:hAnsi="Times New Roman"/>
                      <w:color w:val="0000FF"/>
                      <w:sz w:val="21"/>
                      <w:szCs w:val="21"/>
                    </w:rPr>
                    <w:t>依据《清洗剂挥发性有机化合物含量限值》（GB 38508），水基清洗剂、半水基清洗剂、有机溶剂清洗剂中二氯甲烷、三氯甲烷、三氯乙烯、四氯乙烯含量总和分别不得超过 0.5%、 2%、20%</w:t>
                  </w:r>
                </w:p>
              </w:tc>
              <w:tc>
                <w:tcPr>
                  <w:tcW w:w="1823" w:type="pct"/>
                  <w:tcBorders>
                    <w:tl2br w:val="nil"/>
                    <w:tr2bl w:val="nil"/>
                  </w:tcBorders>
                  <w:shd w:val="clear" w:color="auto" w:fill="auto"/>
                  <w:noWrap w:val="0"/>
                  <w:vAlign w:val="center"/>
                </w:tcPr>
                <w:p w14:paraId="552C8BE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eastAsia="宋体"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项目不涉及</w:t>
                  </w:r>
                </w:p>
              </w:tc>
              <w:tc>
                <w:tcPr>
                  <w:tcW w:w="457" w:type="pct"/>
                  <w:tcBorders>
                    <w:tl2br w:val="nil"/>
                    <w:tr2bl w:val="nil"/>
                  </w:tcBorders>
                  <w:shd w:val="clear" w:color="auto" w:fill="auto"/>
                  <w:noWrap w:val="0"/>
                  <w:vAlign w:val="center"/>
                </w:tcPr>
                <w:p w14:paraId="260C9B9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50C666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648FB74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0000FF"/>
                      <w:spacing w:val="3"/>
                      <w:sz w:val="21"/>
                      <w:szCs w:val="21"/>
                      <w:highlight w:val="none"/>
                    </w:rPr>
                  </w:pPr>
                </w:p>
              </w:tc>
              <w:tc>
                <w:tcPr>
                  <w:tcW w:w="1547" w:type="pct"/>
                  <w:tcBorders>
                    <w:tl2br w:val="nil"/>
                    <w:tr2bl w:val="nil"/>
                  </w:tcBorders>
                  <w:shd w:val="clear" w:color="auto" w:fill="auto"/>
                  <w:noWrap w:val="0"/>
                  <w:vAlign w:val="center"/>
                </w:tcPr>
                <w:p w14:paraId="42E8276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cs="Times New Roman"/>
                      <w:b w:val="0"/>
                      <w:bCs w:val="0"/>
                      <w:color w:val="0000FF"/>
                      <w:spacing w:val="3"/>
                      <w:sz w:val="21"/>
                      <w:szCs w:val="21"/>
                      <w:highlight w:val="none"/>
                    </w:rPr>
                  </w:pPr>
                  <w:r>
                    <w:rPr>
                      <w:rFonts w:hint="eastAsia" w:ascii="Times New Roman" w:hAnsi="Times New Roman"/>
                      <w:color w:val="0000FF"/>
                      <w:sz w:val="21"/>
                      <w:szCs w:val="21"/>
                    </w:rPr>
                    <w:t>依据《石油化学工业污染物排放标准》（GB 31571）《合成树脂工业污染物排放标准》（GB31572）、《化学合成类制药工业水污染物排放标准》（GB 21904）等二氯甲烷排放管控要求，实施达标排放</w:t>
                  </w:r>
                </w:p>
              </w:tc>
              <w:tc>
                <w:tcPr>
                  <w:tcW w:w="1823" w:type="pct"/>
                  <w:tcBorders>
                    <w:tl2br w:val="nil"/>
                    <w:tr2bl w:val="nil"/>
                  </w:tcBorders>
                  <w:shd w:val="clear" w:color="auto" w:fill="auto"/>
                  <w:noWrap w:val="0"/>
                  <w:vAlign w:val="center"/>
                </w:tcPr>
                <w:p w14:paraId="3B2A01C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eastAsia="宋体"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本项目为</w:t>
                  </w:r>
                  <w:r>
                    <w:rPr>
                      <w:rFonts w:hint="eastAsia"/>
                      <w:color w:val="0000FF"/>
                      <w:spacing w:val="3"/>
                      <w:szCs w:val="21"/>
                      <w:highlight w:val="none"/>
                    </w:rPr>
                    <w:t>医学研究和试验发展行业</w:t>
                  </w:r>
                  <w:r>
                    <w:rPr>
                      <w:rFonts w:hint="eastAsia" w:cs="Times New Roman"/>
                      <w:b w:val="0"/>
                      <w:bCs w:val="0"/>
                      <w:color w:val="0000FF"/>
                      <w:spacing w:val="3"/>
                      <w:sz w:val="21"/>
                      <w:szCs w:val="21"/>
                      <w:highlight w:val="none"/>
                      <w:lang w:val="en-US" w:eastAsia="zh-CN"/>
                    </w:rPr>
                    <w:t>，不属于石油化工、树脂、</w:t>
                  </w:r>
                  <w:r>
                    <w:rPr>
                      <w:rFonts w:hint="eastAsia" w:ascii="Times New Roman" w:hAnsi="Times New Roman"/>
                      <w:color w:val="0000FF"/>
                      <w:sz w:val="21"/>
                      <w:szCs w:val="21"/>
                    </w:rPr>
                    <w:t>化学合成类制药工业</w:t>
                  </w:r>
                  <w:r>
                    <w:rPr>
                      <w:rFonts w:hint="eastAsia" w:cs="Times New Roman"/>
                      <w:b w:val="0"/>
                      <w:bCs w:val="0"/>
                      <w:color w:val="0000FF"/>
                      <w:spacing w:val="3"/>
                      <w:sz w:val="21"/>
                      <w:szCs w:val="21"/>
                      <w:highlight w:val="none"/>
                      <w:lang w:val="en-US" w:eastAsia="zh-CN"/>
                    </w:rPr>
                    <w:t>等行业。</w:t>
                  </w:r>
                </w:p>
              </w:tc>
              <w:tc>
                <w:tcPr>
                  <w:tcW w:w="457" w:type="pct"/>
                  <w:tcBorders>
                    <w:tl2br w:val="nil"/>
                    <w:tr2bl w:val="nil"/>
                  </w:tcBorders>
                  <w:shd w:val="clear" w:color="auto" w:fill="auto"/>
                  <w:noWrap w:val="0"/>
                  <w:vAlign w:val="center"/>
                </w:tcPr>
                <w:p w14:paraId="61DA95D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0496F8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59DB0CC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0000FF"/>
                      <w:spacing w:val="3"/>
                      <w:sz w:val="21"/>
                      <w:szCs w:val="21"/>
                      <w:highlight w:val="none"/>
                    </w:rPr>
                  </w:pPr>
                </w:p>
              </w:tc>
              <w:tc>
                <w:tcPr>
                  <w:tcW w:w="1547" w:type="pct"/>
                  <w:tcBorders>
                    <w:tl2br w:val="nil"/>
                    <w:tr2bl w:val="nil"/>
                  </w:tcBorders>
                  <w:shd w:val="clear" w:color="auto" w:fill="auto"/>
                  <w:noWrap w:val="0"/>
                  <w:vAlign w:val="center"/>
                </w:tcPr>
                <w:p w14:paraId="5F7930D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val="0"/>
                      <w:bCs w:val="0"/>
                      <w:color w:val="0000FF"/>
                      <w:spacing w:val="3"/>
                      <w:sz w:val="21"/>
                      <w:szCs w:val="21"/>
                      <w:highlight w:val="none"/>
                    </w:rPr>
                  </w:pPr>
                  <w:r>
                    <w:rPr>
                      <w:rFonts w:hint="eastAsia" w:ascii="Times New Roman" w:hAnsi="Times New Roman"/>
                      <w:color w:val="0000FF"/>
                      <w:sz w:val="21"/>
                      <w:szCs w:val="21"/>
                    </w:rPr>
                    <w:t>依据《中华人民共和国大气污染防治法》，相关企业事业单位 应当按照国家有关规定建设环境风险预警体系，对排放口和周边环境进行定期监测，评估环境风险，排查环境安全隐患，并采取有效措施防范环境风险。</w:t>
                  </w:r>
                </w:p>
              </w:tc>
              <w:tc>
                <w:tcPr>
                  <w:tcW w:w="1823" w:type="pct"/>
                  <w:tcBorders>
                    <w:tl2br w:val="nil"/>
                    <w:tr2bl w:val="nil"/>
                  </w:tcBorders>
                  <w:shd w:val="clear" w:color="auto" w:fill="auto"/>
                  <w:noWrap w:val="0"/>
                  <w:vAlign w:val="center"/>
                </w:tcPr>
                <w:p w14:paraId="0CAE875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val="0"/>
                      <w:bCs w:val="0"/>
                      <w:color w:val="0000FF"/>
                      <w:spacing w:val="3"/>
                      <w:sz w:val="21"/>
                      <w:szCs w:val="21"/>
                      <w:highlight w:val="none"/>
                      <w:lang w:val="en-US"/>
                    </w:rPr>
                  </w:pPr>
                  <w:r>
                    <w:rPr>
                      <w:rFonts w:hint="eastAsia"/>
                      <w:b w:val="0"/>
                      <w:bCs w:val="0"/>
                      <w:color w:val="0000FF"/>
                      <w:highlight w:val="none"/>
                      <w:lang w:val="en-US" w:eastAsia="zh-CN"/>
                    </w:rPr>
                    <w:t>项目运营过程中涉及二氯甲烷的使用，作为辅助化学合成反应的辅助剂（作为溶剂不参与反应），使用完作为危险废物不外排，委托陕西水发环境有限公司外运处置。同时本次环评将二氯甲烷纳入环境风险评估体系，完善了环境风险预警体系，建议建设单位按环评要求严格落实二氯甲烷在贮存、使用、收集各个环节环境风险防范措施，将其环境风险降至最低，同时建议建设单位</w:t>
                  </w:r>
                  <w:r>
                    <w:rPr>
                      <w:rFonts w:hint="eastAsia"/>
                      <w:color w:val="0000FF"/>
                      <w:spacing w:val="-1"/>
                      <w:highlight w:val="none"/>
                      <w:lang w:val="en-US" w:eastAsia="zh-CN"/>
                    </w:rPr>
                    <w:t>申领排污许可证进行重点管理。</w:t>
                  </w:r>
                </w:p>
              </w:tc>
              <w:tc>
                <w:tcPr>
                  <w:tcW w:w="457" w:type="pct"/>
                  <w:tcBorders>
                    <w:tl2br w:val="nil"/>
                    <w:tr2bl w:val="nil"/>
                  </w:tcBorders>
                  <w:shd w:val="clear" w:color="auto" w:fill="auto"/>
                  <w:noWrap w:val="0"/>
                  <w:vAlign w:val="center"/>
                </w:tcPr>
                <w:p w14:paraId="73F1BD5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3E31FA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0CBE7EA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auto"/>
                      <w:spacing w:val="3"/>
                      <w:sz w:val="21"/>
                      <w:szCs w:val="21"/>
                      <w:highlight w:val="none"/>
                    </w:rPr>
                  </w:pPr>
                </w:p>
              </w:tc>
              <w:tc>
                <w:tcPr>
                  <w:tcW w:w="1547" w:type="pct"/>
                  <w:tcBorders>
                    <w:tl2br w:val="nil"/>
                    <w:tr2bl w:val="nil"/>
                  </w:tcBorders>
                  <w:shd w:val="clear" w:color="auto" w:fill="auto"/>
                  <w:noWrap w:val="0"/>
                  <w:vAlign w:val="center"/>
                </w:tcPr>
                <w:p w14:paraId="5E7154A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val="0"/>
                      <w:bCs w:val="0"/>
                      <w:color w:val="0000FF"/>
                      <w:spacing w:val="3"/>
                      <w:sz w:val="21"/>
                      <w:szCs w:val="21"/>
                      <w:highlight w:val="none"/>
                    </w:rPr>
                  </w:pPr>
                  <w:r>
                    <w:rPr>
                      <w:rFonts w:hint="eastAsia" w:ascii="Times New Roman" w:hAnsi="Times New Roman"/>
                      <w:color w:val="0000FF"/>
                      <w:sz w:val="21"/>
                      <w:szCs w:val="21"/>
                    </w:rPr>
                    <w:t>依据《中华人民共和国水污染防治法》，相关企业事业单位应当对排污口和周边环境进行监测，评估环境风险，排查环境安全隐患，并公开有毒有害水污染物信息，采取有效措施防范环境风险</w:t>
                  </w:r>
                </w:p>
              </w:tc>
              <w:tc>
                <w:tcPr>
                  <w:tcW w:w="1823" w:type="pct"/>
                  <w:tcBorders>
                    <w:tl2br w:val="nil"/>
                    <w:tr2bl w:val="nil"/>
                  </w:tcBorders>
                  <w:shd w:val="clear" w:color="auto" w:fill="auto"/>
                  <w:noWrap w:val="0"/>
                  <w:vAlign w:val="center"/>
                </w:tcPr>
                <w:p w14:paraId="1A36D3D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eastAsia="宋体" w:cs="Times New Roman"/>
                      <w:b w:val="0"/>
                      <w:bCs w:val="0"/>
                      <w:color w:val="0000FF"/>
                      <w:spacing w:val="3"/>
                      <w:kern w:val="2"/>
                      <w:sz w:val="21"/>
                      <w:szCs w:val="21"/>
                      <w:highlight w:val="none"/>
                      <w:lang w:val="en-US" w:eastAsia="zh-CN" w:bidi="ar-SA"/>
                    </w:rPr>
                  </w:pPr>
                  <w:r>
                    <w:rPr>
                      <w:rFonts w:hint="eastAsia"/>
                      <w:b w:val="0"/>
                      <w:bCs w:val="0"/>
                      <w:color w:val="0000FF"/>
                      <w:highlight w:val="none"/>
                      <w:lang w:val="en-US" w:eastAsia="zh-CN"/>
                    </w:rPr>
                    <w:t>项目运营过程中涉及二氯甲烷的使用，作为辅助化学合成反应的辅助剂（作为溶剂不参与反应），使用完作为危险废物不外排，委托陕西水发环境有限公司外运处置。</w:t>
                  </w:r>
                  <w:r>
                    <w:rPr>
                      <w:rFonts w:hint="eastAsia"/>
                      <w:color w:val="0000FF"/>
                      <w:highlight w:val="none"/>
                    </w:rPr>
                    <w:t>项目主要废水为实验器皿第三、四次清洗废水，实验结束后实验器皿先用有机溶剂清洗，清洗液作为危险废物不外排，第一、二清洗废水作为危险废物不外排，第三、四次清洗废水经自建的一体化污水处理设备（酸碱中和+絮凝沉淀+光催化反应+微电解反应+电化学氧化+消毒工艺）进行预处理，外排的清洗废水不含一类污染物，经园区化粪池处理后排入西安第六污水处理西安净水处理有限责任公司第六再生水厂进一步处理厂</w:t>
                  </w:r>
                  <w:r>
                    <w:rPr>
                      <w:rFonts w:hint="eastAsia"/>
                      <w:b w:val="0"/>
                      <w:bCs w:val="0"/>
                      <w:color w:val="0000FF"/>
                      <w:highlight w:val="none"/>
                      <w:lang w:val="en-US" w:eastAsia="zh-CN"/>
                    </w:rPr>
                    <w:t>。</w:t>
                  </w:r>
                  <w:r>
                    <w:rPr>
                      <w:rFonts w:hint="eastAsia"/>
                      <w:color w:val="0000FF"/>
                      <w:highlight w:val="none"/>
                    </w:rPr>
                    <w:t>同时本次环评将二氯甲烷纳入环境风险评估体系，完善了环境风险预警体系，建设单位按环评要求严格落实二氯甲烷在贮存、使用、收集各个环节环境风险防范措施，将其环境风险降至最低</w:t>
                  </w:r>
                  <w:r>
                    <w:rPr>
                      <w:rFonts w:hint="eastAsia"/>
                      <w:b w:val="0"/>
                      <w:bCs w:val="0"/>
                      <w:color w:val="0000FF"/>
                      <w:highlight w:val="none"/>
                      <w:lang w:val="en-US" w:eastAsia="zh-CN"/>
                    </w:rPr>
                    <w:t>。</w:t>
                  </w:r>
                </w:p>
              </w:tc>
              <w:tc>
                <w:tcPr>
                  <w:tcW w:w="457" w:type="pct"/>
                  <w:tcBorders>
                    <w:tl2br w:val="nil"/>
                    <w:tr2bl w:val="nil"/>
                  </w:tcBorders>
                  <w:shd w:val="clear" w:color="auto" w:fill="auto"/>
                  <w:noWrap w:val="0"/>
                  <w:vAlign w:val="center"/>
                </w:tcPr>
                <w:p w14:paraId="23325D1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5C34FF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5A584BA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auto"/>
                      <w:spacing w:val="3"/>
                      <w:sz w:val="21"/>
                      <w:szCs w:val="21"/>
                      <w:highlight w:val="none"/>
                    </w:rPr>
                  </w:pPr>
                </w:p>
              </w:tc>
              <w:tc>
                <w:tcPr>
                  <w:tcW w:w="1547" w:type="pct"/>
                  <w:tcBorders>
                    <w:tl2br w:val="nil"/>
                    <w:tr2bl w:val="nil"/>
                  </w:tcBorders>
                  <w:shd w:val="clear" w:color="auto" w:fill="auto"/>
                  <w:noWrap w:val="0"/>
                  <w:vAlign w:val="center"/>
                </w:tcPr>
                <w:p w14:paraId="2B6C731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cs="Times New Roman"/>
                      <w:b w:val="0"/>
                      <w:bCs w:val="0"/>
                      <w:color w:val="0000FF"/>
                      <w:spacing w:val="3"/>
                      <w:sz w:val="21"/>
                      <w:szCs w:val="21"/>
                      <w:highlight w:val="none"/>
                    </w:rPr>
                  </w:pPr>
                  <w:r>
                    <w:rPr>
                      <w:rFonts w:hint="eastAsia" w:ascii="Times New Roman" w:hAnsi="Times New Roman"/>
                      <w:color w:val="0000FF"/>
                      <w:sz w:val="21"/>
                      <w:szCs w:val="21"/>
                    </w:rPr>
                    <w:t>土壤污染重点监管单位中涉及二氯甲烷生产或使用的企业，应当依法建立土壤污染隐患排查制度，保证持续有效防止有毒有害物质渗漏、流失、扬散</w:t>
                  </w:r>
                </w:p>
              </w:tc>
              <w:tc>
                <w:tcPr>
                  <w:tcW w:w="1823" w:type="pct"/>
                  <w:tcBorders>
                    <w:tl2br w:val="nil"/>
                    <w:tr2bl w:val="nil"/>
                  </w:tcBorders>
                  <w:shd w:val="clear" w:color="auto" w:fill="auto"/>
                  <w:noWrap w:val="0"/>
                  <w:vAlign w:val="center"/>
                </w:tcPr>
                <w:p w14:paraId="6B99F7F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ascii="Times New Roman" w:hAnsi="Times New Roman" w:eastAsia="宋体"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本项目不属于土壤污染重点监管单位</w:t>
                  </w:r>
                </w:p>
              </w:tc>
              <w:tc>
                <w:tcPr>
                  <w:tcW w:w="457" w:type="pct"/>
                  <w:tcBorders>
                    <w:tl2br w:val="nil"/>
                    <w:tr2bl w:val="nil"/>
                  </w:tcBorders>
                  <w:shd w:val="clear" w:color="auto" w:fill="auto"/>
                  <w:noWrap w:val="0"/>
                  <w:vAlign w:val="center"/>
                </w:tcPr>
                <w:p w14:paraId="21B6D17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395013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3A67FFF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cs="Times New Roman"/>
                      <w:b w:val="0"/>
                      <w:bCs w:val="0"/>
                      <w:color w:val="auto"/>
                      <w:spacing w:val="3"/>
                      <w:sz w:val="21"/>
                      <w:szCs w:val="21"/>
                      <w:highlight w:val="none"/>
                    </w:rPr>
                  </w:pPr>
                </w:p>
              </w:tc>
              <w:tc>
                <w:tcPr>
                  <w:tcW w:w="1547" w:type="pct"/>
                  <w:tcBorders>
                    <w:tl2br w:val="nil"/>
                    <w:tr2bl w:val="nil"/>
                  </w:tcBorders>
                  <w:shd w:val="clear" w:color="auto" w:fill="auto"/>
                  <w:noWrap w:val="0"/>
                  <w:vAlign w:val="center"/>
                </w:tcPr>
                <w:p w14:paraId="615101D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color w:val="0000FF"/>
                      <w:sz w:val="21"/>
                      <w:szCs w:val="21"/>
                    </w:rPr>
                  </w:pPr>
                  <w:r>
                    <w:rPr>
                      <w:rFonts w:hint="eastAsia" w:ascii="Times New Roman" w:hAnsi="Times New Roman"/>
                      <w:color w:val="0000FF"/>
                      <w:sz w:val="21"/>
                      <w:szCs w:val="21"/>
                    </w:rPr>
                    <w:t>严格执行土壤污染风险管控标准，识别和管控有关的土壤环境风险</w:t>
                  </w:r>
                </w:p>
              </w:tc>
              <w:tc>
                <w:tcPr>
                  <w:tcW w:w="1823" w:type="pct"/>
                  <w:tcBorders>
                    <w:tl2br w:val="nil"/>
                    <w:tr2bl w:val="nil"/>
                  </w:tcBorders>
                  <w:shd w:val="clear" w:color="auto" w:fill="auto"/>
                  <w:noWrap w:val="0"/>
                  <w:vAlign w:val="center"/>
                </w:tcPr>
                <w:p w14:paraId="4A111EC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 w:firstLineChars="200"/>
                    <w:jc w:val="both"/>
                    <w:textAlignment w:val="auto"/>
                    <w:rPr>
                      <w:rFonts w:hint="default" w:ascii="Times New Roman" w:hAnsi="Times New Roman" w:eastAsia="宋体"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本项目不涉及</w:t>
                  </w:r>
                </w:p>
              </w:tc>
              <w:tc>
                <w:tcPr>
                  <w:tcW w:w="457" w:type="pct"/>
                  <w:tcBorders>
                    <w:tl2br w:val="nil"/>
                    <w:tr2bl w:val="nil"/>
                  </w:tcBorders>
                  <w:shd w:val="clear" w:color="auto" w:fill="auto"/>
                  <w:noWrap w:val="0"/>
                  <w:vAlign w:val="center"/>
                </w:tcPr>
                <w:p w14:paraId="2125C9B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0D67B6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71" w:type="pct"/>
                  <w:vMerge w:val="restart"/>
                  <w:tcBorders>
                    <w:tl2br w:val="nil"/>
                    <w:tr2bl w:val="nil"/>
                  </w:tcBorders>
                  <w:shd w:val="clear" w:color="auto" w:fill="auto"/>
                  <w:noWrap w:val="0"/>
                  <w:vAlign w:val="center"/>
                </w:tcPr>
                <w:p w14:paraId="59DE061F">
                  <w:pPr>
                    <w:spacing w:line="360" w:lineRule="auto"/>
                    <w:jc w:val="both"/>
                    <w:rPr>
                      <w:rFonts w:hint="eastAsia" w:ascii="Times New Roman" w:hAnsi="Times New Roman" w:eastAsia="宋体" w:cs="Times New Roman"/>
                      <w:color w:val="0000FF"/>
                      <w:kern w:val="2"/>
                      <w:sz w:val="21"/>
                      <w:szCs w:val="21"/>
                      <w:highlight w:val="none"/>
                      <w:lang w:val="en-US" w:eastAsia="zh-CN" w:bidi="ar-SA"/>
                    </w:rPr>
                  </w:pPr>
                  <w:bookmarkStart w:id="56" w:name="_GoBack"/>
                  <w:bookmarkEnd w:id="56"/>
                  <w:r>
                    <w:rPr>
                      <w:rFonts w:hint="default" w:ascii="Times New Roman" w:hAnsi="Times New Roman" w:cs="Times New Roman"/>
                      <w:color w:val="0000FF"/>
                      <w:sz w:val="21"/>
                      <w:szCs w:val="21"/>
                      <w:highlight w:val="none"/>
                    </w:rPr>
                    <w:t>《优先控制化学品名录》</w:t>
                  </w:r>
                </w:p>
              </w:tc>
              <w:tc>
                <w:tcPr>
                  <w:tcW w:w="1547" w:type="pct"/>
                  <w:tcBorders>
                    <w:tl2br w:val="nil"/>
                    <w:tr2bl w:val="nil"/>
                  </w:tcBorders>
                  <w:shd w:val="clear" w:color="auto" w:fill="auto"/>
                  <w:noWrap w:val="0"/>
                  <w:vAlign w:val="center"/>
                </w:tcPr>
                <w:p w14:paraId="445AA47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color w:val="0000FF"/>
                      <w:sz w:val="21"/>
                      <w:szCs w:val="21"/>
                    </w:rPr>
                  </w:pPr>
                  <w:r>
                    <w:rPr>
                      <w:rFonts w:hint="eastAsia"/>
                      <w:color w:val="0000FF"/>
                      <w:szCs w:val="21"/>
                    </w:rPr>
                    <w:t>排放名录中所列有毒有害大气污染物的企业事业单位,应当取得排污许可证。</w:t>
                  </w:r>
                </w:p>
              </w:tc>
              <w:tc>
                <w:tcPr>
                  <w:tcW w:w="1823" w:type="pct"/>
                  <w:tcBorders>
                    <w:tl2br w:val="nil"/>
                    <w:tr2bl w:val="nil"/>
                  </w:tcBorders>
                  <w:shd w:val="clear" w:color="auto" w:fill="auto"/>
                  <w:noWrap w:val="0"/>
                  <w:vAlign w:val="center"/>
                </w:tcPr>
                <w:p w14:paraId="3EF3C82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eastAsia="宋体" w:cs="Times New Roman"/>
                      <w:b w:val="0"/>
                      <w:bCs w:val="0"/>
                      <w:color w:val="0000FF"/>
                      <w:spacing w:val="3"/>
                      <w:sz w:val="21"/>
                      <w:szCs w:val="21"/>
                      <w:highlight w:val="none"/>
                      <w:lang w:val="en-US" w:eastAsia="zh-CN"/>
                    </w:rPr>
                  </w:pPr>
                  <w:r>
                    <w:rPr>
                      <w:rFonts w:hint="eastAsia"/>
                      <w:color w:val="0000FF"/>
                      <w:spacing w:val="-1"/>
                      <w:highlight w:val="none"/>
                      <w:lang w:val="en-US" w:eastAsia="zh-CN"/>
                    </w:rPr>
                    <w:t>本项目实验研发过程会涉及二氯甲烷的使用，二氯甲烷属于《有毒有害大气污染物名录》的污染物，但国家和陕西省均无二氯甲烷的相应的排放标准，故本次环评建议企业按照</w:t>
                  </w:r>
                  <w:r>
                    <w:rPr>
                      <w:rFonts w:hint="eastAsia"/>
                      <w:color w:val="0000FF"/>
                      <w:spacing w:val="-1"/>
                      <w:highlight w:val="none"/>
                    </w:rPr>
                    <w:t>《优先控制化学品名录》</w:t>
                  </w:r>
                  <w:r>
                    <w:rPr>
                      <w:rFonts w:hint="eastAsia"/>
                      <w:color w:val="0000FF"/>
                      <w:spacing w:val="-1"/>
                      <w:highlight w:val="none"/>
                      <w:lang w:val="en-US" w:eastAsia="zh-CN"/>
                    </w:rPr>
                    <w:t>要求申领排污许可证进行重点管理</w:t>
                  </w:r>
                  <w:r>
                    <w:rPr>
                      <w:rFonts w:hint="eastAsia"/>
                      <w:color w:val="0000FF"/>
                      <w:spacing w:val="-1"/>
                      <w:highlight w:val="none"/>
                      <w:lang w:eastAsia="zh-CN"/>
                    </w:rPr>
                    <w:t>。</w:t>
                  </w:r>
                </w:p>
              </w:tc>
              <w:tc>
                <w:tcPr>
                  <w:tcW w:w="457" w:type="pct"/>
                  <w:tcBorders>
                    <w:tl2br w:val="nil"/>
                    <w:tr2bl w:val="nil"/>
                  </w:tcBorders>
                  <w:shd w:val="clear" w:color="auto" w:fill="auto"/>
                  <w:noWrap w:val="0"/>
                  <w:vAlign w:val="center"/>
                </w:tcPr>
                <w:p w14:paraId="156289C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46DAE8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07" w:hRule="atLeast"/>
                <w:jc w:val="center"/>
              </w:trPr>
              <w:tc>
                <w:tcPr>
                  <w:tcW w:w="1171" w:type="pct"/>
                  <w:vMerge w:val="continue"/>
                  <w:tcBorders>
                    <w:tl2br w:val="nil"/>
                    <w:tr2bl w:val="nil"/>
                  </w:tcBorders>
                  <w:shd w:val="clear" w:color="auto" w:fill="auto"/>
                  <w:noWrap w:val="0"/>
                  <w:vAlign w:val="center"/>
                </w:tcPr>
                <w:p w14:paraId="02829161">
                  <w:pPr>
                    <w:spacing w:line="360" w:lineRule="auto"/>
                    <w:ind w:firstLine="420" w:firstLineChars="200"/>
                    <w:jc w:val="both"/>
                    <w:rPr>
                      <w:rFonts w:hint="default" w:ascii="Times New Roman" w:hAnsi="Times New Roman" w:eastAsia="宋体" w:cs="Times New Roman"/>
                      <w:color w:val="0000FF"/>
                      <w:kern w:val="2"/>
                      <w:sz w:val="21"/>
                      <w:szCs w:val="21"/>
                      <w:highlight w:val="none"/>
                      <w:lang w:val="en-US" w:eastAsia="zh-CN" w:bidi="ar-SA"/>
                    </w:rPr>
                  </w:pPr>
                </w:p>
              </w:tc>
              <w:tc>
                <w:tcPr>
                  <w:tcW w:w="1547" w:type="pct"/>
                  <w:tcBorders>
                    <w:tl2br w:val="nil"/>
                    <w:tr2bl w:val="nil"/>
                  </w:tcBorders>
                  <w:shd w:val="clear" w:color="auto" w:fill="auto"/>
                  <w:noWrap w:val="0"/>
                  <w:vAlign w:val="center"/>
                </w:tcPr>
                <w:p w14:paraId="71D4E4BB">
                  <w:pPr>
                    <w:spacing w:line="360" w:lineRule="auto"/>
                    <w:rPr>
                      <w:rFonts w:hint="eastAsia" w:ascii="Times New Roman" w:hAnsi="Times New Roman" w:eastAsia="宋体" w:cs="Times New Roman"/>
                      <w:color w:val="0000FF"/>
                      <w:kern w:val="2"/>
                      <w:sz w:val="21"/>
                      <w:szCs w:val="21"/>
                      <w:highlight w:val="none"/>
                      <w:lang w:val="en-US" w:eastAsia="zh-CN" w:bidi="ar-SA"/>
                    </w:rPr>
                  </w:pPr>
                  <w:r>
                    <w:rPr>
                      <w:rFonts w:hint="default"/>
                      <w:color w:val="0000FF"/>
                      <w:szCs w:val="21"/>
                      <w:highlight w:val="none"/>
                    </w:rPr>
                    <w:t>排放名录中所列有毒有害水污染物的企业事业单位和其他生产经营者</w:t>
                  </w:r>
                  <w:r>
                    <w:rPr>
                      <w:rFonts w:hint="eastAsia"/>
                      <w:color w:val="0000FF"/>
                      <w:szCs w:val="21"/>
                      <w:highlight w:val="none"/>
                      <w:lang w:eastAsia="zh-CN"/>
                    </w:rPr>
                    <w:t>，</w:t>
                  </w:r>
                  <w:r>
                    <w:rPr>
                      <w:rFonts w:hint="default"/>
                      <w:color w:val="0000FF"/>
                      <w:szCs w:val="21"/>
                      <w:highlight w:val="none"/>
                    </w:rPr>
                    <w:t>应当对排污口和周边环境进行监测,公开有毒有害水污染物信息,采取有效措施防范环境风险</w:t>
                  </w:r>
                  <w:r>
                    <w:rPr>
                      <w:rFonts w:hint="default" w:ascii="Times New Roman" w:hAnsi="Times New Roman" w:cs="Times New Roman"/>
                      <w:color w:val="0000FF"/>
                      <w:sz w:val="21"/>
                      <w:szCs w:val="21"/>
                      <w:highlight w:val="none"/>
                    </w:rPr>
                    <w:t>。</w:t>
                  </w:r>
                </w:p>
              </w:tc>
              <w:tc>
                <w:tcPr>
                  <w:tcW w:w="1823" w:type="pct"/>
                  <w:tcBorders>
                    <w:tl2br w:val="nil"/>
                    <w:tr2bl w:val="nil"/>
                  </w:tcBorders>
                  <w:shd w:val="clear" w:color="auto" w:fill="auto"/>
                  <w:noWrap w:val="0"/>
                  <w:vAlign w:val="center"/>
                </w:tcPr>
                <w:p w14:paraId="3B210AF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eastAsia="宋体" w:cs="Times New Roman"/>
                      <w:b w:val="0"/>
                      <w:bCs w:val="0"/>
                      <w:color w:val="0000FF"/>
                      <w:spacing w:val="3"/>
                      <w:sz w:val="21"/>
                      <w:szCs w:val="21"/>
                      <w:highlight w:val="none"/>
                      <w:lang w:val="en-US" w:eastAsia="zh-CN"/>
                    </w:rPr>
                  </w:pPr>
                  <w:r>
                    <w:rPr>
                      <w:rFonts w:hint="eastAsia" w:cs="Times New Roman"/>
                      <w:b w:val="0"/>
                      <w:bCs w:val="0"/>
                      <w:color w:val="0000FF"/>
                      <w:spacing w:val="3"/>
                      <w:sz w:val="21"/>
                      <w:szCs w:val="21"/>
                      <w:highlight w:val="none"/>
                      <w:lang w:val="en-US" w:eastAsia="zh-CN"/>
                    </w:rPr>
                    <w:t>项目主要废水为实验器皿第三、四次清洗废水，实验结束后实验器皿先用有机溶剂清洗，清洗液作为危险废物不外排，第一、二清洗废水作为危险废物不外排，第三、四次清洗废水且经自建</w:t>
                  </w:r>
                  <w:r>
                    <w:rPr>
                      <w:rFonts w:hint="eastAsia"/>
                      <w:color w:val="0000FF"/>
                      <w:spacing w:val="3"/>
                      <w:szCs w:val="21"/>
                      <w:highlight w:val="none"/>
                    </w:rPr>
                    <w:t>的一体化污水处理设备（酸碱中和+絮凝沉淀+光催化反应+微电解反应+电化学氧化+消毒工艺）进行预处理</w:t>
                  </w:r>
                  <w:r>
                    <w:rPr>
                      <w:rFonts w:hint="eastAsia"/>
                      <w:color w:val="0000FF"/>
                      <w:spacing w:val="3"/>
                      <w:szCs w:val="21"/>
                      <w:highlight w:val="none"/>
                      <w:lang w:eastAsia="zh-CN"/>
                    </w:rPr>
                    <w:t>，</w:t>
                  </w:r>
                  <w:r>
                    <w:rPr>
                      <w:rFonts w:hint="eastAsia"/>
                      <w:color w:val="0000FF"/>
                      <w:spacing w:val="3"/>
                      <w:szCs w:val="21"/>
                      <w:highlight w:val="none"/>
                      <w:lang w:val="en-US" w:eastAsia="zh-CN"/>
                    </w:rPr>
                    <w:t>外排的清洗废水基本上不含</w:t>
                  </w:r>
                  <w:r>
                    <w:rPr>
                      <w:rFonts w:hint="eastAsia"/>
                      <w:color w:val="0000FF"/>
                      <w:spacing w:val="3"/>
                      <w:szCs w:val="21"/>
                      <w:highlight w:val="none"/>
                    </w:rPr>
                    <w:t>排放名录中所列有毒有害水污染物</w:t>
                  </w:r>
                  <w:r>
                    <w:rPr>
                      <w:rFonts w:hint="eastAsia"/>
                      <w:color w:val="0000FF"/>
                      <w:spacing w:val="3"/>
                      <w:szCs w:val="21"/>
                      <w:highlight w:val="none"/>
                      <w:lang w:val="en-US" w:eastAsia="zh-CN"/>
                    </w:rPr>
                    <w:t>，经园区化粪池处理后排入西安第六污水处理</w:t>
                  </w:r>
                  <w:r>
                    <w:rPr>
                      <w:rFonts w:hint="eastAsia"/>
                      <w:color w:val="0000FF"/>
                      <w:spacing w:val="3"/>
                      <w:szCs w:val="21"/>
                      <w:highlight w:val="none"/>
                    </w:rPr>
                    <w:t>西安净水处理有限责任公司第六再生水厂进一步处理</w:t>
                  </w:r>
                  <w:r>
                    <w:rPr>
                      <w:rFonts w:hint="eastAsia"/>
                      <w:color w:val="0000FF"/>
                      <w:spacing w:val="3"/>
                      <w:szCs w:val="21"/>
                      <w:highlight w:val="none"/>
                      <w:lang w:val="en-US" w:eastAsia="zh-CN"/>
                    </w:rPr>
                    <w:t>厂进一步处理。</w:t>
                  </w:r>
                  <w:r>
                    <w:rPr>
                      <w:rFonts w:hint="eastAsia"/>
                      <w:color w:val="0000FF"/>
                      <w:spacing w:val="3"/>
                      <w:szCs w:val="21"/>
                      <w:highlight w:val="none"/>
                    </w:rPr>
                    <w:t>故本项目不涉及有毒有害水污染物排放，不属于排放《有毒有害水污染物名录》中所列有毒有害水污染物的企事业单位和其他生产经营者</w:t>
                  </w:r>
                  <w:r>
                    <w:rPr>
                      <w:rFonts w:hint="eastAsia"/>
                      <w:color w:val="0000FF"/>
                      <w:spacing w:val="3"/>
                      <w:szCs w:val="21"/>
                      <w:highlight w:val="none"/>
                      <w:lang w:eastAsia="zh-CN"/>
                    </w:rPr>
                    <w:t>。</w:t>
                  </w:r>
                </w:p>
              </w:tc>
              <w:tc>
                <w:tcPr>
                  <w:tcW w:w="457" w:type="pct"/>
                  <w:tcBorders>
                    <w:tl2br w:val="nil"/>
                    <w:tr2bl w:val="nil"/>
                  </w:tcBorders>
                  <w:shd w:val="clear" w:color="auto" w:fill="auto"/>
                  <w:noWrap w:val="0"/>
                  <w:vAlign w:val="center"/>
                </w:tcPr>
                <w:p w14:paraId="54CB900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default" w:cs="Times New Roman"/>
                      <w:b w:val="0"/>
                      <w:bCs w:val="0"/>
                      <w:color w:val="auto"/>
                      <w:spacing w:val="3"/>
                      <w:sz w:val="21"/>
                      <w:szCs w:val="21"/>
                      <w:highlight w:val="none"/>
                      <w:lang w:val="en-US" w:eastAsia="zh-CN"/>
                    </w:rPr>
                  </w:pPr>
                  <w:r>
                    <w:rPr>
                      <w:rFonts w:hint="eastAsia" w:cs="Times New Roman"/>
                      <w:b w:val="0"/>
                      <w:bCs w:val="0"/>
                      <w:color w:val="auto"/>
                      <w:spacing w:val="3"/>
                      <w:sz w:val="21"/>
                      <w:szCs w:val="21"/>
                      <w:highlight w:val="none"/>
                      <w:lang w:val="en-US" w:eastAsia="zh-CN"/>
                    </w:rPr>
                    <w:t>符合</w:t>
                  </w:r>
                </w:p>
              </w:tc>
            </w:tr>
            <w:tr w14:paraId="3C930E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shd w:val="clear" w:color="auto" w:fill="auto"/>
                  <w:noWrap w:val="0"/>
                  <w:vAlign w:val="center"/>
                </w:tcPr>
                <w:p w14:paraId="61C23DF3">
                  <w:pPr>
                    <w:keepNext w:val="0"/>
                    <w:keepLines w:val="0"/>
                    <w:pageBreakBefore w:val="0"/>
                    <w:widowControl w:val="0"/>
                    <w:kinsoku/>
                    <w:wordWrap/>
                    <w:overflowPunct/>
                    <w:topLinePunct w:val="0"/>
                    <w:autoSpaceDE/>
                    <w:autoSpaceDN/>
                    <w:bidi w:val="0"/>
                    <w:spacing w:line="360" w:lineRule="auto"/>
                    <w:ind w:right="0" w:rightChars="0" w:firstLine="420" w:firstLineChars="200"/>
                    <w:jc w:val="both"/>
                    <w:textAlignment w:val="auto"/>
                    <w:rPr>
                      <w:rFonts w:hint="default" w:ascii="Times New Roman" w:hAnsi="Times New Roman" w:eastAsia="宋体" w:cs="Times New Roman"/>
                      <w:color w:val="auto"/>
                      <w:sz w:val="21"/>
                      <w:szCs w:val="21"/>
                      <w:highlight w:val="none"/>
                      <w:lang w:val="en-US" w:eastAsia="zh-CN"/>
                    </w:rPr>
                  </w:pPr>
                </w:p>
                <w:p w14:paraId="43EBA7E1">
                  <w:pPr>
                    <w:keepNext w:val="0"/>
                    <w:keepLines w:val="0"/>
                    <w:pageBreakBefore w:val="0"/>
                    <w:widowControl w:val="0"/>
                    <w:kinsoku/>
                    <w:wordWrap/>
                    <w:overflowPunct/>
                    <w:topLinePunct w:val="0"/>
                    <w:autoSpaceDE/>
                    <w:autoSpaceDN/>
                    <w:bidi w:val="0"/>
                    <w:spacing w:line="360" w:lineRule="auto"/>
                    <w:ind w:right="0" w:rightChars="0" w:firstLine="420" w:firstLineChars="200"/>
                    <w:jc w:val="both"/>
                    <w:textAlignment w:val="auto"/>
                    <w:rPr>
                      <w:rFonts w:hint="default" w:ascii="Times New Roman" w:hAnsi="Times New Roman" w:eastAsia="宋体" w:cs="Times New Roman"/>
                      <w:color w:val="auto"/>
                      <w:sz w:val="21"/>
                      <w:szCs w:val="21"/>
                      <w:highlight w:val="none"/>
                      <w:lang w:val="en-US" w:eastAsia="zh-CN"/>
                    </w:rPr>
                  </w:pPr>
                </w:p>
                <w:p w14:paraId="2BCE08CA">
                  <w:pPr>
                    <w:keepNext w:val="0"/>
                    <w:keepLines w:val="0"/>
                    <w:pageBreakBefore w:val="0"/>
                    <w:widowControl w:val="0"/>
                    <w:kinsoku/>
                    <w:wordWrap/>
                    <w:overflowPunct/>
                    <w:topLinePunct w:val="0"/>
                    <w:autoSpaceDE/>
                    <w:autoSpaceDN/>
                    <w:bidi w:val="0"/>
                    <w:spacing w:line="360" w:lineRule="auto"/>
                    <w:ind w:right="0" w:rightChars="0" w:firstLine="420" w:firstLineChars="200"/>
                    <w:jc w:val="both"/>
                    <w:textAlignment w:val="auto"/>
                    <w:rPr>
                      <w:rFonts w:hint="default" w:ascii="Times New Roman" w:hAnsi="Times New Roman" w:eastAsia="宋体" w:cs="Times New Roman"/>
                      <w:color w:val="auto"/>
                      <w:sz w:val="21"/>
                      <w:szCs w:val="21"/>
                      <w:highlight w:val="none"/>
                      <w:lang w:val="en-US" w:eastAsia="zh-CN"/>
                    </w:rPr>
                  </w:pPr>
                </w:p>
                <w:p w14:paraId="5B59C665">
                  <w:pPr>
                    <w:keepNext w:val="0"/>
                    <w:keepLines w:val="0"/>
                    <w:pageBreakBefore w:val="0"/>
                    <w:widowControl w:val="0"/>
                    <w:kinsoku/>
                    <w:wordWrap/>
                    <w:overflowPunct/>
                    <w:topLinePunct w:val="0"/>
                    <w:autoSpaceDE/>
                    <w:autoSpaceDN/>
                    <w:bidi w:val="0"/>
                    <w:spacing w:line="360" w:lineRule="auto"/>
                    <w:ind w:right="0" w:rightChars="0" w:firstLine="420" w:firstLineChars="200"/>
                    <w:jc w:val="both"/>
                    <w:textAlignment w:val="auto"/>
                    <w:rPr>
                      <w:rFonts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《陕西省</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十四五</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生态环境保护规划》</w:t>
                  </w:r>
                </w:p>
              </w:tc>
              <w:tc>
                <w:tcPr>
                  <w:tcW w:w="1547" w:type="pct"/>
                  <w:tcBorders>
                    <w:tl2br w:val="nil"/>
                    <w:tr2bl w:val="nil"/>
                  </w:tcBorders>
                  <w:shd w:val="clear" w:color="auto" w:fill="auto"/>
                  <w:noWrap w:val="0"/>
                  <w:vAlign w:val="center"/>
                </w:tcPr>
                <w:p w14:paraId="1FFC2645">
                  <w:pPr>
                    <w:keepNext w:val="0"/>
                    <w:keepLines w:val="0"/>
                    <w:pageBreakBefore w:val="0"/>
                    <w:widowControl w:val="0"/>
                    <w:kinsoku/>
                    <w:wordWrap/>
                    <w:overflowPunct/>
                    <w:topLinePunct w:val="0"/>
                    <w:autoSpaceDE/>
                    <w:autoSpaceDN/>
                    <w:bidi w:val="0"/>
                    <w:adjustRightInd/>
                    <w:snapToGrid/>
                    <w:spacing w:line="360" w:lineRule="auto"/>
                    <w:ind w:right="0" w:rightChars="0" w:firstLine="420" w:firstLineChars="200"/>
                    <w:jc w:val="both"/>
                    <w:textAlignment w:val="auto"/>
                    <w:rPr>
                      <w:rFonts w:hint="eastAsia" w:ascii="Times New Roman" w:hAnsi="Times New Roman" w:eastAsia="宋体" w:cs="Times New Roman"/>
                      <w:color w:val="auto"/>
                      <w:sz w:val="21"/>
                      <w:szCs w:val="21"/>
                      <w:highlight w:val="none"/>
                      <w:lang w:val="zh-CN" w:eastAsia="zh-CN"/>
                    </w:rPr>
                  </w:pPr>
                  <w:r>
                    <w:rPr>
                      <w:rFonts w:hint="eastAsia" w:ascii="Times New Roman" w:hAnsi="Times New Roman" w:eastAsia="宋体" w:cs="Times New Roman"/>
                      <w:color w:val="auto"/>
                      <w:kern w:val="2"/>
                      <w:sz w:val="21"/>
                      <w:szCs w:val="21"/>
                      <w:highlight w:val="none"/>
                      <w:lang w:val="en-US" w:eastAsia="zh-CN" w:bidi="ar-SA"/>
                    </w:rPr>
                    <w:t>推进重点行业挥发性有机物综合整治。建立石化、化工、工业涂装、包装印刷、家具、电子制造、工程机械制造等重点行业源头、过程和末端全过程控制体系，实施挥发性有机物总量控制。</w:t>
                  </w:r>
                </w:p>
              </w:tc>
              <w:tc>
                <w:tcPr>
                  <w:tcW w:w="1823" w:type="pct"/>
                  <w:tcBorders>
                    <w:tl2br w:val="nil"/>
                    <w:tr2bl w:val="nil"/>
                  </w:tcBorders>
                  <w:shd w:val="clear" w:color="auto" w:fill="auto"/>
                  <w:noWrap w:val="0"/>
                  <w:vAlign w:val="center"/>
                </w:tcPr>
                <w:p w14:paraId="072321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本项目为医药中间体工艺开发和药物活性分子化合物合成研发项目，属于生物医药行业，</w:t>
                  </w:r>
                  <w:r>
                    <w:rPr>
                      <w:rFonts w:hint="default" w:ascii="Times New Roman" w:hAnsi="Times New Roman" w:eastAsia="宋体" w:cs="Times New Roman"/>
                      <w:color w:val="auto"/>
                      <w:sz w:val="21"/>
                      <w:szCs w:val="21"/>
                      <w:highlight w:val="none"/>
                      <w:lang w:eastAsia="zh-CN"/>
                    </w:rPr>
                    <w:t>不属于重点行业高</w:t>
                  </w:r>
                  <w:r>
                    <w:rPr>
                      <w:rFonts w:hint="default" w:ascii="Times New Roman" w:hAnsi="Times New Roman" w:eastAsia="宋体" w:cs="Times New Roman"/>
                      <w:color w:val="auto"/>
                      <w:sz w:val="21"/>
                      <w:szCs w:val="21"/>
                      <w:highlight w:val="none"/>
                      <w:lang w:val="en-US" w:eastAsia="zh-CN"/>
                    </w:rPr>
                    <w:t>VOCs排放项目</w:t>
                  </w:r>
                  <w:r>
                    <w:rPr>
                      <w:rFonts w:hint="eastAsia" w:ascii="Times New Roman" w:hAnsi="Times New Roman" w:eastAsia="宋体" w:cs="Times New Roman"/>
                      <w:color w:val="auto"/>
                      <w:sz w:val="21"/>
                      <w:szCs w:val="21"/>
                      <w:highlight w:val="none"/>
                      <w:lang w:val="en-US" w:eastAsia="zh-CN"/>
                    </w:rPr>
                    <w:t>。运行过程</w:t>
                  </w:r>
                  <w:r>
                    <w:rPr>
                      <w:rFonts w:hint="eastAsia" w:cs="Times New Roman"/>
                      <w:color w:val="auto"/>
                      <w:sz w:val="21"/>
                      <w:szCs w:val="21"/>
                      <w:highlight w:val="none"/>
                      <w:lang w:val="en-US" w:eastAsia="zh-CN"/>
                    </w:rPr>
                    <w:t>有机</w:t>
                  </w:r>
                  <w:r>
                    <w:rPr>
                      <w:rFonts w:hint="eastAsia"/>
                      <w:color w:val="auto"/>
                      <w:highlight w:val="none"/>
                      <w:lang w:val="en-US" w:eastAsia="zh-CN"/>
                    </w:rPr>
                    <w:t>废气和无机废气经通风柜收集后经SDG+活性炭吸附装置吸附处理后可达标排放。</w:t>
                  </w:r>
                </w:p>
              </w:tc>
              <w:tc>
                <w:tcPr>
                  <w:tcW w:w="457" w:type="pct"/>
                  <w:tcBorders>
                    <w:tl2br w:val="nil"/>
                    <w:tr2bl w:val="nil"/>
                  </w:tcBorders>
                  <w:shd w:val="clear" w:color="auto" w:fill="auto"/>
                  <w:noWrap w:val="0"/>
                  <w:vAlign w:val="center"/>
                </w:tcPr>
                <w:p w14:paraId="2421A523">
                  <w:pPr>
                    <w:keepNext w:val="0"/>
                    <w:keepLines w:val="0"/>
                    <w:pageBreakBefore w:val="0"/>
                    <w:widowControl w:val="0"/>
                    <w:kinsoku/>
                    <w:wordWrap/>
                    <w:overflowPunct/>
                    <w:topLinePunct w:val="0"/>
                    <w:autoSpaceDE/>
                    <w:autoSpaceDN/>
                    <w:bidi w:val="0"/>
                    <w:spacing w:line="360" w:lineRule="auto"/>
                    <w:ind w:right="0" w:rightChars="0" w:firstLine="0" w:firstLineChars="0"/>
                    <w:jc w:val="both"/>
                    <w:textAlignment w:val="auto"/>
                    <w:rPr>
                      <w:rFonts w:hint="eastAsia"/>
                      <w:bCs/>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符合</w:t>
                  </w:r>
                </w:p>
              </w:tc>
            </w:tr>
            <w:tr w14:paraId="6800A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7788F39C">
                  <w:pPr>
                    <w:keepNext w:val="0"/>
                    <w:keepLines w:val="0"/>
                    <w:pageBreakBefore w:val="0"/>
                    <w:widowControl w:val="0"/>
                    <w:kinsoku/>
                    <w:wordWrap/>
                    <w:overflowPunct/>
                    <w:topLinePunct w:val="0"/>
                    <w:autoSpaceDE/>
                    <w:autoSpaceDN/>
                    <w:bidi w:val="0"/>
                    <w:spacing w:line="360" w:lineRule="auto"/>
                    <w:ind w:right="0" w:firstLine="420" w:firstLineChars="20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《西安市人民政府关于印发“十四五”生态环境通知》（市政保护规划的发〔2021〕21号</w:t>
                  </w:r>
                  <w:r>
                    <w:rPr>
                      <w:rFonts w:hint="default" w:ascii="Times New Roman" w:hAnsi="Times New Roman" w:cs="Times New Roman"/>
                      <w:color w:val="auto"/>
                      <w:sz w:val="21"/>
                      <w:szCs w:val="21"/>
                      <w:highlight w:val="none"/>
                      <w:lang w:val="en-US" w:eastAsia="zh-CN"/>
                    </w:rPr>
                    <w:t>）</w:t>
                  </w:r>
                </w:p>
              </w:tc>
              <w:tc>
                <w:tcPr>
                  <w:tcW w:w="1547" w:type="pct"/>
                  <w:tcBorders>
                    <w:tl2br w:val="nil"/>
                    <w:tr2bl w:val="nil"/>
                  </w:tcBorders>
                  <w:noWrap w:val="0"/>
                  <w:vAlign w:val="center"/>
                </w:tcPr>
                <w:p w14:paraId="0C53DE08">
                  <w:pPr>
                    <w:keepNext w:val="0"/>
                    <w:keepLines w:val="0"/>
                    <w:pageBreakBefore w:val="0"/>
                    <w:widowControl w:val="0"/>
                    <w:suppressLineNumbers w:val="0"/>
                    <w:kinsoku/>
                    <w:wordWrap/>
                    <w:overflowPunct/>
                    <w:topLinePunct w:val="0"/>
                    <w:autoSpaceDE/>
                    <w:autoSpaceDN/>
                    <w:bidi w:val="0"/>
                    <w:adjustRightInd/>
                    <w:snapToGrid/>
                    <w:spacing w:line="360" w:lineRule="auto"/>
                    <w:ind w:right="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
                    </w:rPr>
                    <w:t>强化</w:t>
                  </w:r>
                  <w:r>
                    <w:rPr>
                      <w:rFonts w:hint="default" w:ascii="Times New Roman" w:hAnsi="Times New Roman" w:eastAsia="宋体" w:cs="Times New Roman"/>
                      <w:color w:val="auto"/>
                      <w:kern w:val="0"/>
                      <w:sz w:val="21"/>
                      <w:szCs w:val="21"/>
                      <w:highlight w:val="none"/>
                      <w:lang w:val="en-US" w:eastAsia="zh-CN" w:bidi="ar"/>
                    </w:rPr>
                    <w:t>VOCs</w:t>
                  </w:r>
                  <w:r>
                    <w:rPr>
                      <w:rFonts w:hint="eastAsia" w:ascii="宋体" w:hAnsi="宋体" w:eastAsia="宋体" w:cs="宋体"/>
                      <w:color w:val="auto"/>
                      <w:kern w:val="0"/>
                      <w:sz w:val="21"/>
                      <w:szCs w:val="21"/>
                      <w:highlight w:val="none"/>
                      <w:lang w:val="en-US" w:eastAsia="zh-CN" w:bidi="ar"/>
                    </w:rPr>
                    <w:t>综合整治。将挥发性有机物纳入污染物排放总量控制体系，有效减少重点污染源、全社会挥发性有机物和</w:t>
                  </w:r>
                  <w:r>
                    <w:rPr>
                      <w:rFonts w:hint="default" w:ascii="Times New Roman" w:hAnsi="Times New Roman" w:eastAsia="宋体" w:cs="Times New Roman"/>
                      <w:color w:val="auto"/>
                      <w:kern w:val="0"/>
                      <w:sz w:val="21"/>
                      <w:szCs w:val="21"/>
                      <w:highlight w:val="none"/>
                      <w:lang w:val="en-US" w:eastAsia="zh-CN" w:bidi="ar"/>
                    </w:rPr>
                    <w:t>NOx</w:t>
                  </w:r>
                  <w:r>
                    <w:rPr>
                      <w:rFonts w:hint="eastAsia" w:ascii="宋体" w:hAnsi="宋体" w:eastAsia="宋体" w:cs="宋体"/>
                      <w:color w:val="auto"/>
                      <w:kern w:val="0"/>
                      <w:sz w:val="21"/>
                      <w:szCs w:val="21"/>
                      <w:highlight w:val="none"/>
                      <w:lang w:val="en-US" w:eastAsia="zh-CN" w:bidi="ar"/>
                    </w:rPr>
                    <w:t>排放总量。</w:t>
                  </w:r>
                </w:p>
              </w:tc>
              <w:tc>
                <w:tcPr>
                  <w:tcW w:w="1823" w:type="pct"/>
                  <w:vMerge w:val="restart"/>
                  <w:tcBorders>
                    <w:tl2br w:val="nil"/>
                    <w:tr2bl w:val="nil"/>
                  </w:tcBorders>
                  <w:noWrap w:val="0"/>
                  <w:vAlign w:val="center"/>
                </w:tcPr>
                <w:p w14:paraId="5A0A5CE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olor w:val="auto"/>
                      <w:highlight w:val="none"/>
                      <w:lang w:val="en-US" w:eastAsia="zh-CN"/>
                    </w:rPr>
                  </w:pPr>
                  <w:r>
                    <w:rPr>
                      <w:rFonts w:hint="eastAsia"/>
                      <w:color w:val="auto"/>
                      <w:highlight w:val="none"/>
                      <w:lang w:val="en-US" w:eastAsia="zh-CN"/>
                    </w:rPr>
                    <w:t>本项目有机废气经通风柜收集后，通过SDG+活性炭吸附装置吸附处理后经28m高排气筒排放。</w:t>
                  </w:r>
                </w:p>
              </w:tc>
              <w:tc>
                <w:tcPr>
                  <w:tcW w:w="457" w:type="pct"/>
                  <w:tcBorders>
                    <w:tl2br w:val="nil"/>
                    <w:tr2bl w:val="nil"/>
                  </w:tcBorders>
                  <w:noWrap w:val="0"/>
                  <w:vAlign w:val="center"/>
                </w:tcPr>
                <w:p w14:paraId="2E30DFB5">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符合</w:t>
                  </w:r>
                </w:p>
              </w:tc>
            </w:tr>
            <w:tr w14:paraId="69C89C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2873732E">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rFonts w:hint="eastAsia" w:cs="Times New Roman"/>
                      <w:color w:val="auto"/>
                      <w:sz w:val="21"/>
                      <w:szCs w:val="21"/>
                      <w:highlight w:val="none"/>
                      <w:lang w:val="en-US" w:eastAsia="zh-CN"/>
                    </w:rPr>
                  </w:pPr>
                </w:p>
              </w:tc>
              <w:tc>
                <w:tcPr>
                  <w:tcW w:w="1547" w:type="pct"/>
                  <w:tcBorders>
                    <w:tl2br w:val="nil"/>
                    <w:tr2bl w:val="nil"/>
                  </w:tcBorders>
                  <w:noWrap w:val="0"/>
                  <w:vAlign w:val="center"/>
                </w:tcPr>
                <w:p w14:paraId="48992D3F">
                  <w:pPr>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建立完善重点行业源头、过程和末端VOCs全过程控制体系，实施VOCs总量控制。严格落实产品强制标准中VOCs含量限值；引导企业加强对含VOCs物料的存储、转移和输送等环节的全方位密闭管理，以及对设备与管线组件泄漏、敞开液面逸散以及工艺过程等方面的全过程精细化管控，实现VOCs排放量明显下降。</w:t>
                  </w:r>
                </w:p>
              </w:tc>
              <w:tc>
                <w:tcPr>
                  <w:tcW w:w="1823" w:type="pct"/>
                  <w:vMerge w:val="continue"/>
                  <w:tcBorders>
                    <w:tl2br w:val="nil"/>
                    <w:tr2bl w:val="nil"/>
                  </w:tcBorders>
                  <w:noWrap w:val="0"/>
                  <w:vAlign w:val="center"/>
                </w:tcPr>
                <w:p w14:paraId="0166E120">
                  <w:pPr>
                    <w:bidi w:val="0"/>
                    <w:spacing w:line="360" w:lineRule="auto"/>
                    <w:ind w:firstLine="420" w:firstLineChars="200"/>
                    <w:rPr>
                      <w:rFonts w:hint="eastAsia"/>
                      <w:color w:val="auto"/>
                      <w:highlight w:val="none"/>
                      <w:lang w:val="en-US" w:eastAsia="zh-CN"/>
                    </w:rPr>
                  </w:pPr>
                </w:p>
              </w:tc>
              <w:tc>
                <w:tcPr>
                  <w:tcW w:w="457" w:type="pct"/>
                  <w:tcBorders>
                    <w:tl2br w:val="nil"/>
                    <w:tr2bl w:val="nil"/>
                  </w:tcBorders>
                  <w:noWrap w:val="0"/>
                  <w:vAlign w:val="center"/>
                </w:tcPr>
                <w:p w14:paraId="30EDFAC4">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符合</w:t>
                  </w:r>
                </w:p>
              </w:tc>
            </w:tr>
            <w:tr w14:paraId="69E0E6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24534E7C">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rFonts w:hint="eastAsia" w:cs="Times New Roman"/>
                      <w:color w:val="auto"/>
                      <w:sz w:val="21"/>
                      <w:szCs w:val="21"/>
                      <w:highlight w:val="none"/>
                      <w:lang w:val="en-US" w:eastAsia="zh-CN"/>
                    </w:rPr>
                  </w:pPr>
                </w:p>
              </w:tc>
              <w:tc>
                <w:tcPr>
                  <w:tcW w:w="1547" w:type="pct"/>
                  <w:tcBorders>
                    <w:tl2br w:val="nil"/>
                    <w:tr2bl w:val="nil"/>
                  </w:tcBorders>
                  <w:noWrap w:val="0"/>
                  <w:vAlign w:val="center"/>
                </w:tcPr>
                <w:p w14:paraId="7AFB7D31">
                  <w:pPr>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全面强化危险废物规范管理，建立健全危险废物重点监管单位清单，并纳入固体废物管理信息系统统一管理，提升信息化监管能力</w:t>
                  </w:r>
                  <w:r>
                    <w:rPr>
                      <w:rFonts w:hint="eastAsia" w:cs="Times New Roman"/>
                      <w:color w:val="auto"/>
                      <w:kern w:val="2"/>
                      <w:sz w:val="21"/>
                      <w:szCs w:val="21"/>
                      <w:highlight w:val="none"/>
                      <w:lang w:val="en-US" w:eastAsia="zh-CN" w:bidi="ar-SA"/>
                    </w:rPr>
                    <w:t>。</w:t>
                  </w:r>
                </w:p>
              </w:tc>
              <w:tc>
                <w:tcPr>
                  <w:tcW w:w="1823" w:type="pct"/>
                  <w:tcBorders>
                    <w:tl2br w:val="nil"/>
                    <w:tr2bl w:val="nil"/>
                  </w:tcBorders>
                  <w:noWrap w:val="0"/>
                  <w:vAlign w:val="center"/>
                </w:tcPr>
                <w:p w14:paraId="058B46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企业已建设危废贮存库，落实台账及环境管理制度，本项目产生的危险废物暂存于危废贮存库，定期交由陕西水发环境有限公司处置。</w:t>
                  </w:r>
                </w:p>
              </w:tc>
              <w:tc>
                <w:tcPr>
                  <w:tcW w:w="457" w:type="pct"/>
                  <w:tcBorders>
                    <w:tl2br w:val="nil"/>
                    <w:tr2bl w:val="nil"/>
                  </w:tcBorders>
                  <w:noWrap w:val="0"/>
                  <w:vAlign w:val="center"/>
                </w:tcPr>
                <w:p w14:paraId="5A6B566B">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符合</w:t>
                  </w:r>
                </w:p>
              </w:tc>
            </w:tr>
            <w:tr w14:paraId="59B6D9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5B9438AA">
                  <w:pPr>
                    <w:bidi w:val="0"/>
                    <w:spacing w:line="360" w:lineRule="auto"/>
                    <w:ind w:firstLine="420" w:firstLineChars="200"/>
                    <w:jc w:val="both"/>
                    <w:rPr>
                      <w:rFonts w:hint="eastAsia"/>
                      <w:color w:val="auto"/>
                      <w:szCs w:val="21"/>
                      <w:highlight w:val="none"/>
                      <w:lang w:val="en-US" w:eastAsia="zh-CN"/>
                    </w:rPr>
                  </w:pPr>
                  <w:r>
                    <w:rPr>
                      <w:rFonts w:hint="default"/>
                      <w:color w:val="auto"/>
                      <w:highlight w:val="none"/>
                    </w:rPr>
                    <w:t>《挥发性有机物（VOCs）污染防治技术政策》</w:t>
                  </w:r>
                </w:p>
              </w:tc>
              <w:tc>
                <w:tcPr>
                  <w:tcW w:w="1547" w:type="pct"/>
                  <w:tcBorders>
                    <w:tl2br w:val="nil"/>
                    <w:tr2bl w:val="nil"/>
                  </w:tcBorders>
                  <w:noWrap w:val="0"/>
                  <w:vAlign w:val="center"/>
                </w:tcPr>
                <w:p w14:paraId="3DACCE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default"/>
                      <w:color w:val="auto"/>
                      <w:highlight w:val="none"/>
                      <w:lang w:val="en-US" w:eastAsia="zh-CN"/>
                    </w:rPr>
                    <w:t>（1）</w:t>
                  </w:r>
                  <w:r>
                    <w:rPr>
                      <w:rFonts w:hint="eastAsia"/>
                      <w:color w:val="auto"/>
                      <w:highlight w:val="none"/>
                      <w:lang w:val="en-US" w:eastAsia="zh-CN"/>
                    </w:rPr>
                    <w:t>对于含低浓度</w:t>
                  </w:r>
                  <w:r>
                    <w:rPr>
                      <w:rFonts w:hint="default"/>
                      <w:color w:val="auto"/>
                      <w:highlight w:val="none"/>
                      <w:lang w:val="en-US" w:eastAsia="zh-CN"/>
                    </w:rPr>
                    <w:t>VOC</w:t>
                  </w:r>
                  <w:r>
                    <w:rPr>
                      <w:rFonts w:hint="eastAsia"/>
                      <w:color w:val="auto"/>
                      <w:highlight w:val="none"/>
                      <w:lang w:val="en-US" w:eastAsia="zh-CN"/>
                    </w:rPr>
                    <w:t>s的废气，有回收价值时可采用吸附技术、吸收技术对有机溶剂回收后达标排放；不宜回收时，可采用吸附浓缩燃烧技术、生物技术、吸收技术、等离子体技术或紫外光高级氧化技术等净化后达标排放。</w:t>
                  </w:r>
                </w:p>
                <w:p w14:paraId="547267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color w:val="auto"/>
                      <w:spacing w:val="10"/>
                      <w:szCs w:val="21"/>
                      <w:highlight w:val="none"/>
                      <w:vertAlign w:val="baseline"/>
                      <w:lang w:val="en-US" w:eastAsia="zh-CN"/>
                    </w:rPr>
                  </w:pPr>
                  <w:r>
                    <w:rPr>
                      <w:rFonts w:hint="default"/>
                      <w:color w:val="auto"/>
                      <w:highlight w:val="none"/>
                      <w:lang w:val="en-US" w:eastAsia="zh-CN"/>
                    </w:rPr>
                    <w:t>（2）</w:t>
                  </w:r>
                  <w:r>
                    <w:rPr>
                      <w:rFonts w:hint="eastAsia"/>
                      <w:color w:val="auto"/>
                      <w:highlight w:val="none"/>
                      <w:lang w:val="en-US" w:eastAsia="zh-CN"/>
                    </w:rPr>
                    <w:t>严格控制VOCs处理过程中产生的二次污染，对于催化燃烧和热力焚烧过程中产生的含硫、氮、氯等无机废气，以及吸附、吸收、冷凝、生物等治理过程中所产生的含有机物废水，应处理后达标排放。对于不能再生的过滤材料、吸附剂及催化剂等净化材料，应按照国家固体废物管理的相关规定处理处置。</w:t>
                  </w:r>
                </w:p>
              </w:tc>
              <w:tc>
                <w:tcPr>
                  <w:tcW w:w="1823" w:type="pct"/>
                  <w:tcBorders>
                    <w:tl2br w:val="nil"/>
                    <w:tr2bl w:val="nil"/>
                  </w:tcBorders>
                  <w:noWrap w:val="0"/>
                  <w:vAlign w:val="center"/>
                </w:tcPr>
                <w:p w14:paraId="7082A3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（1）研发工序有机废气经过SDG+活性炭吸附装置吸附设备，废气可达标排放。</w:t>
                  </w:r>
                </w:p>
                <w:p w14:paraId="59057A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（2）环保设施产生的废活性炭、废SDG均定期更换，废活性炭更换周期一年两次，废SDG更换周期为一年一次，更换的废活性炭和废SDG交陕西水发环境有限公司处置。</w:t>
                  </w:r>
                </w:p>
              </w:tc>
              <w:tc>
                <w:tcPr>
                  <w:tcW w:w="457" w:type="pct"/>
                  <w:tcBorders>
                    <w:tl2br w:val="nil"/>
                    <w:tr2bl w:val="nil"/>
                  </w:tcBorders>
                  <w:noWrap w:val="0"/>
                  <w:vAlign w:val="center"/>
                </w:tcPr>
                <w:p w14:paraId="69770038">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符合</w:t>
                  </w:r>
                </w:p>
              </w:tc>
            </w:tr>
            <w:tr w14:paraId="43FBF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49E92707">
                  <w:pPr>
                    <w:keepNext w:val="0"/>
                    <w:keepLines w:val="0"/>
                    <w:pageBreakBefore w:val="0"/>
                    <w:widowControl w:val="0"/>
                    <w:kinsoku/>
                    <w:wordWrap/>
                    <w:overflowPunct/>
                    <w:topLinePunct w:val="0"/>
                    <w:autoSpaceDE/>
                    <w:autoSpaceDN/>
                    <w:bidi w:val="0"/>
                    <w:spacing w:line="360" w:lineRule="auto"/>
                    <w:ind w:left="0" w:right="0" w:firstLine="408" w:firstLineChars="200"/>
                    <w:textAlignment w:val="auto"/>
                    <w:rPr>
                      <w:rFonts w:hint="default" w:ascii="Times New Roman" w:hAnsi="Times New Roman" w:eastAsia="宋体" w:cs="Times New Roman"/>
                      <w:color w:val="auto"/>
                      <w:spacing w:val="-3"/>
                      <w:sz w:val="21"/>
                      <w:szCs w:val="21"/>
                      <w:highlight w:val="none"/>
                    </w:rPr>
                  </w:pPr>
                </w:p>
              </w:tc>
              <w:tc>
                <w:tcPr>
                  <w:tcW w:w="1547" w:type="pct"/>
                  <w:tcBorders>
                    <w:tl2br w:val="nil"/>
                    <w:tr2bl w:val="nil"/>
                  </w:tcBorders>
                  <w:noWrap w:val="0"/>
                  <w:vAlign w:val="center"/>
                </w:tcPr>
                <w:p w14:paraId="42275F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color w:val="auto"/>
                      <w:spacing w:val="10"/>
                      <w:szCs w:val="21"/>
                      <w:highlight w:val="none"/>
                    </w:rPr>
                  </w:pPr>
                  <w:r>
                    <w:rPr>
                      <w:rFonts w:hint="eastAsia"/>
                      <w:color w:val="auto"/>
                      <w:highlight w:val="none"/>
                    </w:rPr>
                    <w:t>含</w:t>
                  </w:r>
                  <w:r>
                    <w:rPr>
                      <w:rFonts w:hint="default"/>
                      <w:color w:val="auto"/>
                      <w:highlight w:val="none"/>
                    </w:rPr>
                    <w:t>VOCs</w:t>
                  </w:r>
                  <w:r>
                    <w:rPr>
                      <w:rFonts w:hint="eastAsia"/>
                      <w:color w:val="auto"/>
                      <w:highlight w:val="none"/>
                    </w:rPr>
                    <w:t>产品的使用过程中，应采取废气收集措施，提高废气收集效率，减少废气的无组织排放与逸散，并对收集后的废气进行回收或处理后达标排放。</w:t>
                  </w:r>
                </w:p>
              </w:tc>
              <w:tc>
                <w:tcPr>
                  <w:tcW w:w="1823" w:type="pct"/>
                  <w:tcBorders>
                    <w:tl2br w:val="nil"/>
                    <w:tr2bl w:val="nil"/>
                  </w:tcBorders>
                  <w:noWrap w:val="0"/>
                  <w:vAlign w:val="center"/>
                </w:tcPr>
                <w:p w14:paraId="101C1A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color w:val="auto"/>
                      <w:highlight w:val="none"/>
                    </w:rPr>
                  </w:pPr>
                  <w:r>
                    <w:rPr>
                      <w:rFonts w:hint="eastAsia"/>
                      <w:color w:val="auto"/>
                      <w:highlight w:val="none"/>
                      <w:lang w:val="en-US" w:eastAsia="zh-CN"/>
                    </w:rPr>
                    <w:t>本</w:t>
                  </w:r>
                  <w:r>
                    <w:rPr>
                      <w:rFonts w:hint="eastAsia"/>
                      <w:color w:val="auto"/>
                      <w:highlight w:val="none"/>
                    </w:rPr>
                    <w:t>项目研发过程中产生VOCs</w:t>
                  </w:r>
                  <w:r>
                    <w:rPr>
                      <w:rFonts w:hint="eastAsia"/>
                      <w:color w:val="auto"/>
                      <w:highlight w:val="none"/>
                      <w:lang w:val="en-US" w:eastAsia="zh-CN"/>
                    </w:rPr>
                    <w:t>经过通风柜收集经SDG+活性炭吸附装置吸附处理后通过28米高排气筒</w:t>
                  </w:r>
                  <w:r>
                    <w:rPr>
                      <w:rFonts w:hint="eastAsia"/>
                      <w:color w:val="auto"/>
                      <w:highlight w:val="none"/>
                    </w:rPr>
                    <w:t>可达标排放。</w:t>
                  </w:r>
                </w:p>
              </w:tc>
              <w:tc>
                <w:tcPr>
                  <w:tcW w:w="457" w:type="pct"/>
                  <w:tcBorders>
                    <w:tl2br w:val="nil"/>
                    <w:tr2bl w:val="nil"/>
                  </w:tcBorders>
                  <w:noWrap w:val="0"/>
                  <w:vAlign w:val="center"/>
                </w:tcPr>
                <w:p w14:paraId="6CD67F67">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符合</w:t>
                  </w:r>
                </w:p>
              </w:tc>
            </w:tr>
            <w:tr w14:paraId="508AA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3A67C949">
                  <w:pPr>
                    <w:keepNext w:val="0"/>
                    <w:keepLines w:val="0"/>
                    <w:pageBreakBefore w:val="0"/>
                    <w:widowControl w:val="0"/>
                    <w:kinsoku/>
                    <w:wordWrap/>
                    <w:overflowPunct/>
                    <w:topLinePunct w:val="0"/>
                    <w:autoSpaceDE/>
                    <w:autoSpaceDN/>
                    <w:bidi w:val="0"/>
                    <w:spacing w:line="360" w:lineRule="auto"/>
                    <w:ind w:left="0" w:right="0" w:firstLine="408" w:firstLineChars="200"/>
                    <w:textAlignment w:val="auto"/>
                    <w:rPr>
                      <w:rFonts w:hint="default" w:ascii="Times New Roman" w:hAnsi="Times New Roman" w:eastAsia="宋体" w:cs="Times New Roman"/>
                      <w:color w:val="auto"/>
                      <w:spacing w:val="-3"/>
                      <w:sz w:val="21"/>
                      <w:szCs w:val="21"/>
                      <w:highlight w:val="none"/>
                    </w:rPr>
                  </w:pPr>
                </w:p>
              </w:tc>
              <w:tc>
                <w:tcPr>
                  <w:tcW w:w="1547" w:type="pct"/>
                  <w:tcBorders>
                    <w:tl2br w:val="nil"/>
                    <w:tr2bl w:val="nil"/>
                  </w:tcBorders>
                  <w:noWrap w:val="0"/>
                  <w:vAlign w:val="center"/>
                </w:tcPr>
                <w:p w14:paraId="492965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color w:val="auto"/>
                      <w:highlight w:val="none"/>
                    </w:rPr>
                  </w:pPr>
                  <w:r>
                    <w:rPr>
                      <w:rFonts w:hint="eastAsia"/>
                      <w:color w:val="auto"/>
                      <w:highlight w:val="none"/>
                    </w:rPr>
                    <w:t>鼓励企业自行开展</w:t>
                  </w:r>
                  <w:r>
                    <w:rPr>
                      <w:rFonts w:hint="default"/>
                      <w:color w:val="auto"/>
                      <w:highlight w:val="none"/>
                    </w:rPr>
                    <w:t>VOCs</w:t>
                  </w:r>
                  <w:r>
                    <w:rPr>
                      <w:rFonts w:hint="eastAsia"/>
                      <w:color w:val="auto"/>
                      <w:highlight w:val="none"/>
                    </w:rPr>
                    <w:t>监测，并及时主动向当地环保行政主管部门报送监测结果。</w:t>
                  </w:r>
                </w:p>
              </w:tc>
              <w:tc>
                <w:tcPr>
                  <w:tcW w:w="1823" w:type="pct"/>
                  <w:tcBorders>
                    <w:tl2br w:val="nil"/>
                    <w:tr2bl w:val="nil"/>
                  </w:tcBorders>
                  <w:noWrap w:val="0"/>
                  <w:vAlign w:val="center"/>
                </w:tcPr>
                <w:p w14:paraId="402F53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eastAsia="宋体"/>
                      <w:color w:val="auto"/>
                      <w:highlight w:val="none"/>
                      <w:lang w:val="en-US" w:eastAsia="zh-CN"/>
                    </w:rPr>
                  </w:pPr>
                  <w:r>
                    <w:rPr>
                      <w:rFonts w:hint="eastAsia"/>
                      <w:color w:val="auto"/>
                      <w:highlight w:val="none"/>
                      <w:lang w:val="en-US" w:eastAsia="zh-CN"/>
                    </w:rPr>
                    <w:t>本项目</w:t>
                  </w:r>
                  <w:r>
                    <w:rPr>
                      <w:rFonts w:hint="eastAsia"/>
                      <w:color w:val="auto"/>
                      <w:highlight w:val="none"/>
                    </w:rPr>
                    <w:t>营运期</w:t>
                  </w:r>
                  <w:r>
                    <w:rPr>
                      <w:rFonts w:hint="eastAsia"/>
                      <w:color w:val="auto"/>
                      <w:highlight w:val="none"/>
                      <w:lang w:val="en-US" w:eastAsia="zh-CN"/>
                    </w:rPr>
                    <w:t>已</w:t>
                  </w:r>
                  <w:r>
                    <w:rPr>
                      <w:rFonts w:hint="eastAsia"/>
                      <w:color w:val="auto"/>
                      <w:highlight w:val="none"/>
                    </w:rPr>
                    <w:t>按照排污许可要求的监测频次</w:t>
                  </w:r>
                  <w:r>
                    <w:rPr>
                      <w:rFonts w:hint="eastAsia"/>
                      <w:color w:val="auto"/>
                      <w:highlight w:val="none"/>
                      <w:lang w:val="en-US" w:eastAsia="zh-CN"/>
                    </w:rPr>
                    <w:t>一年一次</w:t>
                  </w:r>
                  <w:r>
                    <w:rPr>
                      <w:rFonts w:hint="eastAsia"/>
                      <w:color w:val="auto"/>
                      <w:highlight w:val="none"/>
                    </w:rPr>
                    <w:t>对废气进行监测，并及时主动向当地环保行政主管部门报送监测结果。</w:t>
                  </w:r>
                  <w:r>
                    <w:rPr>
                      <w:rFonts w:hint="eastAsia"/>
                      <w:color w:val="auto"/>
                      <w:highlight w:val="none"/>
                      <w:lang w:val="en-US" w:eastAsia="zh-CN"/>
                    </w:rPr>
                    <w:t>本次扩建拟将严格按照监测计划开展监测工</w:t>
                  </w:r>
                </w:p>
              </w:tc>
              <w:tc>
                <w:tcPr>
                  <w:tcW w:w="457" w:type="pct"/>
                  <w:tcBorders>
                    <w:tl2br w:val="nil"/>
                    <w:tr2bl w:val="nil"/>
                  </w:tcBorders>
                  <w:noWrap w:val="0"/>
                  <w:vAlign w:val="center"/>
                </w:tcPr>
                <w:p w14:paraId="246AFCDF">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符合</w:t>
                  </w:r>
                </w:p>
              </w:tc>
            </w:tr>
            <w:tr w14:paraId="75833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845" w:hRule="atLeast"/>
                <w:jc w:val="center"/>
              </w:trPr>
              <w:tc>
                <w:tcPr>
                  <w:tcW w:w="1171" w:type="pct"/>
                  <w:vMerge w:val="restart"/>
                  <w:tcBorders>
                    <w:tl2br w:val="nil"/>
                    <w:tr2bl w:val="nil"/>
                  </w:tcBorders>
                  <w:noWrap w:val="0"/>
                  <w:vAlign w:val="center"/>
                </w:tcPr>
                <w:p w14:paraId="73508A8D">
                  <w:pPr>
                    <w:keepNext w:val="0"/>
                    <w:keepLines w:val="0"/>
                    <w:pageBreakBefore w:val="0"/>
                    <w:widowControl w:val="0"/>
                    <w:kinsoku/>
                    <w:wordWrap/>
                    <w:overflowPunct/>
                    <w:topLinePunct w:val="0"/>
                    <w:autoSpaceDE/>
                    <w:autoSpaceDN/>
                    <w:bidi w:val="0"/>
                    <w:spacing w:line="360" w:lineRule="auto"/>
                    <w:ind w:right="0" w:firstLine="436" w:firstLineChars="200"/>
                    <w:jc w:val="both"/>
                    <w:textAlignment w:val="auto"/>
                    <w:rPr>
                      <w:rFonts w:hint="eastAsia"/>
                      <w:color w:val="auto"/>
                      <w:sz w:val="21"/>
                      <w:szCs w:val="21"/>
                      <w:highlight w:val="none"/>
                      <w:lang w:val="en-US" w:eastAsia="zh-CN"/>
                    </w:rPr>
                  </w:pPr>
                  <w:r>
                    <w:rPr>
                      <w:rFonts w:hint="eastAsia" w:ascii="宋体" w:hAnsi="宋体" w:eastAsia="宋体" w:cs="宋体"/>
                      <w:color w:val="auto"/>
                      <w:spacing w:val="4"/>
                      <w:sz w:val="21"/>
                      <w:szCs w:val="21"/>
                      <w:highlight w:val="none"/>
                    </w:rPr>
                    <w:t>《“十</w:t>
                  </w:r>
                  <w:r>
                    <w:rPr>
                      <w:rFonts w:hint="eastAsia" w:ascii="宋体" w:hAnsi="宋体" w:eastAsia="宋体" w:cs="宋体"/>
                      <w:color w:val="auto"/>
                      <w:spacing w:val="4"/>
                      <w:sz w:val="21"/>
                      <w:szCs w:val="21"/>
                      <w:highlight w:val="none"/>
                      <w:lang w:val="en-US" w:eastAsia="zh-CN"/>
                    </w:rPr>
                    <w:t>四</w:t>
                  </w:r>
                  <w:r>
                    <w:rPr>
                      <w:rFonts w:hint="eastAsia" w:ascii="宋体" w:hAnsi="宋体" w:eastAsia="宋体" w:cs="宋体"/>
                      <w:color w:val="auto"/>
                      <w:spacing w:val="4"/>
                      <w:sz w:val="21"/>
                      <w:szCs w:val="21"/>
                      <w:highlight w:val="none"/>
                    </w:rPr>
                    <w:t>五”</w:t>
                  </w:r>
                  <w:r>
                    <w:rPr>
                      <w:rFonts w:hint="eastAsia" w:ascii="宋体" w:hAnsi="宋体" w:eastAsia="宋体" w:cs="宋体"/>
                      <w:color w:val="auto"/>
                      <w:spacing w:val="-2"/>
                      <w:sz w:val="21"/>
                      <w:szCs w:val="21"/>
                      <w:highlight w:val="none"/>
                    </w:rPr>
                    <w:t>挥发性有机物污染工作防治方案》</w:t>
                  </w:r>
                </w:p>
              </w:tc>
              <w:tc>
                <w:tcPr>
                  <w:tcW w:w="1547" w:type="pct"/>
                  <w:tcBorders>
                    <w:tl2br w:val="nil"/>
                    <w:tr2bl w:val="nil"/>
                  </w:tcBorders>
                  <w:noWrap w:val="0"/>
                  <w:vAlign w:val="center"/>
                </w:tcPr>
                <w:p w14:paraId="731BDE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p>
                <w:p w14:paraId="673B07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en-US" w:eastAsia="zh-CN"/>
                    </w:rPr>
                    <w:t>加强无组织废气排放控制，含VOCS物料的储存、输送、投料、卸料，涉及VOCs物料的生产及含VOCs产品分装等过程应密闭操作。</w:t>
                  </w:r>
                </w:p>
              </w:tc>
              <w:tc>
                <w:tcPr>
                  <w:tcW w:w="1823" w:type="pct"/>
                  <w:tcBorders>
                    <w:tl2br w:val="nil"/>
                    <w:tr2bl w:val="nil"/>
                  </w:tcBorders>
                  <w:noWrap w:val="0"/>
                  <w:vAlign w:val="center"/>
                </w:tcPr>
                <w:p w14:paraId="7280A2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6D7AE5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en-US" w:eastAsia="zh-CN"/>
                    </w:rPr>
                    <w:t>药剂运输</w:t>
                  </w:r>
                  <w:r>
                    <w:rPr>
                      <w:rFonts w:hint="default"/>
                      <w:color w:val="auto"/>
                      <w:highlight w:val="none"/>
                      <w:lang w:val="en-US" w:eastAsia="zh-CN"/>
                    </w:rPr>
                    <w:t>、储存等方面严格控制，产品分装等过程密闭操作，</w:t>
                  </w:r>
                  <w:r>
                    <w:rPr>
                      <w:rFonts w:hint="eastAsia"/>
                      <w:color w:val="auto"/>
                      <w:highlight w:val="none"/>
                      <w:lang w:val="en-US" w:eastAsia="zh-CN"/>
                    </w:rPr>
                    <w:t>研发、实验</w:t>
                  </w:r>
                  <w:r>
                    <w:rPr>
                      <w:rFonts w:hint="default"/>
                      <w:color w:val="auto"/>
                      <w:highlight w:val="none"/>
                      <w:lang w:val="en-US" w:eastAsia="zh-CN"/>
                    </w:rPr>
                    <w:t>过程均在通风</w:t>
                  </w:r>
                  <w:r>
                    <w:rPr>
                      <w:rFonts w:hint="eastAsia"/>
                      <w:color w:val="auto"/>
                      <w:highlight w:val="none"/>
                      <w:lang w:val="en-US" w:eastAsia="zh-CN"/>
                    </w:rPr>
                    <w:t>柜</w:t>
                  </w:r>
                  <w:r>
                    <w:rPr>
                      <w:rFonts w:hint="default"/>
                      <w:color w:val="auto"/>
                      <w:highlight w:val="none"/>
                      <w:lang w:val="en-US" w:eastAsia="zh-CN"/>
                    </w:rPr>
                    <w:t>内，废气可有效收集</w:t>
                  </w:r>
                </w:p>
              </w:tc>
              <w:tc>
                <w:tcPr>
                  <w:tcW w:w="457" w:type="pct"/>
                  <w:tcBorders>
                    <w:tl2br w:val="nil"/>
                    <w:tr2bl w:val="nil"/>
                  </w:tcBorders>
                  <w:noWrap w:val="0"/>
                  <w:vAlign w:val="center"/>
                </w:tcPr>
                <w:p w14:paraId="021B92D0">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rFonts w:hint="eastAsia"/>
                      <w:color w:val="auto"/>
                      <w:sz w:val="21"/>
                      <w:szCs w:val="21"/>
                      <w:highlight w:val="none"/>
                      <w:lang w:val="en-US" w:eastAsia="zh-CN"/>
                    </w:rPr>
                  </w:pPr>
                </w:p>
                <w:p w14:paraId="2587A69C">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符合</w:t>
                  </w:r>
                </w:p>
              </w:tc>
            </w:tr>
            <w:tr w14:paraId="7F86B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5E73D2D5">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rFonts w:hint="eastAsia"/>
                      <w:color w:val="auto"/>
                      <w:sz w:val="21"/>
                      <w:szCs w:val="21"/>
                      <w:highlight w:val="none"/>
                      <w:lang w:val="en-US" w:eastAsia="zh-CN"/>
                    </w:rPr>
                  </w:pPr>
                </w:p>
              </w:tc>
              <w:tc>
                <w:tcPr>
                  <w:tcW w:w="1547" w:type="pct"/>
                  <w:tcBorders>
                    <w:tl2br w:val="nil"/>
                    <w:tr2bl w:val="nil"/>
                  </w:tcBorders>
                  <w:noWrap w:val="0"/>
                  <w:vAlign w:val="center"/>
                </w:tcPr>
                <w:p w14:paraId="7AC349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en-US" w:eastAsia="zh-CN"/>
                    </w:rPr>
                    <w:t>对收集的废气，要建设吸附回收、吸附燃烧等高效治理设施，确保达标排放。</w:t>
                  </w:r>
                </w:p>
              </w:tc>
              <w:tc>
                <w:tcPr>
                  <w:tcW w:w="1823" w:type="pct"/>
                  <w:tcBorders>
                    <w:tl2br w:val="nil"/>
                    <w:tr2bl w:val="nil"/>
                  </w:tcBorders>
                  <w:noWrap w:val="0"/>
                  <w:vAlign w:val="center"/>
                </w:tcPr>
                <w:p w14:paraId="2DE6B1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en-US" w:eastAsia="zh-CN"/>
                    </w:rPr>
                    <w:t>项目有机废气和无机废气经通风柜收集后经SDG+活性炭吸附技术处理，可达标排放。</w:t>
                  </w:r>
                </w:p>
              </w:tc>
              <w:tc>
                <w:tcPr>
                  <w:tcW w:w="457" w:type="pct"/>
                  <w:tcBorders>
                    <w:tl2br w:val="nil"/>
                    <w:tr2bl w:val="nil"/>
                  </w:tcBorders>
                  <w:noWrap w:val="0"/>
                  <w:vAlign w:val="center"/>
                </w:tcPr>
                <w:p w14:paraId="097465BB">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default"/>
                      <w:color w:val="auto"/>
                      <w:sz w:val="21"/>
                      <w:szCs w:val="21"/>
                      <w:highlight w:val="none"/>
                      <w:lang w:val="en-US" w:eastAsia="zh-CN"/>
                    </w:rPr>
                  </w:pPr>
                  <w:r>
                    <w:rPr>
                      <w:rFonts w:hint="eastAsia"/>
                      <w:color w:val="auto"/>
                      <w:sz w:val="21"/>
                      <w:szCs w:val="21"/>
                      <w:highlight w:val="none"/>
                      <w:lang w:val="en-US" w:eastAsia="zh-CN"/>
                    </w:rPr>
                    <w:t>符合</w:t>
                  </w:r>
                </w:p>
              </w:tc>
            </w:tr>
            <w:tr w14:paraId="0FE471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71" w:type="pct"/>
                  <w:tcBorders>
                    <w:tl2br w:val="nil"/>
                    <w:tr2bl w:val="nil"/>
                  </w:tcBorders>
                  <w:shd w:val="clear" w:color="auto" w:fill="auto"/>
                  <w:noWrap w:val="0"/>
                  <w:vAlign w:val="center"/>
                </w:tcPr>
                <w:p w14:paraId="7B8DE550">
                  <w:pPr>
                    <w:adjustRightInd/>
                    <w:snapToGrid/>
                    <w:spacing w:line="360" w:lineRule="auto"/>
                    <w:ind w:firstLine="420" w:firstLineChars="200"/>
                    <w:jc w:val="both"/>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《“十四五”节能减排综合工作方案</w:t>
                  </w:r>
                  <w:r>
                    <w:rPr>
                      <w:rFonts w:hint="default" w:ascii="Times New Roman" w:hAnsi="Times New Roman" w:eastAsia="宋体" w:cs="Times New Roman"/>
                      <w:color w:val="auto"/>
                      <w:sz w:val="21"/>
                      <w:szCs w:val="21"/>
                      <w:highlight w:val="none"/>
                    </w:rPr>
                    <w:t>》</w:t>
                  </w:r>
                </w:p>
              </w:tc>
              <w:tc>
                <w:tcPr>
                  <w:tcW w:w="1547" w:type="pct"/>
                  <w:tcBorders>
                    <w:tl2br w:val="nil"/>
                    <w:tr2bl w:val="nil"/>
                  </w:tcBorders>
                  <w:shd w:val="clear" w:color="auto" w:fill="auto"/>
                  <w:noWrap w:val="0"/>
                  <w:vAlign w:val="center"/>
                </w:tcPr>
                <w:p w14:paraId="3862388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挥发性有机物综合整治工程</w:t>
                  </w:r>
                </w:p>
                <w:p w14:paraId="0D9E182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w:t>
                  </w:r>
                </w:p>
                <w:p w14:paraId="1E8535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21A830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tc>
              <w:tc>
                <w:tcPr>
                  <w:tcW w:w="1823" w:type="pct"/>
                  <w:tcBorders>
                    <w:tl2br w:val="nil"/>
                    <w:tr2bl w:val="nil"/>
                  </w:tcBorders>
                  <w:shd w:val="clear" w:color="auto" w:fill="auto"/>
                  <w:noWrap w:val="0"/>
                  <w:vAlign w:val="center"/>
                </w:tcPr>
                <w:p w14:paraId="1AEEE23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rPr>
                    <w:t>为</w:t>
                  </w:r>
                  <w:r>
                    <w:rPr>
                      <w:rFonts w:hint="eastAsia" w:ascii="Times New Roman" w:hAnsi="Times New Roman" w:eastAsia="宋体" w:cs="Times New Roman"/>
                      <w:color w:val="auto"/>
                      <w:sz w:val="21"/>
                      <w:szCs w:val="21"/>
                      <w:highlight w:val="none"/>
                      <w:lang w:val="en-US" w:eastAsia="zh-CN"/>
                    </w:rPr>
                    <w:t>实验研发项目，</w:t>
                  </w:r>
                  <w:r>
                    <w:rPr>
                      <w:rFonts w:hint="default" w:ascii="Times New Roman" w:hAnsi="Times New Roman" w:eastAsia="宋体" w:cs="Times New Roman"/>
                      <w:color w:val="auto"/>
                      <w:sz w:val="21"/>
                      <w:szCs w:val="21"/>
                      <w:highlight w:val="none"/>
                      <w:lang w:eastAsia="zh-CN"/>
                    </w:rPr>
                    <w:t>不属于重点行业高</w:t>
                  </w:r>
                  <w:r>
                    <w:rPr>
                      <w:rFonts w:hint="default" w:ascii="Times New Roman" w:hAnsi="Times New Roman" w:eastAsia="宋体" w:cs="Times New Roman"/>
                      <w:color w:val="auto"/>
                      <w:sz w:val="21"/>
                      <w:szCs w:val="21"/>
                      <w:highlight w:val="none"/>
                      <w:lang w:val="en-US" w:eastAsia="zh-CN"/>
                    </w:rPr>
                    <w:t>VOCs排放项目，</w:t>
                  </w:r>
                  <w:r>
                    <w:rPr>
                      <w:rFonts w:hint="default" w:ascii="Times New Roman" w:hAnsi="Times New Roman" w:eastAsia="宋体" w:cs="Times New Roman"/>
                      <w:color w:val="auto"/>
                      <w:kern w:val="2"/>
                      <w:sz w:val="21"/>
                      <w:szCs w:val="21"/>
                      <w:highlight w:val="none"/>
                      <w:lang w:val="en-US" w:eastAsia="zh-CN" w:bidi="ar-SA"/>
                    </w:rPr>
                    <w:t>项目实验操作过程中溶剂挥发会产生有机废气</w:t>
                  </w:r>
                  <w:r>
                    <w:rPr>
                      <w:rFonts w:hint="eastAsia" w:cs="Times New Roman"/>
                      <w:color w:val="auto"/>
                      <w:kern w:val="2"/>
                      <w:sz w:val="21"/>
                      <w:szCs w:val="21"/>
                      <w:highlight w:val="none"/>
                      <w:lang w:val="en-US" w:eastAsia="zh-CN" w:bidi="ar-SA"/>
                    </w:rPr>
                    <w:t>和无机废气</w:t>
                  </w:r>
                  <w:r>
                    <w:rPr>
                      <w:rFonts w:hint="default" w:ascii="Times New Roman" w:hAnsi="Times New Roman" w:cs="Times New Roman"/>
                      <w:color w:val="auto"/>
                      <w:kern w:val="2"/>
                      <w:sz w:val="21"/>
                      <w:szCs w:val="21"/>
                      <w:highlight w:val="none"/>
                      <w:lang w:val="en-US" w:eastAsia="zh-CN" w:bidi="ar-SA"/>
                    </w:rPr>
                    <w:t>，</w:t>
                  </w:r>
                  <w:r>
                    <w:rPr>
                      <w:rStyle w:val="93"/>
                      <w:rFonts w:hint="default" w:ascii="Times New Roman" w:hAnsi="Times New Roman" w:cs="Times New Roman"/>
                      <w:color w:val="auto"/>
                      <w:sz w:val="21"/>
                      <w:szCs w:val="21"/>
                      <w:highlight w:val="none"/>
                      <w:lang w:val="en-US" w:eastAsia="zh-CN"/>
                    </w:rPr>
                    <w:t>经</w:t>
                  </w:r>
                  <w:r>
                    <w:rPr>
                      <w:rStyle w:val="93"/>
                      <w:rFonts w:hint="eastAsia" w:ascii="Times New Roman" w:hAnsi="Times New Roman" w:cs="Times New Roman"/>
                      <w:color w:val="auto"/>
                      <w:sz w:val="21"/>
                      <w:szCs w:val="21"/>
                      <w:highlight w:val="none"/>
                      <w:lang w:val="en-US" w:eastAsia="zh-CN"/>
                    </w:rPr>
                    <w:t>通风柜</w:t>
                  </w:r>
                  <w:r>
                    <w:rPr>
                      <w:rStyle w:val="93"/>
                      <w:rFonts w:hint="default" w:ascii="Times New Roman" w:hAnsi="Times New Roman" w:cs="Times New Roman"/>
                      <w:color w:val="auto"/>
                      <w:sz w:val="21"/>
                      <w:szCs w:val="21"/>
                      <w:highlight w:val="none"/>
                      <w:lang w:val="en-US" w:eastAsia="zh-CN"/>
                    </w:rPr>
                    <w:t>收集后经</w:t>
                  </w:r>
                  <w:r>
                    <w:rPr>
                      <w:rStyle w:val="93"/>
                      <w:rFonts w:hint="eastAsia" w:cs="Times New Roman"/>
                      <w:color w:val="auto"/>
                      <w:sz w:val="21"/>
                      <w:szCs w:val="21"/>
                      <w:highlight w:val="none"/>
                      <w:lang w:val="en-US" w:eastAsia="zh-CN"/>
                    </w:rPr>
                    <w:t>SDG+</w:t>
                  </w:r>
                  <w:r>
                    <w:rPr>
                      <w:rStyle w:val="93"/>
                      <w:rFonts w:hint="eastAsia" w:ascii="Times New Roman" w:hAnsi="Times New Roman" w:eastAsia="宋体" w:cs="Times New Roman"/>
                      <w:color w:val="auto"/>
                      <w:sz w:val="21"/>
                      <w:szCs w:val="21"/>
                      <w:highlight w:val="none"/>
                      <w:lang w:val="en-US" w:eastAsia="zh-CN"/>
                    </w:rPr>
                    <w:t>活性炭吸附装置处</w:t>
                  </w:r>
                  <w:r>
                    <w:rPr>
                      <w:rStyle w:val="93"/>
                      <w:rFonts w:hint="default" w:ascii="Times New Roman" w:hAnsi="Times New Roman" w:cs="Times New Roman"/>
                      <w:color w:val="auto"/>
                      <w:sz w:val="21"/>
                      <w:szCs w:val="21"/>
                      <w:highlight w:val="none"/>
                      <w:lang w:val="en-US" w:eastAsia="zh-CN"/>
                    </w:rPr>
                    <w:t>理后通过</w:t>
                  </w:r>
                  <w:r>
                    <w:rPr>
                      <w:rStyle w:val="93"/>
                      <w:rFonts w:hint="eastAsia" w:ascii="Times New Roman" w:hAnsi="Times New Roman" w:cs="Times New Roman"/>
                      <w:color w:val="auto"/>
                      <w:sz w:val="21"/>
                      <w:szCs w:val="21"/>
                      <w:highlight w:val="none"/>
                      <w:lang w:val="en-US" w:eastAsia="zh-CN"/>
                    </w:rPr>
                    <w:t>28m</w:t>
                  </w:r>
                  <w:r>
                    <w:rPr>
                      <w:rStyle w:val="93"/>
                      <w:rFonts w:hint="default" w:ascii="Times New Roman" w:hAnsi="Times New Roman" w:cs="Times New Roman"/>
                      <w:color w:val="auto"/>
                      <w:sz w:val="21"/>
                      <w:szCs w:val="21"/>
                      <w:highlight w:val="none"/>
                      <w:lang w:val="en-US" w:eastAsia="zh-CN"/>
                    </w:rPr>
                    <w:t>高排气筒排放</w:t>
                  </w:r>
                  <w:r>
                    <w:rPr>
                      <w:rFonts w:hint="default" w:ascii="Times New Roman" w:hAnsi="Times New Roman" w:eastAsia="宋体" w:cs="Times New Roman"/>
                      <w:color w:val="auto"/>
                      <w:kern w:val="2"/>
                      <w:sz w:val="21"/>
                      <w:szCs w:val="21"/>
                      <w:highlight w:val="none"/>
                      <w:lang w:val="en-US" w:eastAsia="zh-CN" w:bidi="ar-SA"/>
                    </w:rPr>
                    <w:t>，可稳定达标排放</w:t>
                  </w:r>
                  <w:r>
                    <w:rPr>
                      <w:rFonts w:hint="eastAsia" w:cs="Times New Roman"/>
                      <w:color w:val="auto"/>
                      <w:kern w:val="2"/>
                      <w:sz w:val="21"/>
                      <w:szCs w:val="21"/>
                      <w:highlight w:val="none"/>
                      <w:lang w:val="zh-CN" w:eastAsia="zh-CN" w:bidi="ar-SA"/>
                    </w:rPr>
                    <w:t>。</w:t>
                  </w:r>
                </w:p>
                <w:p w14:paraId="70813D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p>
                <w:p w14:paraId="441998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p>
              </w:tc>
              <w:tc>
                <w:tcPr>
                  <w:tcW w:w="457" w:type="pct"/>
                  <w:tcBorders>
                    <w:tl2br w:val="nil"/>
                    <w:tr2bl w:val="nil"/>
                  </w:tcBorders>
                  <w:noWrap w:val="0"/>
                  <w:vAlign w:val="center"/>
                </w:tcPr>
                <w:p w14:paraId="3174210A">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rFonts w:hint="eastAsia"/>
                      <w:color w:val="auto"/>
                      <w:sz w:val="21"/>
                      <w:szCs w:val="21"/>
                      <w:highlight w:val="none"/>
                      <w:lang w:val="en-US" w:eastAsia="zh-CN"/>
                    </w:rPr>
                  </w:pPr>
                </w:p>
                <w:p w14:paraId="3271B2E5">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rFonts w:hint="eastAsia"/>
                      <w:color w:val="auto"/>
                      <w:sz w:val="21"/>
                      <w:szCs w:val="21"/>
                      <w:highlight w:val="none"/>
                      <w:lang w:val="en-US" w:eastAsia="zh-CN"/>
                    </w:rPr>
                  </w:pPr>
                </w:p>
                <w:p w14:paraId="2436F1E5">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color w:val="auto"/>
                      <w:sz w:val="21"/>
                      <w:szCs w:val="21"/>
                      <w:highlight w:val="none"/>
                      <w:lang w:val="en-US" w:eastAsia="zh-CN"/>
                    </w:rPr>
                  </w:pPr>
                </w:p>
              </w:tc>
            </w:tr>
            <w:tr w14:paraId="1E69E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noWrap w:val="0"/>
                  <w:vAlign w:val="center"/>
                </w:tcPr>
                <w:p w14:paraId="0E99E5BC">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color w:val="auto"/>
                      <w:sz w:val="21"/>
                      <w:szCs w:val="21"/>
                      <w:highlight w:val="none"/>
                      <w:lang w:val="en-US" w:eastAsia="zh-CN"/>
                    </w:rPr>
                  </w:pPr>
                  <w:r>
                    <w:rPr>
                      <w:rFonts w:hint="eastAsia"/>
                      <w:color w:val="auto"/>
                      <w:sz w:val="21"/>
                      <w:szCs w:val="21"/>
                      <w:highlight w:val="none"/>
                      <w:lang w:val="en-US" w:eastAsia="zh-CN"/>
                    </w:rPr>
                    <w:t>关于印发《陕西省大气污染治理专项行动方案（2023—2027年）》的通知</w:t>
                  </w:r>
                </w:p>
              </w:tc>
              <w:tc>
                <w:tcPr>
                  <w:tcW w:w="1547" w:type="pct"/>
                  <w:tcBorders>
                    <w:tl2br w:val="nil"/>
                    <w:tr2bl w:val="nil"/>
                  </w:tcBorders>
                  <w:noWrap w:val="0"/>
                  <w:vAlign w:val="center"/>
                </w:tcPr>
                <w:p w14:paraId="53091E9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color w:val="auto"/>
                      <w:highlight w:val="none"/>
                    </w:rPr>
                  </w:pPr>
                  <w:r>
                    <w:rPr>
                      <w:rFonts w:hint="default"/>
                      <w:color w:val="auto"/>
                      <w:highlight w:val="none"/>
                    </w:rPr>
                    <w:t>动态更新挥发性有机物治理设施台账，开展简易低效挥发性有机物治理设施清理整治、涉活性炭挥发性有机物处理工艺专项整治行动，强化挥发性有机物无组织排放整治，确保达到相关标准要求。</w:t>
                  </w:r>
                </w:p>
              </w:tc>
              <w:tc>
                <w:tcPr>
                  <w:tcW w:w="1823" w:type="pct"/>
                  <w:tcBorders>
                    <w:tl2br w:val="nil"/>
                    <w:tr2bl w:val="nil"/>
                  </w:tcBorders>
                  <w:noWrap w:val="0"/>
                  <w:vAlign w:val="center"/>
                </w:tcPr>
                <w:p w14:paraId="5B332C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default"/>
                      <w:color w:val="auto"/>
                      <w:highlight w:val="none"/>
                    </w:rPr>
                    <w:t>本项目研发过程产生挥发性有机物</w:t>
                  </w:r>
                  <w:r>
                    <w:rPr>
                      <w:rFonts w:hint="eastAsia"/>
                      <w:color w:val="auto"/>
                      <w:highlight w:val="none"/>
                      <w:lang w:val="en-US" w:eastAsia="zh-CN"/>
                    </w:rPr>
                    <w:t>和酸性气体</w:t>
                  </w:r>
                  <w:r>
                    <w:rPr>
                      <w:rFonts w:hint="default"/>
                      <w:color w:val="auto"/>
                      <w:highlight w:val="none"/>
                    </w:rPr>
                    <w:t>，废气收集后废气经</w:t>
                  </w:r>
                  <w:r>
                    <w:rPr>
                      <w:rFonts w:hint="eastAsia"/>
                      <w:color w:val="auto"/>
                      <w:highlight w:val="none"/>
                      <w:lang w:eastAsia="zh-CN"/>
                    </w:rPr>
                    <w:t>“</w:t>
                  </w:r>
                  <w:r>
                    <w:rPr>
                      <w:rFonts w:hint="eastAsia"/>
                      <w:color w:val="auto"/>
                      <w:highlight w:val="none"/>
                      <w:lang w:val="en-US" w:eastAsia="zh-CN"/>
                    </w:rPr>
                    <w:t>SDG+</w:t>
                  </w:r>
                  <w:r>
                    <w:rPr>
                      <w:rFonts w:hint="default"/>
                      <w:color w:val="auto"/>
                      <w:highlight w:val="none"/>
                    </w:rPr>
                    <w:t>活性炭吸附</w:t>
                  </w:r>
                  <w:r>
                    <w:rPr>
                      <w:rFonts w:hint="eastAsia"/>
                      <w:color w:val="auto"/>
                      <w:highlight w:val="none"/>
                      <w:lang w:eastAsia="zh-CN"/>
                    </w:rPr>
                    <w:t>”</w:t>
                  </w:r>
                  <w:r>
                    <w:rPr>
                      <w:rFonts w:hint="default"/>
                      <w:color w:val="auto"/>
                      <w:highlight w:val="none"/>
                    </w:rPr>
                    <w:t>处理后经</w:t>
                  </w:r>
                  <w:r>
                    <w:rPr>
                      <w:rFonts w:hint="eastAsia"/>
                      <w:color w:val="auto"/>
                      <w:highlight w:val="none"/>
                      <w:lang w:val="en-US" w:eastAsia="zh-CN"/>
                    </w:rPr>
                    <w:t>28</w:t>
                  </w:r>
                  <w:r>
                    <w:rPr>
                      <w:rFonts w:hint="default"/>
                      <w:color w:val="auto"/>
                      <w:highlight w:val="none"/>
                    </w:rPr>
                    <w:t>m排气筒排放，废气经处理后</w:t>
                  </w:r>
                  <w:r>
                    <w:rPr>
                      <w:rFonts w:hint="eastAsia"/>
                      <w:color w:val="auto"/>
                      <w:highlight w:val="none"/>
                      <w:lang w:val="en-US" w:eastAsia="zh-CN"/>
                    </w:rPr>
                    <w:t xml:space="preserve">可稳定达标排放 </w:t>
                  </w:r>
                  <w:r>
                    <w:rPr>
                      <w:rFonts w:hint="default"/>
                      <w:color w:val="auto"/>
                      <w:highlight w:val="none"/>
                    </w:rPr>
                    <w:t>。</w:t>
                  </w:r>
                </w:p>
              </w:tc>
              <w:tc>
                <w:tcPr>
                  <w:tcW w:w="457" w:type="pct"/>
                  <w:tcBorders>
                    <w:tl2br w:val="nil"/>
                    <w:tr2bl w:val="nil"/>
                  </w:tcBorders>
                  <w:noWrap w:val="0"/>
                  <w:vAlign w:val="center"/>
                </w:tcPr>
                <w:p w14:paraId="13F26E63">
                  <w:pPr>
                    <w:keepNext w:val="0"/>
                    <w:keepLines w:val="0"/>
                    <w:pageBreakBefore w:val="0"/>
                    <w:widowControl w:val="0"/>
                    <w:suppressLineNumbers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符合</w:t>
                  </w:r>
                </w:p>
              </w:tc>
            </w:tr>
            <w:tr w14:paraId="6C1519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7EA825A3">
                  <w:pPr>
                    <w:keepNext w:val="0"/>
                    <w:keepLines w:val="0"/>
                    <w:pageBreakBefore w:val="0"/>
                    <w:widowControl w:val="0"/>
                    <w:kinsoku/>
                    <w:wordWrap/>
                    <w:overflowPunct/>
                    <w:topLinePunct w:val="0"/>
                    <w:autoSpaceDE/>
                    <w:autoSpaceDN/>
                    <w:bidi w:val="0"/>
                    <w:spacing w:line="360" w:lineRule="auto"/>
                    <w:ind w:left="0" w:right="0" w:firstLine="420" w:firstLineChars="200"/>
                    <w:jc w:val="both"/>
                    <w:textAlignment w:val="auto"/>
                    <w:rPr>
                      <w:color w:val="auto"/>
                      <w:sz w:val="21"/>
                      <w:szCs w:val="21"/>
                      <w:highlight w:val="none"/>
                      <w:lang w:val="en-US" w:eastAsia="zh-CN"/>
                    </w:rPr>
                  </w:pPr>
                </w:p>
              </w:tc>
              <w:tc>
                <w:tcPr>
                  <w:tcW w:w="1547" w:type="pct"/>
                  <w:tcBorders>
                    <w:tl2br w:val="nil"/>
                    <w:tr2bl w:val="nil"/>
                  </w:tcBorders>
                  <w:noWrap w:val="0"/>
                  <w:vAlign w:val="center"/>
                </w:tcPr>
                <w:p w14:paraId="66E3E5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eastAsia="zh-CN"/>
                    </w:rPr>
                  </w:pPr>
                  <w:r>
                    <w:rPr>
                      <w:rFonts w:hint="default"/>
                      <w:color w:val="auto"/>
                      <w:highlight w:val="none"/>
                    </w:rPr>
                    <w:t>关中地区市辖区及开发区范围内新、改、扩建涉气重点行业企业应达到环保绩效A级、绩效引领性水平，西安市咸阳市、渭南市的其他区域</w:t>
                  </w:r>
                  <w:r>
                    <w:rPr>
                      <w:rFonts w:hint="eastAsia"/>
                      <w:color w:val="auto"/>
                      <w:highlight w:val="none"/>
                      <w:lang w:eastAsia="zh-CN"/>
                    </w:rPr>
                    <w:t>应</w:t>
                  </w:r>
                  <w:r>
                    <w:rPr>
                      <w:rFonts w:hint="default"/>
                      <w:color w:val="auto"/>
                      <w:highlight w:val="none"/>
                    </w:rPr>
                    <w:t>达到环保绩效B级及以上水平</w:t>
                  </w:r>
                  <w:r>
                    <w:rPr>
                      <w:rFonts w:hint="eastAsia"/>
                      <w:color w:val="auto"/>
                      <w:highlight w:val="none"/>
                      <w:lang w:eastAsia="zh-CN"/>
                    </w:rPr>
                    <w:t>。</w:t>
                  </w:r>
                </w:p>
              </w:tc>
              <w:tc>
                <w:tcPr>
                  <w:tcW w:w="1823" w:type="pct"/>
                  <w:tcBorders>
                    <w:tl2br w:val="nil"/>
                    <w:tr2bl w:val="nil"/>
                  </w:tcBorders>
                  <w:noWrap w:val="0"/>
                  <w:vAlign w:val="center"/>
                </w:tcPr>
                <w:p w14:paraId="0EAEB1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default"/>
                      <w:color w:val="auto"/>
                      <w:highlight w:val="none"/>
                    </w:rPr>
                    <w:t>本项目属于四十五、研究和试验发展、专业实验室，根据《重污染天气重点行业应急减排措施制定&gt;</w:t>
                  </w:r>
                  <w:r>
                    <w:rPr>
                      <w:rFonts w:hint="eastAsia"/>
                      <w:color w:val="auto"/>
                      <w:highlight w:val="none"/>
                      <w:lang w:eastAsia="zh-CN"/>
                    </w:rPr>
                    <w:t>（</w:t>
                  </w:r>
                  <w:r>
                    <w:rPr>
                      <w:rFonts w:hint="default"/>
                      <w:color w:val="auto"/>
                      <w:highlight w:val="none"/>
                    </w:rPr>
                    <w:t>环办大气函</w:t>
                  </w:r>
                  <w:r>
                    <w:rPr>
                      <w:rFonts w:hint="eastAsia"/>
                      <w:color w:val="auto"/>
                      <w:highlight w:val="none"/>
                      <w:lang w:eastAsia="zh-CN"/>
                    </w:rPr>
                    <w:t>〔2020〕340号）</w:t>
                  </w:r>
                  <w:r>
                    <w:rPr>
                      <w:rFonts w:hint="default"/>
                      <w:color w:val="auto"/>
                      <w:highlight w:val="none"/>
                    </w:rPr>
                    <w:t>，本项目不属于39个涉气重点行业。</w:t>
                  </w:r>
                </w:p>
              </w:tc>
              <w:tc>
                <w:tcPr>
                  <w:tcW w:w="457" w:type="pct"/>
                  <w:tcBorders>
                    <w:tl2br w:val="nil"/>
                    <w:tr2bl w:val="nil"/>
                  </w:tcBorders>
                  <w:noWrap w:val="0"/>
                  <w:vAlign w:val="center"/>
                </w:tcPr>
                <w:p w14:paraId="5EAFB9A1">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default"/>
                      <w:color w:val="auto"/>
                      <w:sz w:val="21"/>
                      <w:szCs w:val="21"/>
                      <w:highlight w:val="none"/>
                      <w:lang w:val="en-US" w:eastAsia="zh-CN"/>
                    </w:rPr>
                  </w:pPr>
                  <w:r>
                    <w:rPr>
                      <w:rFonts w:hint="eastAsia"/>
                      <w:color w:val="auto"/>
                      <w:sz w:val="21"/>
                      <w:szCs w:val="21"/>
                      <w:highlight w:val="none"/>
                      <w:lang w:val="en-US" w:eastAsia="zh-CN"/>
                    </w:rPr>
                    <w:t>符合</w:t>
                  </w:r>
                </w:p>
              </w:tc>
            </w:tr>
            <w:tr w14:paraId="41E1F4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71" w:type="pct"/>
                  <w:tcBorders>
                    <w:tl2br w:val="nil"/>
                    <w:tr2bl w:val="nil"/>
                  </w:tcBorders>
                  <w:shd w:val="clear" w:color="auto" w:fill="auto"/>
                  <w:noWrap w:val="0"/>
                  <w:vAlign w:val="center"/>
                </w:tcPr>
                <w:p w14:paraId="25E4B66D">
                  <w:pPr>
                    <w:adjustRightInd/>
                    <w:snapToGrid/>
                    <w:spacing w:line="360" w:lineRule="auto"/>
                    <w:ind w:firstLine="420" w:firstLineChars="200"/>
                    <w:jc w:val="both"/>
                    <w:rPr>
                      <w:rFonts w:ascii="Times New Roman" w:hAnsi="Times New Roman" w:eastAsia="宋体" w:cs="Times New Roman"/>
                      <w:color w:val="auto"/>
                      <w:kern w:val="2"/>
                      <w:sz w:val="21"/>
                      <w:szCs w:val="21"/>
                      <w:highlight w:val="none"/>
                      <w:lang w:val="en-US" w:eastAsia="zh-CN" w:bidi="ar-SA"/>
                    </w:rPr>
                  </w:pPr>
                  <w:r>
                    <w:rPr>
                      <w:color w:val="auto"/>
                      <w:szCs w:val="21"/>
                      <w:highlight w:val="none"/>
                    </w:rPr>
                    <w:t>《西安市人民政府关于印发西安市空气质量达标规划（2023-2030年）的通知》（市政发〔2023〕10号）</w:t>
                  </w:r>
                </w:p>
              </w:tc>
              <w:tc>
                <w:tcPr>
                  <w:tcW w:w="1547" w:type="pct"/>
                  <w:tcBorders>
                    <w:tl2br w:val="nil"/>
                    <w:tr2bl w:val="nil"/>
                  </w:tcBorders>
                  <w:shd w:val="clear" w:color="auto" w:fill="auto"/>
                  <w:noWrap w:val="0"/>
                  <w:vAlign w:val="center"/>
                </w:tcPr>
                <w:p w14:paraId="442E1D94">
                  <w:pPr>
                    <w:spacing w:line="360" w:lineRule="auto"/>
                    <w:ind w:firstLine="420" w:firstLineChars="200"/>
                    <w:jc w:val="both"/>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新建项目不再采用单一低温等离子、光氧化、光催化等治理技术，非水溶性VOCs废气不再采用单一喷淋吸收方式处理。</w:t>
                  </w:r>
                </w:p>
              </w:tc>
              <w:tc>
                <w:tcPr>
                  <w:tcW w:w="1823" w:type="pct"/>
                  <w:tcBorders>
                    <w:tl2br w:val="nil"/>
                    <w:tr2bl w:val="nil"/>
                  </w:tcBorders>
                  <w:shd w:val="clear" w:color="auto" w:fill="auto"/>
                  <w:noWrap w:val="0"/>
                  <w:vAlign w:val="center"/>
                </w:tcPr>
                <w:p w14:paraId="52179959">
                  <w:pPr>
                    <w:spacing w:line="360" w:lineRule="auto"/>
                    <w:ind w:firstLine="420" w:firstLineChars="200"/>
                    <w:jc w:val="both"/>
                    <w:rPr>
                      <w:rFonts w:hint="default" w:ascii="Times New Roman" w:hAnsi="Times New Roman" w:eastAsia="宋体" w:cs="Times New Roman"/>
                      <w:color w:val="auto"/>
                      <w:kern w:val="2"/>
                      <w:sz w:val="21"/>
                      <w:szCs w:val="21"/>
                      <w:highlight w:val="none"/>
                      <w:lang w:val="en-US" w:eastAsia="zh-CN" w:bidi="ar-SA"/>
                    </w:rPr>
                  </w:pPr>
                  <w:r>
                    <w:rPr>
                      <w:rFonts w:hint="eastAsia"/>
                      <w:color w:val="auto"/>
                      <w:szCs w:val="21"/>
                      <w:highlight w:val="none"/>
                    </w:rPr>
                    <w:t>本项目VOCs废气</w:t>
                  </w:r>
                  <w:r>
                    <w:rPr>
                      <w:rFonts w:hint="eastAsia"/>
                      <w:color w:val="auto"/>
                      <w:szCs w:val="21"/>
                      <w:highlight w:val="none"/>
                      <w:lang w:val="en-US" w:eastAsia="zh-CN"/>
                    </w:rPr>
                    <w:t>和无机废气</w:t>
                  </w:r>
                  <w:r>
                    <w:rPr>
                      <w:rFonts w:hint="eastAsia"/>
                      <w:color w:val="auto"/>
                      <w:szCs w:val="21"/>
                      <w:highlight w:val="none"/>
                    </w:rPr>
                    <w:t>使用</w:t>
                  </w:r>
                  <w:r>
                    <w:rPr>
                      <w:rFonts w:hint="eastAsia"/>
                      <w:color w:val="auto"/>
                      <w:szCs w:val="21"/>
                      <w:highlight w:val="none"/>
                      <w:lang w:val="en-US" w:eastAsia="zh-CN"/>
                    </w:rPr>
                    <w:t>SDG+</w:t>
                  </w:r>
                  <w:r>
                    <w:rPr>
                      <w:rFonts w:hint="eastAsia"/>
                      <w:color w:val="auto"/>
                      <w:szCs w:val="21"/>
                      <w:highlight w:val="none"/>
                    </w:rPr>
                    <w:t>活性炭吸附装置进行处置。</w:t>
                  </w:r>
                  <w:r>
                    <w:rPr>
                      <w:rFonts w:hint="default"/>
                      <w:color w:val="auto"/>
                      <w:highlight w:val="none"/>
                    </w:rPr>
                    <w:t>不采用低温等离子、光氧化、光催化等治理技术，废气经处理后可</w:t>
                  </w:r>
                  <w:r>
                    <w:rPr>
                      <w:rFonts w:hint="eastAsia"/>
                      <w:color w:val="auto"/>
                      <w:highlight w:val="none"/>
                      <w:lang w:val="en-US" w:eastAsia="zh-CN"/>
                    </w:rPr>
                    <w:t>稳定</w:t>
                  </w:r>
                  <w:r>
                    <w:rPr>
                      <w:rFonts w:hint="default"/>
                      <w:color w:val="auto"/>
                      <w:highlight w:val="none"/>
                    </w:rPr>
                    <w:t>达标排放。</w:t>
                  </w:r>
                </w:p>
              </w:tc>
              <w:tc>
                <w:tcPr>
                  <w:tcW w:w="457" w:type="pct"/>
                  <w:tcBorders>
                    <w:tl2br w:val="nil"/>
                    <w:tr2bl w:val="nil"/>
                  </w:tcBorders>
                  <w:shd w:val="clear" w:color="auto" w:fill="auto"/>
                  <w:noWrap w:val="0"/>
                  <w:vAlign w:val="center"/>
                </w:tcPr>
                <w:p w14:paraId="766F2973">
                  <w:pPr>
                    <w:adjustRightInd/>
                    <w:snapToGrid/>
                    <w:spacing w:line="360" w:lineRule="auto"/>
                    <w:ind w:firstLine="0" w:firstLineChars="0"/>
                    <w:jc w:val="both"/>
                    <w:rPr>
                      <w:rFonts w:hint="eastAsia" w:ascii="Times New Roman" w:hAnsi="Times New Roman" w:eastAsia="宋体" w:cs="Times New Roman"/>
                      <w:color w:val="auto"/>
                      <w:kern w:val="0"/>
                      <w:sz w:val="21"/>
                      <w:szCs w:val="21"/>
                      <w:highlight w:val="none"/>
                      <w:lang w:val="en-US" w:eastAsia="zh-CN" w:bidi="ar-SA"/>
                    </w:rPr>
                  </w:pPr>
                  <w:r>
                    <w:rPr>
                      <w:color w:val="auto"/>
                      <w:kern w:val="0"/>
                      <w:szCs w:val="21"/>
                      <w:highlight w:val="none"/>
                    </w:rPr>
                    <w:t>符合</w:t>
                  </w:r>
                </w:p>
              </w:tc>
            </w:tr>
            <w:tr w14:paraId="551BC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tcBorders>
                    <w:tl2br w:val="nil"/>
                    <w:tr2bl w:val="nil"/>
                  </w:tcBorders>
                  <w:shd w:val="clear" w:color="auto" w:fill="auto"/>
                  <w:noWrap w:val="0"/>
                  <w:vAlign w:val="center"/>
                </w:tcPr>
                <w:p w14:paraId="0C2A797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《西安市大气污染治理专项行动方案（2023-2027年）》（市字</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2023</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32号）</w:t>
                  </w:r>
                </w:p>
                <w:p w14:paraId="3BA58002">
                  <w:pPr>
                    <w:keepNext w:val="0"/>
                    <w:keepLines w:val="0"/>
                    <w:pageBreakBefore w:val="0"/>
                    <w:widowControl w:val="0"/>
                    <w:kinsoku/>
                    <w:wordWrap/>
                    <w:overflowPunct/>
                    <w:topLinePunct w:val="0"/>
                    <w:autoSpaceDE/>
                    <w:autoSpaceDN/>
                    <w:bidi w:val="0"/>
                    <w:spacing w:line="360" w:lineRule="auto"/>
                    <w:ind w:right="0" w:firstLine="420" w:firstLineChars="200"/>
                    <w:jc w:val="both"/>
                    <w:textAlignment w:val="auto"/>
                    <w:rPr>
                      <w:color w:val="auto"/>
                      <w:sz w:val="21"/>
                      <w:szCs w:val="21"/>
                      <w:highlight w:val="none"/>
                      <w:lang w:val="en-US" w:eastAsia="zh-CN"/>
                    </w:rPr>
                  </w:pPr>
                </w:p>
              </w:tc>
              <w:tc>
                <w:tcPr>
                  <w:tcW w:w="1547" w:type="pct"/>
                  <w:tcBorders>
                    <w:tl2br w:val="nil"/>
                    <w:tr2bl w:val="nil"/>
                  </w:tcBorders>
                  <w:shd w:val="clear" w:color="auto" w:fill="auto"/>
                  <w:noWrap w:val="0"/>
                  <w:vAlign w:val="center"/>
                </w:tcPr>
                <w:p w14:paraId="2C55A4F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严格落实国家和我省产业规划、产业政策、“三线一单”、规划环评等要求</w:t>
                  </w:r>
                </w:p>
              </w:tc>
              <w:tc>
                <w:tcPr>
                  <w:tcW w:w="1823" w:type="pct"/>
                  <w:tcBorders>
                    <w:tl2br w:val="nil"/>
                    <w:tr2bl w:val="nil"/>
                  </w:tcBorders>
                  <w:shd w:val="clear" w:color="auto" w:fill="auto"/>
                  <w:noWrap w:val="0"/>
                  <w:vAlign w:val="center"/>
                </w:tcPr>
                <w:p w14:paraId="0B6473C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w:t>
                  </w:r>
                  <w:r>
                    <w:rPr>
                      <w:rFonts w:hint="eastAsia" w:ascii="Times New Roman" w:hAnsi="Times New Roman" w:cs="Times New Roman"/>
                      <w:color w:val="auto"/>
                      <w:sz w:val="21"/>
                      <w:szCs w:val="21"/>
                      <w:highlight w:val="none"/>
                      <w:lang w:val="en-US" w:eastAsia="zh-CN"/>
                    </w:rPr>
                    <w:t>不属于《陕西省限制投资类产业指导目标》（陕发改产业〔2007〕97号）行业，项目符合“三线一单”管控要求。</w:t>
                  </w:r>
                </w:p>
              </w:tc>
              <w:tc>
                <w:tcPr>
                  <w:tcW w:w="457" w:type="pct"/>
                  <w:tcBorders>
                    <w:tl2br w:val="nil"/>
                    <w:tr2bl w:val="nil"/>
                  </w:tcBorders>
                  <w:shd w:val="clear" w:color="auto" w:fill="auto"/>
                  <w:noWrap w:val="0"/>
                  <w:vAlign w:val="center"/>
                </w:tcPr>
                <w:p w14:paraId="1C2C66FC">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 w:val="21"/>
                      <w:szCs w:val="21"/>
                      <w:highlight w:val="none"/>
                      <w:lang w:val="en-US" w:eastAsia="zh-CN"/>
                    </w:rPr>
                    <w:t>符合</w:t>
                  </w:r>
                </w:p>
              </w:tc>
            </w:tr>
            <w:tr w14:paraId="7096F1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tl2br w:val="nil"/>
                    <w:tr2bl w:val="nil"/>
                  </w:tcBorders>
                  <w:noWrap w:val="0"/>
                  <w:vAlign w:val="center"/>
                </w:tcPr>
                <w:p w14:paraId="4991801D">
                  <w:pPr>
                    <w:keepNext w:val="0"/>
                    <w:keepLines w:val="0"/>
                    <w:pageBreakBefore w:val="0"/>
                    <w:widowControl w:val="0"/>
                    <w:kinsoku/>
                    <w:wordWrap/>
                    <w:overflowPunct/>
                    <w:topLinePunct w:val="0"/>
                    <w:autoSpaceDE/>
                    <w:autoSpaceDN/>
                    <w:bidi w:val="0"/>
                    <w:spacing w:line="360" w:lineRule="auto"/>
                    <w:ind w:right="0" w:firstLine="420" w:firstLineChars="200"/>
                    <w:jc w:val="both"/>
                    <w:textAlignment w:val="auto"/>
                    <w:rPr>
                      <w:color w:val="auto"/>
                      <w:sz w:val="21"/>
                      <w:szCs w:val="21"/>
                      <w:highlight w:val="none"/>
                      <w:lang w:val="en-US" w:eastAsia="zh-CN"/>
                    </w:rPr>
                  </w:pPr>
                </w:p>
              </w:tc>
              <w:tc>
                <w:tcPr>
                  <w:tcW w:w="1547" w:type="pct"/>
                  <w:tcBorders>
                    <w:tl2br w:val="nil"/>
                    <w:tr2bl w:val="nil"/>
                  </w:tcBorders>
                  <w:noWrap w:val="0"/>
                  <w:vAlign w:val="center"/>
                </w:tcPr>
                <w:p w14:paraId="799C6A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default"/>
                      <w:color w:val="auto"/>
                      <w:highlight w:val="none"/>
                    </w:rPr>
                    <w:t>强化涉活性炭VOCs处理工艺治理。更新挥发性有机物治理设施台账，开展简易低效挥发性有机物治理设施清理整治、涉活性炭挥发性有机物处理工艺专项整治行动，强化挥发性有机物无组织排放整治，确保达到相关标准要求。新建项目不再采用单一低温等离子、光氧化、光催化等治理技术，非水溶性VOCs废气不再采用单一喷淋吸收方式处理。</w:t>
                  </w:r>
                </w:p>
              </w:tc>
              <w:tc>
                <w:tcPr>
                  <w:tcW w:w="1823" w:type="pct"/>
                  <w:tcBorders>
                    <w:tl2br w:val="nil"/>
                    <w:tr2bl w:val="nil"/>
                  </w:tcBorders>
                  <w:noWrap w:val="0"/>
                  <w:vAlign w:val="center"/>
                </w:tcPr>
                <w:p w14:paraId="3D9441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eastAsia"/>
                      <w:color w:val="auto"/>
                      <w:szCs w:val="21"/>
                      <w:highlight w:val="none"/>
                    </w:rPr>
                    <w:t>本项目VOCs废气</w:t>
                  </w:r>
                  <w:r>
                    <w:rPr>
                      <w:rFonts w:hint="eastAsia"/>
                      <w:color w:val="auto"/>
                      <w:szCs w:val="21"/>
                      <w:highlight w:val="none"/>
                      <w:lang w:val="en-US" w:eastAsia="zh-CN"/>
                    </w:rPr>
                    <w:t>和无机废气</w:t>
                  </w:r>
                  <w:r>
                    <w:rPr>
                      <w:rFonts w:hint="eastAsia"/>
                      <w:color w:val="auto"/>
                      <w:szCs w:val="21"/>
                      <w:highlight w:val="none"/>
                    </w:rPr>
                    <w:t>使用</w:t>
                  </w:r>
                  <w:r>
                    <w:rPr>
                      <w:rFonts w:hint="eastAsia"/>
                      <w:color w:val="auto"/>
                      <w:szCs w:val="21"/>
                      <w:highlight w:val="none"/>
                      <w:lang w:val="en-US" w:eastAsia="zh-CN"/>
                    </w:rPr>
                    <w:t>SDG+</w:t>
                  </w:r>
                  <w:r>
                    <w:rPr>
                      <w:rFonts w:hint="eastAsia"/>
                      <w:color w:val="auto"/>
                      <w:szCs w:val="21"/>
                      <w:highlight w:val="none"/>
                    </w:rPr>
                    <w:t>活性炭吸附装置进行处置。</w:t>
                  </w:r>
                  <w:r>
                    <w:rPr>
                      <w:rFonts w:hint="default"/>
                      <w:color w:val="auto"/>
                      <w:highlight w:val="none"/>
                    </w:rPr>
                    <w:t>不采用低温等离子、光氧化、光催化等治理技术，废气经处理后可达标排放</w:t>
                  </w:r>
                </w:p>
              </w:tc>
              <w:tc>
                <w:tcPr>
                  <w:tcW w:w="457" w:type="pct"/>
                  <w:tcBorders>
                    <w:tl2br w:val="nil"/>
                    <w:tr2bl w:val="nil"/>
                  </w:tcBorders>
                  <w:noWrap w:val="0"/>
                  <w:vAlign w:val="center"/>
                </w:tcPr>
                <w:p w14:paraId="5BAA749F">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default"/>
                      <w:color w:val="auto"/>
                      <w:sz w:val="21"/>
                      <w:szCs w:val="21"/>
                      <w:highlight w:val="none"/>
                      <w:lang w:val="en-US" w:eastAsia="zh-CN"/>
                    </w:rPr>
                  </w:pPr>
                  <w:r>
                    <w:rPr>
                      <w:rFonts w:hint="eastAsia"/>
                      <w:color w:val="auto"/>
                      <w:sz w:val="21"/>
                      <w:szCs w:val="21"/>
                      <w:highlight w:val="none"/>
                      <w:lang w:val="en-US" w:eastAsia="zh-CN"/>
                    </w:rPr>
                    <w:t>符合</w:t>
                  </w:r>
                </w:p>
              </w:tc>
            </w:tr>
            <w:tr w14:paraId="09999A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1AF52B37">
                  <w:pPr>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《西安市挥发性有机物污染整治专项</w:t>
                  </w:r>
                </w:p>
                <w:p w14:paraId="2E77744B">
                  <w:pPr>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both"/>
                    <w:textAlignment w:val="auto"/>
                    <w:rPr>
                      <w:rFonts w:hint="eastAsia"/>
                      <w:color w:val="auto"/>
                      <w:sz w:val="21"/>
                      <w:szCs w:val="21"/>
                      <w:highlight w:val="none"/>
                      <w:lang w:val="en-US" w:eastAsia="zh-CN"/>
                    </w:rPr>
                  </w:pPr>
                  <w:r>
                    <w:rPr>
                      <w:rFonts w:hint="eastAsia"/>
                      <w:color w:val="auto"/>
                      <w:sz w:val="21"/>
                      <w:szCs w:val="21"/>
                      <w:highlight w:val="none"/>
                      <w:lang w:val="en-US" w:eastAsia="zh-CN"/>
                    </w:rPr>
                    <w:t>实施方案（2023—2027年）》</w:t>
                  </w:r>
                </w:p>
              </w:tc>
              <w:tc>
                <w:tcPr>
                  <w:tcW w:w="1547" w:type="pct"/>
                  <w:tcBorders>
                    <w:tl2br w:val="nil"/>
                    <w:tr2bl w:val="nil"/>
                  </w:tcBorders>
                  <w:noWrap w:val="0"/>
                  <w:vAlign w:val="center"/>
                </w:tcPr>
                <w:p w14:paraId="78486F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default"/>
                      <w:color w:val="auto"/>
                      <w:highlight w:val="none"/>
                    </w:rPr>
                    <w:t>采用活性炭吸附技术的，其中颗粒碳碘吸附值不低于800mg/g或四氯化碳吸附率不低于60%，蜂窝活性炭碘吸附值不低于600mg/g或四氯化碳吸附率不低于30%，按设计要求足量添加、定期更换，动态更新挥发性有机物治理设施台账。组织开展活性炭技术等VOCs治理设施排查，对达不到要求的，应当更换或升级改造，实现稳定达标排放。</w:t>
                  </w:r>
                </w:p>
              </w:tc>
              <w:tc>
                <w:tcPr>
                  <w:tcW w:w="1823" w:type="pct"/>
                  <w:tcBorders>
                    <w:tl2br w:val="nil"/>
                    <w:tr2bl w:val="nil"/>
                  </w:tcBorders>
                  <w:noWrap w:val="0"/>
                  <w:vAlign w:val="center"/>
                </w:tcPr>
                <w:p w14:paraId="649407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eastAsia="zh-CN"/>
                    </w:rPr>
                  </w:pPr>
                  <w:r>
                    <w:rPr>
                      <w:rFonts w:hint="default"/>
                      <w:color w:val="auto"/>
                      <w:highlight w:val="none"/>
                    </w:rPr>
                    <w:t>本项目使用</w:t>
                  </w:r>
                  <w:r>
                    <w:rPr>
                      <w:rFonts w:hint="eastAsia"/>
                      <w:color w:val="auto"/>
                      <w:highlight w:val="none"/>
                      <w:lang w:val="en-US" w:eastAsia="zh-CN"/>
                    </w:rPr>
                    <w:t>的</w:t>
                  </w:r>
                  <w:r>
                    <w:rPr>
                      <w:rFonts w:hint="default"/>
                      <w:color w:val="auto"/>
                      <w:highlight w:val="none"/>
                    </w:rPr>
                    <w:t>活性炭</w:t>
                  </w:r>
                  <w:r>
                    <w:rPr>
                      <w:rFonts w:hint="eastAsia"/>
                      <w:color w:val="auto"/>
                      <w:highlight w:val="none"/>
                      <w:lang w:val="en-US" w:eastAsia="zh-CN"/>
                    </w:rPr>
                    <w:t>是</w:t>
                  </w:r>
                  <w:r>
                    <w:rPr>
                      <w:rFonts w:hint="default"/>
                      <w:color w:val="auto"/>
                      <w:highlight w:val="none"/>
                    </w:rPr>
                    <w:t>选择碘吸附值为812mg/g的蜂窝状</w:t>
                  </w:r>
                  <w:r>
                    <w:rPr>
                      <w:rFonts w:hint="eastAsia"/>
                      <w:color w:val="auto"/>
                      <w:highlight w:val="none"/>
                      <w:lang w:eastAsia="zh-CN"/>
                    </w:rPr>
                    <w:t>，</w:t>
                  </w:r>
                  <w:r>
                    <w:rPr>
                      <w:rFonts w:hint="default"/>
                      <w:color w:val="auto"/>
                      <w:highlight w:val="none"/>
                    </w:rPr>
                    <w:t>活性炭并做好更换台账记录</w:t>
                  </w:r>
                  <w:r>
                    <w:rPr>
                      <w:rFonts w:hint="eastAsia"/>
                      <w:color w:val="auto"/>
                      <w:highlight w:val="none"/>
                      <w:lang w:eastAsia="zh-CN"/>
                    </w:rPr>
                    <w:t>，</w:t>
                  </w:r>
                  <w:r>
                    <w:rPr>
                      <w:rFonts w:hint="eastAsia"/>
                      <w:color w:val="auto"/>
                      <w:highlight w:val="none"/>
                      <w:lang w:val="en-US" w:eastAsia="zh-CN"/>
                    </w:rPr>
                    <w:t>一年更换两次，</w:t>
                  </w:r>
                  <w:r>
                    <w:rPr>
                      <w:rFonts w:hint="default"/>
                      <w:color w:val="auto"/>
                      <w:highlight w:val="none"/>
                    </w:rPr>
                    <w:t>更换频次满足相关要求</w:t>
                  </w:r>
                  <w:r>
                    <w:rPr>
                      <w:rFonts w:hint="eastAsia"/>
                      <w:color w:val="auto"/>
                      <w:highlight w:val="none"/>
                      <w:lang w:eastAsia="zh-CN"/>
                    </w:rPr>
                    <w:t>。废气经处理后有组织</w:t>
                  </w:r>
                  <w:r>
                    <w:rPr>
                      <w:rFonts w:hint="eastAsia"/>
                      <w:color w:val="auto"/>
                      <w:highlight w:val="none"/>
                      <w:lang w:val="en-US" w:eastAsia="zh-CN"/>
                    </w:rPr>
                    <w:t>达标</w:t>
                  </w:r>
                  <w:r>
                    <w:rPr>
                      <w:rFonts w:hint="eastAsia"/>
                      <w:color w:val="auto"/>
                      <w:highlight w:val="none"/>
                      <w:lang w:eastAsia="zh-CN"/>
                    </w:rPr>
                    <w:t>排放。</w:t>
                  </w:r>
                </w:p>
              </w:tc>
              <w:tc>
                <w:tcPr>
                  <w:tcW w:w="457" w:type="pct"/>
                  <w:tcBorders>
                    <w:tl2br w:val="nil"/>
                    <w:tr2bl w:val="nil"/>
                  </w:tcBorders>
                  <w:noWrap w:val="0"/>
                  <w:vAlign w:val="center"/>
                </w:tcPr>
                <w:p w14:paraId="5CB72E03">
                  <w:pPr>
                    <w:keepNext w:val="0"/>
                    <w:keepLines w:val="0"/>
                    <w:pageBreakBefore w:val="0"/>
                    <w:widowControl w:val="0"/>
                    <w:suppressLineNumbers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符合</w:t>
                  </w:r>
                </w:p>
              </w:tc>
            </w:tr>
            <w:tr w14:paraId="36D17A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33542FCC">
                  <w:pPr>
                    <w:keepNext w:val="0"/>
                    <w:keepLines w:val="0"/>
                    <w:pageBreakBefore w:val="0"/>
                    <w:widowControl w:val="0"/>
                    <w:suppressLineNumbers w:val="0"/>
                    <w:kinsoku/>
                    <w:wordWrap/>
                    <w:overflowPunct/>
                    <w:topLinePunct w:val="0"/>
                    <w:autoSpaceDE/>
                    <w:autoSpaceDN/>
                    <w:bidi w:val="0"/>
                    <w:spacing w:line="360" w:lineRule="auto"/>
                    <w:ind w:right="0" w:firstLine="420" w:firstLineChars="200"/>
                    <w:jc w:val="both"/>
                    <w:textAlignment w:val="auto"/>
                    <w:rPr>
                      <w:rFonts w:hint="eastAsia"/>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西安市生态环境局办公室《关于加强涉气项目环境影响评价管理的通知》</w:t>
                  </w:r>
                  <w:r>
                    <w:rPr>
                      <w:rFonts w:hint="eastAsia" w:ascii="宋体" w:hAnsi="宋体" w:cs="宋体"/>
                      <w:color w:val="auto"/>
                      <w:kern w:val="0"/>
                      <w:sz w:val="21"/>
                      <w:szCs w:val="21"/>
                      <w:highlight w:val="none"/>
                      <w:lang w:val="en-US" w:eastAsia="zh-CN" w:bidi="ar"/>
                    </w:rPr>
                    <w:t>（</w:t>
                  </w:r>
                  <w:r>
                    <w:rPr>
                      <w:rFonts w:hint="eastAsia" w:ascii="宋体" w:hAnsi="宋体" w:eastAsia="宋体" w:cs="宋体"/>
                      <w:color w:val="auto"/>
                      <w:kern w:val="0"/>
                      <w:sz w:val="21"/>
                      <w:szCs w:val="21"/>
                      <w:highlight w:val="none"/>
                      <w:lang w:val="en-US" w:eastAsia="zh-CN" w:bidi="ar"/>
                    </w:rPr>
                    <w:t>市环办发</w:t>
                  </w:r>
                  <w:r>
                    <w:rPr>
                      <w:rFonts w:hint="eastAsia" w:ascii="宋体" w:hAnsi="宋体" w:cs="宋体"/>
                      <w:color w:val="auto"/>
                      <w:kern w:val="0"/>
                      <w:sz w:val="21"/>
                      <w:szCs w:val="21"/>
                      <w:highlight w:val="none"/>
                      <w:lang w:val="en-US" w:eastAsia="zh-CN" w:bidi="ar"/>
                    </w:rPr>
                    <w:t>〔2023〕</w:t>
                  </w:r>
                  <w:r>
                    <w:rPr>
                      <w:rFonts w:hint="default" w:ascii="Times New Roman" w:hAnsi="Times New Roman" w:eastAsia="宋体" w:cs="Times New Roman"/>
                      <w:color w:val="auto"/>
                      <w:kern w:val="0"/>
                      <w:sz w:val="21"/>
                      <w:szCs w:val="21"/>
                      <w:highlight w:val="none"/>
                      <w:lang w:val="en-US" w:eastAsia="zh-CN" w:bidi="ar"/>
                    </w:rPr>
                    <w:t>47</w:t>
                  </w:r>
                  <w:r>
                    <w:rPr>
                      <w:rFonts w:hint="eastAsia" w:ascii="宋体" w:hAnsi="宋体" w:cs="宋体"/>
                      <w:color w:val="auto"/>
                      <w:kern w:val="0"/>
                      <w:sz w:val="21"/>
                      <w:szCs w:val="21"/>
                      <w:highlight w:val="none"/>
                      <w:lang w:val="en-US" w:eastAsia="zh-CN" w:bidi="ar"/>
                    </w:rPr>
                    <w:t>）</w:t>
                  </w:r>
                </w:p>
              </w:tc>
              <w:tc>
                <w:tcPr>
                  <w:tcW w:w="1547" w:type="pct"/>
                  <w:tcBorders>
                    <w:tl2br w:val="nil"/>
                    <w:tr2bl w:val="nil"/>
                  </w:tcBorders>
                  <w:noWrap w:val="0"/>
                  <w:vAlign w:val="center"/>
                </w:tcPr>
                <w:p w14:paraId="3C37EB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default"/>
                      <w:color w:val="auto"/>
                      <w:highlight w:val="none"/>
                    </w:rPr>
                    <w:t>新建项目不再采用低温等离子光氧化、光催化等单一处理方式，非水溶性挥发性有机物废气不再采用喷淋吸收方式处理。采用活性炭吸附技术的，其中颗粒碳碘吸附值不低于800mg/g或四氯化碳吸附率不低于60%，蜂窝活性炭碘吸附值不低于600mg/g或四氯化碳吸附率不低于30%，按设计要求足量添加、定期更换。</w:t>
                  </w:r>
                </w:p>
              </w:tc>
              <w:tc>
                <w:tcPr>
                  <w:tcW w:w="1823" w:type="pct"/>
                  <w:tcBorders>
                    <w:tl2br w:val="nil"/>
                    <w:tr2bl w:val="nil"/>
                  </w:tcBorders>
                  <w:noWrap w:val="0"/>
                  <w:vAlign w:val="center"/>
                </w:tcPr>
                <w:p w14:paraId="34C5E2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rPr>
                  </w:pPr>
                  <w:r>
                    <w:rPr>
                      <w:rFonts w:hint="eastAsia"/>
                      <w:color w:val="auto"/>
                      <w:highlight w:val="none"/>
                      <w:lang w:val="en-US" w:eastAsia="zh-CN"/>
                    </w:rPr>
                    <w:t>本项目产生的有机废气和无机废气利用SDG+活性炭装置进行吸附，其中活性炭使用的蜂窝活性炭碘吸附值为</w:t>
                  </w:r>
                  <w:r>
                    <w:rPr>
                      <w:rFonts w:hint="default"/>
                      <w:color w:val="auto"/>
                      <w:highlight w:val="none"/>
                    </w:rPr>
                    <w:t>812mg/g</w:t>
                  </w:r>
                  <w:r>
                    <w:rPr>
                      <w:rFonts w:hint="eastAsia"/>
                      <w:color w:val="auto"/>
                      <w:highlight w:val="none"/>
                      <w:lang w:eastAsia="zh-CN"/>
                    </w:rPr>
                    <w:t>，</w:t>
                  </w:r>
                  <w:r>
                    <w:rPr>
                      <w:rFonts w:hint="eastAsia"/>
                      <w:color w:val="auto"/>
                      <w:highlight w:val="none"/>
                      <w:lang w:val="en-US" w:eastAsia="zh-CN"/>
                    </w:rPr>
                    <w:t>一年更换两次，并已设置活性炭更换台账，废气经处理后通过28m排气筒能够稳定达标排放。</w:t>
                  </w:r>
                </w:p>
              </w:tc>
              <w:tc>
                <w:tcPr>
                  <w:tcW w:w="457" w:type="pct"/>
                  <w:tcBorders>
                    <w:tl2br w:val="nil"/>
                    <w:tr2bl w:val="nil"/>
                  </w:tcBorders>
                  <w:noWrap w:val="0"/>
                  <w:vAlign w:val="center"/>
                </w:tcPr>
                <w:p w14:paraId="00E93B7B">
                  <w:pPr>
                    <w:keepNext w:val="0"/>
                    <w:keepLines w:val="0"/>
                    <w:pageBreakBefore w:val="0"/>
                    <w:widowControl w:val="0"/>
                    <w:kinsoku/>
                    <w:wordWrap/>
                    <w:overflowPunct/>
                    <w:topLinePunct w:val="0"/>
                    <w:autoSpaceDE/>
                    <w:autoSpaceDN/>
                    <w:bidi w:val="0"/>
                    <w:spacing w:line="360" w:lineRule="auto"/>
                    <w:ind w:left="0" w:right="0" w:firstLine="0" w:firstLineChars="0"/>
                    <w:jc w:val="both"/>
                    <w:textAlignment w:val="auto"/>
                    <w:rPr>
                      <w:rFonts w:hint="eastAsia"/>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符合</w:t>
                  </w:r>
                </w:p>
              </w:tc>
            </w:tr>
            <w:tr w14:paraId="4F3CC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0F735D84">
                  <w:pPr>
                    <w:keepNext w:val="0"/>
                    <w:keepLines w:val="0"/>
                    <w:pageBreakBefore w:val="0"/>
                    <w:widowControl w:val="0"/>
                    <w:suppressLineNumbers w:val="0"/>
                    <w:kinsoku/>
                    <w:wordWrap/>
                    <w:overflowPunct/>
                    <w:topLinePunct w:val="0"/>
                    <w:autoSpaceDE/>
                    <w:autoSpaceDN/>
                    <w:bidi w:val="0"/>
                    <w:spacing w:line="360" w:lineRule="auto"/>
                    <w:ind w:right="0" w:firstLine="420" w:firstLineChars="20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西安市大气污染治理专项行动2024年工作方案</w:t>
                  </w:r>
                  <w:r>
                    <w:rPr>
                      <w:rFonts w:hint="eastAsia" w:ascii="Times New Roman" w:hAnsi="Times New Roman"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（市政办函〔2024〕25号）</w:t>
                  </w:r>
                </w:p>
              </w:tc>
              <w:tc>
                <w:tcPr>
                  <w:tcW w:w="1547" w:type="pct"/>
                  <w:tcBorders>
                    <w:tl2br w:val="nil"/>
                    <w:tr2bl w:val="nil"/>
                  </w:tcBorders>
                  <w:noWrap w:val="0"/>
                  <w:vAlign w:val="center"/>
                </w:tcPr>
                <w:p w14:paraId="2B9CE9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kern w:val="0"/>
                      <w:sz w:val="21"/>
                      <w:szCs w:val="21"/>
                      <w:highlight w:val="none"/>
                      <w:lang w:val="en-US" w:eastAsia="zh-CN" w:bidi="ar"/>
                    </w:rPr>
                  </w:pPr>
                  <w:r>
                    <w:rPr>
                      <w:rFonts w:hint="default"/>
                      <w:color w:val="auto"/>
                      <w:highlight w:val="none"/>
                      <w:lang w:val="en-US" w:eastAsia="zh-CN"/>
                    </w:rPr>
                    <w:t>强化涉活性炭VOCs处理工艺治理。深入开展简易低效挥发性有机物治理设施清理整治，组织开展涉活性炭挥发性有机物处理工艺专项整治行动，推广先进VOCs治理工艺，全面提升VOCs治理水平。</w:t>
                  </w:r>
                </w:p>
              </w:tc>
              <w:tc>
                <w:tcPr>
                  <w:tcW w:w="1823" w:type="pct"/>
                  <w:tcBorders>
                    <w:tl2br w:val="nil"/>
                    <w:tr2bl w:val="nil"/>
                  </w:tcBorders>
                  <w:noWrap w:val="0"/>
                  <w:vAlign w:val="center"/>
                </w:tcPr>
                <w:p w14:paraId="0D434B20">
                  <w:pPr>
                    <w:keepNext w:val="0"/>
                    <w:keepLines w:val="0"/>
                    <w:pageBreakBefore w:val="0"/>
                    <w:widowControl w:val="0"/>
                    <w:suppressLineNumbers w:val="0"/>
                    <w:kinsoku/>
                    <w:wordWrap/>
                    <w:overflowPunct/>
                    <w:topLinePunct w:val="0"/>
                    <w:autoSpaceDE/>
                    <w:autoSpaceDN/>
                    <w:bidi w:val="0"/>
                    <w:spacing w:line="360" w:lineRule="auto"/>
                    <w:ind w:right="0" w:firstLine="420" w:firstLineChars="20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color w:val="auto"/>
                      <w:szCs w:val="21"/>
                      <w:highlight w:val="none"/>
                    </w:rPr>
                    <w:t>本项目VOCs废气</w:t>
                  </w:r>
                  <w:r>
                    <w:rPr>
                      <w:rFonts w:hint="eastAsia"/>
                      <w:color w:val="auto"/>
                      <w:szCs w:val="21"/>
                      <w:highlight w:val="none"/>
                      <w:lang w:val="en-US" w:eastAsia="zh-CN"/>
                    </w:rPr>
                    <w:t>和无机废气</w:t>
                  </w:r>
                  <w:r>
                    <w:rPr>
                      <w:rFonts w:hint="eastAsia"/>
                      <w:color w:val="auto"/>
                      <w:szCs w:val="21"/>
                      <w:highlight w:val="none"/>
                    </w:rPr>
                    <w:t>使用</w:t>
                  </w:r>
                  <w:r>
                    <w:rPr>
                      <w:rFonts w:hint="eastAsia"/>
                      <w:color w:val="auto"/>
                      <w:szCs w:val="21"/>
                      <w:highlight w:val="none"/>
                      <w:lang w:val="en-US" w:eastAsia="zh-CN"/>
                    </w:rPr>
                    <w:t>SDG+</w:t>
                  </w:r>
                  <w:r>
                    <w:rPr>
                      <w:rFonts w:hint="eastAsia"/>
                      <w:color w:val="auto"/>
                      <w:szCs w:val="21"/>
                      <w:highlight w:val="none"/>
                    </w:rPr>
                    <w:t>活性炭吸附装置进行处置。</w:t>
                  </w:r>
                  <w:r>
                    <w:rPr>
                      <w:rFonts w:hint="default"/>
                      <w:color w:val="auto"/>
                      <w:highlight w:val="none"/>
                    </w:rPr>
                    <w:t>不采用低温等离子、光氧化、光催化等治理技术，废气经处理后可达标排放</w:t>
                  </w:r>
                </w:p>
              </w:tc>
              <w:tc>
                <w:tcPr>
                  <w:tcW w:w="457" w:type="pct"/>
                  <w:tcBorders>
                    <w:tl2br w:val="nil"/>
                    <w:tr2bl w:val="nil"/>
                  </w:tcBorders>
                  <w:noWrap w:val="0"/>
                  <w:vAlign w:val="center"/>
                </w:tcPr>
                <w:p w14:paraId="5BFC0597">
                  <w:pPr>
                    <w:keepNext w:val="0"/>
                    <w:keepLines w:val="0"/>
                    <w:pageBreakBefore w:val="0"/>
                    <w:widowControl w:val="0"/>
                    <w:suppressLineNumbers w:val="0"/>
                    <w:kinsoku/>
                    <w:wordWrap/>
                    <w:overflowPunct/>
                    <w:topLinePunct w:val="0"/>
                    <w:autoSpaceDE/>
                    <w:autoSpaceDN/>
                    <w:bidi w:val="0"/>
                    <w:spacing w:line="360" w:lineRule="auto"/>
                    <w:ind w:right="0" w:firstLine="0" w:firstLineChars="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w:t>
                  </w:r>
                </w:p>
              </w:tc>
            </w:tr>
            <w:tr w14:paraId="482A10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tcBorders>
                    <w:tl2br w:val="nil"/>
                    <w:tr2bl w:val="nil"/>
                  </w:tcBorders>
                  <w:noWrap w:val="0"/>
                  <w:vAlign w:val="center"/>
                </w:tcPr>
                <w:p w14:paraId="5933E86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color w:val="auto"/>
                      <w:highlight w:val="none"/>
                      <w:lang w:val="en-US" w:eastAsia="zh-CN"/>
                    </w:rPr>
                    <w:t>《</w:t>
                  </w:r>
                  <w:r>
                    <w:rPr>
                      <w:rFonts w:hint="default"/>
                      <w:color w:val="auto"/>
                      <w:highlight w:val="none"/>
                      <w:lang w:val="en-US" w:eastAsia="zh-CN"/>
                    </w:rPr>
                    <w:t>西咸新区大气污染治理专项行动2024年</w:t>
                  </w:r>
                  <w:r>
                    <w:rPr>
                      <w:rFonts w:hint="eastAsia"/>
                      <w:color w:val="auto"/>
                      <w:highlight w:val="none"/>
                      <w:lang w:val="en-US" w:eastAsia="zh-CN"/>
                    </w:rPr>
                    <w:t>工作方案》</w:t>
                  </w:r>
                </w:p>
              </w:tc>
              <w:tc>
                <w:tcPr>
                  <w:tcW w:w="1547" w:type="pct"/>
                  <w:tcBorders>
                    <w:tl2br w:val="nil"/>
                    <w:tr2bl w:val="nil"/>
                  </w:tcBorders>
                  <w:noWrap w:val="0"/>
                  <w:vAlign w:val="center"/>
                </w:tcPr>
                <w:p w14:paraId="522384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default"/>
                      <w:color w:val="auto"/>
                      <w:highlight w:val="none"/>
                      <w:lang w:val="en-US" w:eastAsia="zh-CN"/>
                    </w:rPr>
                    <w:t>强化涉活性炭VOCs处理工艺治理。深入开展简易低效挥发性有机物治理设施清理整治，组织开展涉活性炭挥发性有机物处理工艺专项整治行动，推进先进VOCs治理工艺，全面提升VOCs治理水平。</w:t>
                  </w:r>
                </w:p>
              </w:tc>
              <w:tc>
                <w:tcPr>
                  <w:tcW w:w="1823" w:type="pct"/>
                  <w:tcBorders>
                    <w:tl2br w:val="nil"/>
                    <w:tr2bl w:val="nil"/>
                  </w:tcBorders>
                  <w:noWrap w:val="0"/>
                  <w:vAlign w:val="center"/>
                </w:tcPr>
                <w:p w14:paraId="372AA4BE">
                  <w:pPr>
                    <w:keepNext w:val="0"/>
                    <w:keepLines w:val="0"/>
                    <w:pageBreakBefore w:val="0"/>
                    <w:widowControl w:val="0"/>
                    <w:suppressLineNumbers w:val="0"/>
                    <w:kinsoku/>
                    <w:wordWrap/>
                    <w:overflowPunct/>
                    <w:topLinePunct w:val="0"/>
                    <w:autoSpaceDE/>
                    <w:autoSpaceDN/>
                    <w:bidi w:val="0"/>
                    <w:spacing w:line="360" w:lineRule="auto"/>
                    <w:ind w:right="0" w:firstLine="420" w:firstLineChars="20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color w:val="auto"/>
                      <w:szCs w:val="21"/>
                      <w:highlight w:val="none"/>
                    </w:rPr>
                    <w:t>本项目VOCs废气</w:t>
                  </w:r>
                  <w:r>
                    <w:rPr>
                      <w:rFonts w:hint="eastAsia"/>
                      <w:color w:val="auto"/>
                      <w:szCs w:val="21"/>
                      <w:highlight w:val="none"/>
                      <w:lang w:val="en-US" w:eastAsia="zh-CN"/>
                    </w:rPr>
                    <w:t>和无机废气</w:t>
                  </w:r>
                  <w:r>
                    <w:rPr>
                      <w:rFonts w:hint="eastAsia"/>
                      <w:color w:val="auto"/>
                      <w:szCs w:val="21"/>
                      <w:highlight w:val="none"/>
                    </w:rPr>
                    <w:t>使用</w:t>
                  </w:r>
                  <w:r>
                    <w:rPr>
                      <w:rFonts w:hint="eastAsia"/>
                      <w:color w:val="auto"/>
                      <w:szCs w:val="21"/>
                      <w:highlight w:val="none"/>
                      <w:lang w:val="en-US" w:eastAsia="zh-CN"/>
                    </w:rPr>
                    <w:t>SDG+</w:t>
                  </w:r>
                  <w:r>
                    <w:rPr>
                      <w:rFonts w:hint="eastAsia"/>
                      <w:color w:val="auto"/>
                      <w:szCs w:val="21"/>
                      <w:highlight w:val="none"/>
                    </w:rPr>
                    <w:t>活性炭吸附装置进行处置。</w:t>
                  </w:r>
                  <w:r>
                    <w:rPr>
                      <w:rFonts w:hint="default"/>
                      <w:color w:val="auto"/>
                      <w:highlight w:val="none"/>
                    </w:rPr>
                    <w:t>不采用低温等离子、光氧化、光催化等治理技术，废气经处理后可达标排放。</w:t>
                  </w:r>
                </w:p>
              </w:tc>
              <w:tc>
                <w:tcPr>
                  <w:tcW w:w="457" w:type="pct"/>
                  <w:tcBorders>
                    <w:tl2br w:val="nil"/>
                    <w:tr2bl w:val="nil"/>
                  </w:tcBorders>
                  <w:noWrap w:val="0"/>
                  <w:vAlign w:val="center"/>
                </w:tcPr>
                <w:p w14:paraId="203345D0">
                  <w:pPr>
                    <w:keepNext w:val="0"/>
                    <w:keepLines w:val="0"/>
                    <w:pageBreakBefore w:val="0"/>
                    <w:widowControl w:val="0"/>
                    <w:suppressLineNumbers w:val="0"/>
                    <w:kinsoku/>
                    <w:wordWrap/>
                    <w:overflowPunct/>
                    <w:topLinePunct w:val="0"/>
                    <w:autoSpaceDE/>
                    <w:autoSpaceDN/>
                    <w:bidi w:val="0"/>
                    <w:spacing w:line="360" w:lineRule="auto"/>
                    <w:ind w:right="0" w:firstLine="0" w:firstLineChars="0"/>
                    <w:jc w:val="both"/>
                    <w:textAlignment w:val="auto"/>
                    <w:rPr>
                      <w:rFonts w:hint="default" w:ascii="Times New Roman" w:hAnsi="Times New Roman" w:eastAsia="宋体" w:cs="Times New Roman"/>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w:t>
                  </w:r>
                </w:p>
              </w:tc>
            </w:tr>
            <w:tr w14:paraId="7BDD1E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restart"/>
                  <w:noWrap w:val="0"/>
                  <w:vAlign w:val="center"/>
                </w:tcPr>
                <w:p w14:paraId="1BA9E27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color w:val="auto"/>
                      <w:highlight w:val="none"/>
                      <w:lang w:val="en-US" w:eastAsia="zh-CN"/>
                    </w:rPr>
                  </w:pPr>
                  <w:r>
                    <w:rPr>
                      <w:rFonts w:hint="eastAsia"/>
                      <w:color w:val="auto"/>
                      <w:highlight w:val="none"/>
                      <w:lang w:val="en-US" w:eastAsia="zh-CN"/>
                    </w:rPr>
                    <w:t>《沣东新城大气污染治理专项行动2024年工作方案》（西咸沣东党政办字〔2024〕11号）</w:t>
                  </w:r>
                </w:p>
              </w:tc>
              <w:tc>
                <w:tcPr>
                  <w:tcW w:w="1547" w:type="pct"/>
                  <w:noWrap w:val="0"/>
                  <w:vAlign w:val="center"/>
                </w:tcPr>
                <w:p w14:paraId="5CFB6D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default"/>
                      <w:color w:val="auto"/>
                      <w:highlight w:val="none"/>
                      <w:lang w:val="en-US" w:eastAsia="zh-CN"/>
                    </w:rPr>
                    <w:t>强化源头管控。严格落实国家和陕西省产业规划、产业政策、</w:t>
                  </w:r>
                  <w:r>
                    <w:rPr>
                      <w:rFonts w:hint="eastAsia"/>
                      <w:color w:val="auto"/>
                      <w:highlight w:val="none"/>
                      <w:lang w:val="en-US" w:eastAsia="zh-CN"/>
                    </w:rPr>
                    <w:t>“</w:t>
                  </w:r>
                  <w:r>
                    <w:rPr>
                      <w:rFonts w:hint="default"/>
                      <w:color w:val="auto"/>
                      <w:highlight w:val="none"/>
                      <w:lang w:val="en-US" w:eastAsia="zh-CN"/>
                    </w:rPr>
                    <w:t>三线一单</w:t>
                  </w:r>
                  <w:r>
                    <w:rPr>
                      <w:rFonts w:hint="eastAsia"/>
                      <w:color w:val="auto"/>
                      <w:highlight w:val="none"/>
                      <w:lang w:val="en-US" w:eastAsia="zh-CN"/>
                    </w:rPr>
                    <w:t>”</w:t>
                  </w:r>
                  <w:r>
                    <w:rPr>
                      <w:rFonts w:hint="default"/>
                      <w:color w:val="auto"/>
                      <w:highlight w:val="none"/>
                      <w:lang w:val="en-US" w:eastAsia="zh-CN"/>
                    </w:rPr>
                    <w:t>、规划环评、重点污染物总量控制、污染物排放区域削减等要求，积极推行区域、规划环境影响评价，新改扩建化工、石化、建材、有色等项目的环境影响评价应满足区域和规划环评要求。</w:t>
                  </w:r>
                </w:p>
              </w:tc>
              <w:tc>
                <w:tcPr>
                  <w:tcW w:w="1823" w:type="pct"/>
                  <w:tcBorders>
                    <w:tl2br w:val="nil"/>
                    <w:tr2bl w:val="nil"/>
                  </w:tcBorders>
                  <w:noWrap w:val="0"/>
                  <w:vAlign w:val="center"/>
                </w:tcPr>
                <w:p w14:paraId="60CC972D">
                  <w:pPr>
                    <w:keepNext w:val="0"/>
                    <w:keepLines w:val="0"/>
                    <w:pageBreakBefore w:val="0"/>
                    <w:widowControl w:val="0"/>
                    <w:suppressLineNumbers w:val="0"/>
                    <w:kinsoku/>
                    <w:wordWrap/>
                    <w:overflowPunct/>
                    <w:topLinePunct w:val="0"/>
                    <w:autoSpaceDE/>
                    <w:autoSpaceDN/>
                    <w:bidi w:val="0"/>
                    <w:spacing w:line="360" w:lineRule="auto"/>
                    <w:ind w:right="0" w:firstLine="420" w:firstLineChars="200"/>
                    <w:jc w:val="both"/>
                    <w:textAlignment w:val="auto"/>
                    <w:rPr>
                      <w:rFonts w:hint="eastAsia" w:eastAsia="宋体"/>
                      <w:color w:val="auto"/>
                      <w:highlight w:val="none"/>
                      <w:lang w:val="en-US" w:eastAsia="zh-CN"/>
                    </w:rPr>
                  </w:pPr>
                  <w:r>
                    <w:rPr>
                      <w:rFonts w:hint="default"/>
                      <w:color w:val="auto"/>
                      <w:highlight w:val="none"/>
                    </w:rPr>
                    <w:t>本项目属于四十五、研究和试验发展、专业实验室，根据《重污染天气重点行业应急减排措施制定&gt;</w:t>
                  </w:r>
                  <w:r>
                    <w:rPr>
                      <w:rFonts w:hint="eastAsia"/>
                      <w:color w:val="auto"/>
                      <w:highlight w:val="none"/>
                      <w:lang w:eastAsia="zh-CN"/>
                    </w:rPr>
                    <w:t>（</w:t>
                  </w:r>
                  <w:r>
                    <w:rPr>
                      <w:rFonts w:hint="default"/>
                      <w:color w:val="auto"/>
                      <w:highlight w:val="none"/>
                    </w:rPr>
                    <w:t>环办大气函</w:t>
                  </w:r>
                  <w:r>
                    <w:rPr>
                      <w:rFonts w:hint="eastAsia"/>
                      <w:color w:val="auto"/>
                      <w:highlight w:val="none"/>
                      <w:lang w:eastAsia="zh-CN"/>
                    </w:rPr>
                    <w:t>〔2020〕340号）</w:t>
                  </w:r>
                  <w:r>
                    <w:rPr>
                      <w:rFonts w:hint="default"/>
                      <w:color w:val="auto"/>
                      <w:highlight w:val="none"/>
                    </w:rPr>
                    <w:t>，本项目不属于39个涉气重点行业</w:t>
                  </w:r>
                  <w:r>
                    <w:rPr>
                      <w:rFonts w:hint="eastAsia"/>
                      <w:color w:val="auto"/>
                      <w:highlight w:val="none"/>
                      <w:lang w:eastAsia="zh-CN"/>
                    </w:rPr>
                    <w:t>，</w:t>
                  </w:r>
                  <w:r>
                    <w:rPr>
                      <w:rFonts w:hint="eastAsia"/>
                      <w:color w:val="auto"/>
                      <w:highlight w:val="none"/>
                      <w:lang w:val="en-US" w:eastAsia="zh-CN"/>
                    </w:rPr>
                    <w:t>符合</w:t>
                  </w:r>
                  <w:r>
                    <w:rPr>
                      <w:rFonts w:hint="default"/>
                      <w:color w:val="auto"/>
                      <w:highlight w:val="none"/>
                      <w:lang w:val="en-US" w:eastAsia="zh-CN"/>
                    </w:rPr>
                    <w:t>国家和陕西省产业规划、产业政策、</w:t>
                  </w:r>
                  <w:r>
                    <w:rPr>
                      <w:rFonts w:hint="eastAsia"/>
                      <w:color w:val="auto"/>
                      <w:highlight w:val="none"/>
                      <w:lang w:val="en-US" w:eastAsia="zh-CN"/>
                    </w:rPr>
                    <w:t>“</w:t>
                  </w:r>
                  <w:r>
                    <w:rPr>
                      <w:rFonts w:hint="default"/>
                      <w:color w:val="auto"/>
                      <w:highlight w:val="none"/>
                      <w:lang w:val="en-US" w:eastAsia="zh-CN"/>
                    </w:rPr>
                    <w:t>三线一单</w:t>
                  </w:r>
                  <w:r>
                    <w:rPr>
                      <w:rFonts w:hint="eastAsia"/>
                      <w:color w:val="auto"/>
                      <w:highlight w:val="none"/>
                      <w:lang w:val="en-US" w:eastAsia="zh-CN"/>
                    </w:rPr>
                    <w:t>”</w:t>
                  </w:r>
                  <w:r>
                    <w:rPr>
                      <w:rFonts w:hint="default"/>
                      <w:color w:val="auto"/>
                      <w:highlight w:val="none"/>
                      <w:lang w:val="en-US" w:eastAsia="zh-CN"/>
                    </w:rPr>
                    <w:t>、规划环评、重点污染物总量控制、污染物排放区域削减等要求</w:t>
                  </w:r>
                  <w:r>
                    <w:rPr>
                      <w:rFonts w:hint="eastAsia"/>
                      <w:color w:val="auto"/>
                      <w:highlight w:val="none"/>
                      <w:lang w:val="en-US" w:eastAsia="zh-CN"/>
                    </w:rPr>
                    <w:t>。</w:t>
                  </w:r>
                </w:p>
              </w:tc>
              <w:tc>
                <w:tcPr>
                  <w:tcW w:w="457" w:type="pct"/>
                  <w:tcBorders>
                    <w:tl2br w:val="nil"/>
                    <w:tr2bl w:val="nil"/>
                  </w:tcBorders>
                  <w:noWrap w:val="0"/>
                  <w:vAlign w:val="center"/>
                </w:tcPr>
                <w:p w14:paraId="2A53B824">
                  <w:pPr>
                    <w:keepNext w:val="0"/>
                    <w:keepLines w:val="0"/>
                    <w:pageBreakBefore w:val="0"/>
                    <w:widowControl w:val="0"/>
                    <w:suppressLineNumbers w:val="0"/>
                    <w:kinsoku/>
                    <w:wordWrap/>
                    <w:overflowPunct/>
                    <w:topLinePunct w:val="0"/>
                    <w:autoSpaceDE/>
                    <w:autoSpaceDN/>
                    <w:bidi w:val="0"/>
                    <w:spacing w:line="360" w:lineRule="auto"/>
                    <w:ind w:right="0" w:firstLine="0" w:firstLineChars="0"/>
                    <w:jc w:val="both"/>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w:t>
                  </w:r>
                </w:p>
              </w:tc>
            </w:tr>
            <w:tr w14:paraId="30AF4E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171" w:type="pct"/>
                  <w:vMerge w:val="continue"/>
                  <w:tcBorders>
                    <w:bottom w:val="single" w:color="auto" w:sz="12" w:space="0"/>
                  </w:tcBorders>
                  <w:noWrap w:val="0"/>
                  <w:vAlign w:val="center"/>
                </w:tcPr>
                <w:p w14:paraId="534BBFDF">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color w:val="auto"/>
                      <w:highlight w:val="none"/>
                      <w:lang w:val="en-US" w:eastAsia="zh-CN"/>
                    </w:rPr>
                  </w:pPr>
                </w:p>
              </w:tc>
              <w:tc>
                <w:tcPr>
                  <w:tcW w:w="1547" w:type="pct"/>
                  <w:tcBorders>
                    <w:bottom w:val="single" w:color="auto" w:sz="12" w:space="0"/>
                  </w:tcBorders>
                  <w:noWrap w:val="0"/>
                  <w:vAlign w:val="center"/>
                </w:tcPr>
                <w:p w14:paraId="2F174A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default"/>
                      <w:color w:val="auto"/>
                      <w:highlight w:val="none"/>
                      <w:lang w:val="en-US" w:eastAsia="zh-CN"/>
                    </w:rPr>
                    <w:t>强化涉活性炭VOCs处理工艺治理。深入开展简易低效挥发性有机物治理设施清理整治，组织开展涉活性炭挥发性有机物处理工艺专项整治行动，推进先进VOCs治理工艺，全面提升VOCs治理水平。</w:t>
                  </w:r>
                </w:p>
              </w:tc>
              <w:tc>
                <w:tcPr>
                  <w:tcW w:w="1823" w:type="pct"/>
                  <w:tcBorders>
                    <w:tl2br w:val="nil"/>
                    <w:tr2bl w:val="nil"/>
                  </w:tcBorders>
                  <w:shd w:val="clear" w:color="auto" w:fill="auto"/>
                  <w:noWrap w:val="0"/>
                  <w:vAlign w:val="center"/>
                </w:tcPr>
                <w:p w14:paraId="0775BFEA">
                  <w:pPr>
                    <w:keepNext w:val="0"/>
                    <w:keepLines w:val="0"/>
                    <w:pageBreakBefore w:val="0"/>
                    <w:widowControl w:val="0"/>
                    <w:suppressLineNumbers w:val="0"/>
                    <w:kinsoku/>
                    <w:wordWrap/>
                    <w:overflowPunct/>
                    <w:topLinePunct w:val="0"/>
                    <w:autoSpaceDE/>
                    <w:autoSpaceDN/>
                    <w:bidi w:val="0"/>
                    <w:spacing w:line="360" w:lineRule="auto"/>
                    <w:ind w:right="0" w:rightChars="0" w:firstLine="420" w:firstLineChars="200"/>
                    <w:jc w:val="both"/>
                    <w:textAlignment w:val="auto"/>
                    <w:rPr>
                      <w:rFonts w:hint="eastAsia" w:ascii="Times New Roman" w:hAnsi="Times New Roman" w:eastAsia="宋体" w:cs="Times New Roman"/>
                      <w:color w:val="auto"/>
                      <w:kern w:val="0"/>
                      <w:sz w:val="21"/>
                      <w:szCs w:val="21"/>
                      <w:highlight w:val="none"/>
                      <w:lang w:val="en-US" w:eastAsia="zh-CN" w:bidi="ar"/>
                    </w:rPr>
                  </w:pPr>
                  <w:r>
                    <w:rPr>
                      <w:rFonts w:hint="eastAsia"/>
                      <w:color w:val="auto"/>
                      <w:szCs w:val="21"/>
                      <w:highlight w:val="none"/>
                    </w:rPr>
                    <w:t>本项目VOCs废气</w:t>
                  </w:r>
                  <w:r>
                    <w:rPr>
                      <w:rFonts w:hint="eastAsia"/>
                      <w:color w:val="auto"/>
                      <w:szCs w:val="21"/>
                      <w:highlight w:val="none"/>
                      <w:lang w:val="en-US" w:eastAsia="zh-CN"/>
                    </w:rPr>
                    <w:t>和无机废气</w:t>
                  </w:r>
                  <w:r>
                    <w:rPr>
                      <w:rFonts w:hint="eastAsia"/>
                      <w:color w:val="auto"/>
                      <w:szCs w:val="21"/>
                      <w:highlight w:val="none"/>
                    </w:rPr>
                    <w:t>使用</w:t>
                  </w:r>
                  <w:r>
                    <w:rPr>
                      <w:rFonts w:hint="eastAsia"/>
                      <w:color w:val="auto"/>
                      <w:szCs w:val="21"/>
                      <w:highlight w:val="none"/>
                      <w:lang w:val="en-US" w:eastAsia="zh-CN"/>
                    </w:rPr>
                    <w:t>SDG+</w:t>
                  </w:r>
                  <w:r>
                    <w:rPr>
                      <w:rFonts w:hint="eastAsia"/>
                      <w:color w:val="auto"/>
                      <w:szCs w:val="21"/>
                      <w:highlight w:val="none"/>
                    </w:rPr>
                    <w:t>活性炭吸附装置进行处置。</w:t>
                  </w:r>
                  <w:r>
                    <w:rPr>
                      <w:rFonts w:hint="default"/>
                      <w:color w:val="auto"/>
                      <w:highlight w:val="none"/>
                    </w:rPr>
                    <w:t>不采用低温等离子、光氧化、光催化等治理技术，废气经处理后可达标排放</w:t>
                  </w:r>
                </w:p>
              </w:tc>
              <w:tc>
                <w:tcPr>
                  <w:tcW w:w="457" w:type="pct"/>
                  <w:tcBorders>
                    <w:tl2br w:val="nil"/>
                    <w:tr2bl w:val="nil"/>
                  </w:tcBorders>
                  <w:noWrap w:val="0"/>
                  <w:vAlign w:val="center"/>
                </w:tcPr>
                <w:p w14:paraId="6BFE2EE0">
                  <w:pPr>
                    <w:keepNext w:val="0"/>
                    <w:keepLines w:val="0"/>
                    <w:pageBreakBefore w:val="0"/>
                    <w:widowControl w:val="0"/>
                    <w:suppressLineNumbers w:val="0"/>
                    <w:kinsoku/>
                    <w:wordWrap/>
                    <w:overflowPunct/>
                    <w:topLinePunct w:val="0"/>
                    <w:autoSpaceDE/>
                    <w:autoSpaceDN/>
                    <w:bidi w:val="0"/>
                    <w:spacing w:line="360" w:lineRule="auto"/>
                    <w:ind w:right="0" w:firstLine="0" w:firstLineChars="0"/>
                    <w:jc w:val="both"/>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w:t>
                  </w:r>
                </w:p>
              </w:tc>
            </w:tr>
          </w:tbl>
          <w:p w14:paraId="2DE99A5B">
            <w:pPr>
              <w:keepNext w:val="0"/>
              <w:keepLines w:val="0"/>
              <w:pageBreakBefore w:val="0"/>
              <w:widowControl w:val="0"/>
              <w:kinsoku/>
              <w:wordWrap/>
              <w:overflowPunct/>
              <w:topLinePunct w:val="0"/>
              <w:autoSpaceDE/>
              <w:autoSpaceDN/>
              <w:bidi w:val="0"/>
              <w:adjustRightInd/>
              <w:snapToGrid/>
              <w:spacing w:before="157" w:beforeLines="50"/>
              <w:ind w:firstLine="482" w:firstLineChars="200"/>
              <w:textAlignment w:val="auto"/>
              <w:rPr>
                <w:rFonts w:hint="eastAsia" w:ascii="Times New Roman" w:hAnsi="Times New Roman" w:eastAsia="宋体" w:cs="Times New Roman"/>
                <w:b/>
                <w:bCs/>
                <w:color w:val="auto"/>
                <w:sz w:val="24"/>
                <w:szCs w:val="24"/>
                <w:highlight w:val="none"/>
                <w:lang w:val="en-US" w:eastAsia="zh-CN"/>
              </w:rPr>
            </w:pPr>
            <w:r>
              <w:rPr>
                <w:rFonts w:hint="eastAsia" w:cs="Times New Roman"/>
                <w:b/>
                <w:bCs/>
                <w:color w:val="auto"/>
                <w:kern w:val="2"/>
                <w:sz w:val="24"/>
                <w:szCs w:val="24"/>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sz w:val="24"/>
                <w:szCs w:val="24"/>
                <w:highlight w:val="none"/>
                <w:lang w:val="en-US" w:eastAsia="zh-CN"/>
              </w:rPr>
              <w:t>与“三线一单”符合性分析</w:t>
            </w:r>
          </w:p>
          <w:p w14:paraId="6BF97E19">
            <w:pPr>
              <w:autoSpaceDE/>
              <w:autoSpaceDN/>
              <w:adjustRightInd/>
              <w:snapToGrid/>
              <w:spacing w:line="360" w:lineRule="auto"/>
              <w:ind w:firstLine="480" w:firstLineChars="200"/>
              <w:rPr>
                <w:rFonts w:hint="eastAsia" w:cs="宋体"/>
                <w:color w:val="auto"/>
                <w:kern w:val="0"/>
                <w:sz w:val="24"/>
              </w:rPr>
            </w:pPr>
            <w:r>
              <w:rPr>
                <w:rFonts w:hint="eastAsia" w:cs="宋体"/>
                <w:color w:val="auto"/>
                <w:kern w:val="0"/>
                <w:sz w:val="24"/>
                <w:lang w:val="en-US" w:eastAsia="zh-CN"/>
              </w:rPr>
              <w:t>根</w:t>
            </w:r>
            <w:r>
              <w:rPr>
                <w:rFonts w:hint="eastAsia" w:cs="宋体"/>
                <w:color w:val="auto"/>
                <w:kern w:val="0"/>
                <w:sz w:val="24"/>
              </w:rPr>
              <w:t>据《陕西省“三线一单”生态环境分区管控应用技术指南：环境影响评价（试行）》（陕环办发〔</w:t>
            </w:r>
            <w:r>
              <w:rPr>
                <w:rFonts w:cs="宋体"/>
                <w:color w:val="auto"/>
                <w:kern w:val="0"/>
                <w:sz w:val="24"/>
              </w:rPr>
              <w:t>2022</w:t>
            </w:r>
            <w:r>
              <w:rPr>
                <w:rFonts w:hint="eastAsia" w:cs="宋体"/>
                <w:color w:val="auto"/>
                <w:kern w:val="0"/>
                <w:sz w:val="24"/>
              </w:rPr>
              <w:t>〕</w:t>
            </w:r>
            <w:r>
              <w:rPr>
                <w:rFonts w:cs="宋体"/>
                <w:color w:val="auto"/>
                <w:kern w:val="0"/>
                <w:sz w:val="24"/>
              </w:rPr>
              <w:t>76</w:t>
            </w:r>
            <w:r>
              <w:rPr>
                <w:rFonts w:hint="eastAsia" w:cs="宋体"/>
                <w:color w:val="auto"/>
                <w:kern w:val="0"/>
                <w:sz w:val="24"/>
              </w:rPr>
              <w:t xml:space="preserve">号），建设项目环评文件涉及“三线一单”生态环境分区管控符合性分析采取“一图一表一说明”的表达方式，对照分析结果，论证建设的符合性。 </w:t>
            </w:r>
          </w:p>
          <w:p w14:paraId="65DBA5B8">
            <w:pPr>
              <w:keepNext w:val="0"/>
              <w:keepLines w:val="0"/>
              <w:pageBreakBefore w:val="0"/>
              <w:widowControl w:val="0"/>
              <w:suppressLineNumbers w:val="0"/>
              <w:kinsoku/>
              <w:wordWrap/>
              <w:overflowPunct/>
              <w:topLinePunct w:val="0"/>
              <w:autoSpaceDE/>
              <w:autoSpaceDN/>
              <w:bidi w:val="0"/>
              <w:adjustRightInd/>
              <w:snapToGrid/>
              <w:spacing w:before="0" w:beforeLines="-2147483648" w:line="360" w:lineRule="auto"/>
              <w:ind w:firstLine="482" w:firstLineChars="200"/>
              <w:jc w:val="both"/>
              <w:textAlignment w:val="auto"/>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①</w:t>
            </w:r>
            <w:r>
              <w:rPr>
                <w:rFonts w:hint="eastAsia" w:cs="Times New Roman"/>
                <w:b/>
                <w:bCs/>
                <w:color w:val="auto"/>
                <w:kern w:val="0"/>
                <w:sz w:val="24"/>
                <w:szCs w:val="24"/>
                <w:highlight w:val="none"/>
                <w:lang w:val="en-US" w:eastAsia="zh-CN" w:bidi="ar"/>
              </w:rPr>
              <w:t>“</w:t>
            </w:r>
            <w:r>
              <w:rPr>
                <w:rFonts w:hint="default" w:ascii="Times New Roman" w:hAnsi="Times New Roman" w:eastAsia="宋体" w:cs="Times New Roman"/>
                <w:b/>
                <w:bCs/>
                <w:color w:val="auto"/>
                <w:kern w:val="0"/>
                <w:sz w:val="24"/>
                <w:szCs w:val="24"/>
                <w:highlight w:val="none"/>
                <w:lang w:val="en-US" w:eastAsia="zh-CN" w:bidi="ar"/>
              </w:rPr>
              <w:t>一图</w:t>
            </w:r>
            <w:r>
              <w:rPr>
                <w:rFonts w:hint="eastAsia" w:cs="Times New Roman"/>
                <w:b/>
                <w:bCs/>
                <w:color w:val="auto"/>
                <w:kern w:val="0"/>
                <w:sz w:val="24"/>
                <w:szCs w:val="24"/>
                <w:highlight w:val="none"/>
                <w:lang w:val="en-US" w:eastAsia="zh-CN" w:bidi="ar"/>
              </w:rPr>
              <w:t>”</w:t>
            </w:r>
            <w:r>
              <w:rPr>
                <w:rFonts w:hint="eastAsia" w:ascii="Times New Roman" w:hAnsi="Times New Roman" w:eastAsia="宋体" w:cs="Times New Roman"/>
                <w:b/>
                <w:bCs/>
                <w:color w:val="auto"/>
                <w:kern w:val="0"/>
                <w:sz w:val="24"/>
                <w:szCs w:val="24"/>
                <w:highlight w:val="none"/>
                <w:lang w:val="en-US" w:eastAsia="zh-CN" w:bidi="ar"/>
              </w:rPr>
              <w:t>：</w:t>
            </w:r>
            <w:r>
              <w:rPr>
                <w:rFonts w:hint="default" w:ascii="Times New Roman" w:hAnsi="Times New Roman" w:eastAsia="宋体" w:cs="Times New Roman"/>
                <w:b/>
                <w:bCs/>
                <w:color w:val="auto"/>
                <w:kern w:val="0"/>
                <w:sz w:val="24"/>
                <w:szCs w:val="24"/>
                <w:highlight w:val="none"/>
                <w:lang w:val="en-US" w:eastAsia="zh-CN" w:bidi="ar"/>
              </w:rPr>
              <w:t>指的是规划或建设项目与环境管控单元对照分析示意图。</w:t>
            </w:r>
          </w:p>
          <w:p w14:paraId="54AB5BB5">
            <w:pPr>
              <w:spacing w:line="360" w:lineRule="auto"/>
              <w:ind w:firstLine="420" w:firstLineChars="200"/>
              <w:jc w:val="both"/>
              <w:rPr>
                <w:rFonts w:hint="default" w:ascii="Times New Roman" w:hAnsi="Times New Roman" w:eastAsia="宋体" w:cs="Times New Roman"/>
                <w:color w:val="auto"/>
                <w:kern w:val="0"/>
                <w:sz w:val="24"/>
                <w:szCs w:val="24"/>
                <w:highlight w:val="none"/>
                <w:lang w:val="en-US" w:eastAsia="zh-CN" w:bidi="ar"/>
              </w:rPr>
            </w:pPr>
            <w:r>
              <w:rPr>
                <w:color w:val="auto"/>
              </w:rPr>
              <w:drawing>
                <wp:inline distT="0" distB="0" distL="114300" distR="114300">
                  <wp:extent cx="3321050" cy="4824730"/>
                  <wp:effectExtent l="0" t="0" r="12700" b="1397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9"/>
                          <a:stretch>
                            <a:fillRect/>
                          </a:stretch>
                        </pic:blipFill>
                        <pic:spPr>
                          <a:xfrm>
                            <a:off x="0" y="0"/>
                            <a:ext cx="3321050" cy="4824730"/>
                          </a:xfrm>
                          <a:prstGeom prst="rect">
                            <a:avLst/>
                          </a:prstGeom>
                          <a:noFill/>
                          <a:ln>
                            <a:noFill/>
                          </a:ln>
                        </pic:spPr>
                      </pic:pic>
                    </a:graphicData>
                  </a:graphic>
                </wp:inline>
              </w:drawing>
            </w:r>
          </w:p>
          <w:p w14:paraId="5C05B7E0">
            <w:pPr>
              <w:autoSpaceDE/>
              <w:autoSpaceDN/>
              <w:adjustRightInd/>
              <w:snapToGrid/>
              <w:spacing w:line="360" w:lineRule="auto"/>
              <w:ind w:firstLine="482" w:firstLineChars="200"/>
              <w:jc w:val="both"/>
              <w:rPr>
                <w:rFonts w:hint="eastAsia" w:cs="宋体"/>
                <w:color w:val="auto"/>
                <w:kern w:val="0"/>
                <w:sz w:val="24"/>
              </w:rPr>
            </w:pPr>
            <w:r>
              <w:rPr>
                <w:rFonts w:hint="default" w:ascii="Times New Roman" w:hAnsi="Times New Roman" w:cs="Times New Roman"/>
                <w:b/>
                <w:bCs/>
                <w:color w:val="auto"/>
                <w:kern w:val="0"/>
                <w:sz w:val="24"/>
                <w:szCs w:val="24"/>
                <w:highlight w:val="none"/>
                <w:lang w:val="en-US" w:eastAsia="zh-CN"/>
              </w:rPr>
              <w:t xml:space="preserve">图1-1  </w:t>
            </w:r>
            <w:r>
              <w:rPr>
                <w:rFonts w:hint="default" w:ascii="Times New Roman" w:hAnsi="Times New Roman" w:eastAsia="宋体" w:cs="Times New Roman"/>
                <w:b/>
                <w:bCs/>
                <w:color w:val="auto"/>
                <w:kern w:val="0"/>
                <w:sz w:val="24"/>
                <w:szCs w:val="24"/>
                <w:highlight w:val="none"/>
                <w:lang w:val="en-US" w:eastAsia="zh-CN"/>
              </w:rPr>
              <w:t>项目与陕西省生态环境管控单元对照分析示意图</w:t>
            </w:r>
          </w:p>
          <w:p w14:paraId="07F52AA5">
            <w:pPr>
              <w:keepNext w:val="0"/>
              <w:keepLines w:val="0"/>
              <w:pageBreakBefore w:val="0"/>
              <w:widowControl w:val="0"/>
              <w:kinsoku/>
              <w:wordWrap/>
              <w:overflowPunct/>
              <w:topLinePunct w:val="0"/>
              <w:bidi w:val="0"/>
              <w:ind w:firstLineChars="200"/>
              <w:jc w:val="both"/>
              <w:textAlignment w:val="auto"/>
              <w:rPr>
                <w:color w:val="auto"/>
                <w:kern w:val="2"/>
                <w:sz w:val="24"/>
                <w:szCs w:val="24"/>
                <w:lang w:val="zh-CN"/>
              </w:rPr>
            </w:pPr>
            <w:r>
              <w:rPr>
                <w:color w:val="auto"/>
                <w:kern w:val="2"/>
                <w:sz w:val="24"/>
                <w:szCs w:val="24"/>
                <w:lang w:val="zh-CN"/>
              </w:rPr>
              <w:t>根据本项目与生态环境管控单元分布示意图的对比结果，本项目位于</w:t>
            </w:r>
            <w:r>
              <w:rPr>
                <w:rFonts w:hint="eastAsia"/>
                <w:color w:val="auto"/>
                <w:kern w:val="2"/>
                <w:sz w:val="24"/>
                <w:szCs w:val="24"/>
                <w:lang w:val="en-US" w:eastAsia="zh-CN"/>
              </w:rPr>
              <w:t>西咸新区</w:t>
            </w:r>
            <w:r>
              <w:rPr>
                <w:color w:val="auto"/>
                <w:kern w:val="2"/>
                <w:sz w:val="24"/>
                <w:szCs w:val="24"/>
              </w:rPr>
              <w:t>重点管控</w:t>
            </w:r>
            <w:r>
              <w:rPr>
                <w:color w:val="auto"/>
                <w:kern w:val="2"/>
                <w:sz w:val="24"/>
                <w:szCs w:val="24"/>
                <w:lang w:val="zh-CN"/>
              </w:rPr>
              <w:t>单元。</w:t>
            </w:r>
          </w:p>
          <w:p w14:paraId="41BEB7F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auto"/>
                <w:kern w:val="0"/>
                <w:sz w:val="24"/>
                <w:szCs w:val="24"/>
                <w:highlight w:val="none"/>
                <w:lang w:val="en-US" w:eastAsia="zh-CN" w:bidi="ar"/>
              </w:rPr>
            </w:pPr>
            <w:r>
              <w:rPr>
                <w:rFonts w:hint="eastAsia" w:ascii="Times New Roman" w:hAnsi="Times New Roman" w:eastAsia="宋体" w:cs="Times New Roman"/>
                <w:b/>
                <w:bCs/>
                <w:color w:val="auto"/>
                <w:kern w:val="0"/>
                <w:sz w:val="24"/>
                <w:szCs w:val="24"/>
                <w:highlight w:val="none"/>
                <w:lang w:val="en-US" w:eastAsia="zh-CN" w:bidi="ar"/>
              </w:rPr>
              <w:t>②</w:t>
            </w:r>
            <w:r>
              <w:rPr>
                <w:rFonts w:hint="eastAsia" w:cs="Times New Roman"/>
                <w:b/>
                <w:bCs/>
                <w:color w:val="auto"/>
                <w:kern w:val="0"/>
                <w:sz w:val="24"/>
                <w:szCs w:val="24"/>
                <w:highlight w:val="none"/>
                <w:lang w:val="en-US" w:eastAsia="zh-CN" w:bidi="ar"/>
              </w:rPr>
              <w:t>“</w:t>
            </w:r>
            <w:r>
              <w:rPr>
                <w:rFonts w:hint="default" w:ascii="Times New Roman" w:hAnsi="Times New Roman" w:eastAsia="宋体" w:cs="Times New Roman"/>
                <w:b/>
                <w:bCs/>
                <w:color w:val="auto"/>
                <w:kern w:val="0"/>
                <w:sz w:val="24"/>
                <w:szCs w:val="24"/>
                <w:highlight w:val="none"/>
                <w:lang w:val="en-US" w:eastAsia="zh-CN" w:bidi="ar"/>
              </w:rPr>
              <w:t>一</w:t>
            </w:r>
            <w:r>
              <w:rPr>
                <w:rFonts w:hint="eastAsia" w:ascii="Times New Roman" w:hAnsi="Times New Roman" w:eastAsia="宋体" w:cs="Times New Roman"/>
                <w:b/>
                <w:bCs/>
                <w:color w:val="auto"/>
                <w:kern w:val="0"/>
                <w:sz w:val="24"/>
                <w:szCs w:val="24"/>
                <w:highlight w:val="none"/>
                <w:lang w:val="en-US" w:eastAsia="zh-CN" w:bidi="ar"/>
              </w:rPr>
              <w:t>表</w:t>
            </w:r>
            <w:r>
              <w:rPr>
                <w:rFonts w:hint="eastAsia" w:cs="Times New Roman"/>
                <w:b/>
                <w:bCs/>
                <w:color w:val="auto"/>
                <w:kern w:val="0"/>
                <w:sz w:val="24"/>
                <w:szCs w:val="24"/>
                <w:highlight w:val="none"/>
                <w:lang w:val="en-US" w:eastAsia="zh-CN" w:bidi="ar"/>
              </w:rPr>
              <w:t>”</w:t>
            </w:r>
            <w:r>
              <w:rPr>
                <w:rFonts w:hint="eastAsia" w:ascii="Times New Roman" w:hAnsi="Times New Roman" w:eastAsia="宋体" w:cs="Times New Roman"/>
                <w:b/>
                <w:bCs/>
                <w:color w:val="auto"/>
                <w:kern w:val="0"/>
                <w:sz w:val="24"/>
                <w:szCs w:val="24"/>
                <w:highlight w:val="none"/>
                <w:lang w:val="en-US" w:eastAsia="zh-CN" w:bidi="ar"/>
              </w:rPr>
              <w:t>：指的是项目或规划范围涉及生态环境管控单元准入清单。</w:t>
            </w:r>
          </w:p>
          <w:p w14:paraId="21972C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bidi="ar"/>
              </w:rPr>
              <w:t>本项目位于重点管控单元，项目与</w:t>
            </w:r>
            <w:r>
              <w:rPr>
                <w:rFonts w:hint="eastAsia"/>
                <w:color w:val="auto"/>
                <w:kern w:val="0"/>
                <w:sz w:val="24"/>
                <w:highlight w:val="none"/>
                <w:lang w:bidi="ar"/>
              </w:rPr>
              <w:t>陕西省“三线一单 ”生态环境管控单元对照分析报告</w:t>
            </w:r>
            <w:r>
              <w:rPr>
                <w:rFonts w:hint="eastAsia" w:ascii="Times New Roman" w:hAnsi="Times New Roman" w:eastAsia="宋体" w:cs="Times New Roman"/>
                <w:color w:val="auto"/>
                <w:kern w:val="0"/>
                <w:sz w:val="24"/>
                <w:highlight w:val="none"/>
                <w:lang w:val="en-US" w:eastAsia="zh-CN" w:bidi="ar"/>
              </w:rPr>
              <w:t>符合性分析</w:t>
            </w:r>
            <w:r>
              <w:rPr>
                <w:rFonts w:hint="eastAsia" w:ascii="Times New Roman" w:hAnsi="Times New Roman" w:eastAsia="宋体" w:cs="Times New Roman"/>
                <w:color w:val="auto"/>
                <w:kern w:val="0"/>
                <w:sz w:val="24"/>
                <w:szCs w:val="24"/>
                <w:highlight w:val="none"/>
                <w:lang w:val="en-US" w:eastAsia="zh-CN" w:bidi="ar"/>
              </w:rPr>
              <w:t>见表1-2与表1-3。</w:t>
            </w:r>
          </w:p>
        </w:tc>
      </w:tr>
    </w:tbl>
    <w:p w14:paraId="52356971">
      <w:pPr>
        <w:spacing w:line="360" w:lineRule="auto"/>
        <w:outlineLvl w:val="0"/>
        <w:rPr>
          <w:rFonts w:eastAsia="黑体"/>
          <w:color w:val="auto"/>
          <w:sz w:val="30"/>
          <w:highlight w:val="none"/>
        </w:rPr>
        <w:sectPr>
          <w:footerReference r:id="rId6" w:type="default"/>
          <w:pgSz w:w="11906" w:h="16838"/>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tbl>
      <w:tblPr>
        <w:tblStyle w:val="31"/>
        <w:tblW w:w="1386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3144"/>
      </w:tblGrid>
      <w:tr w14:paraId="3937B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6" w:hRule="atLeast"/>
          <w:jc w:val="center"/>
        </w:trPr>
        <w:tc>
          <w:tcPr>
            <w:tcW w:w="722" w:type="dxa"/>
            <w:tcBorders>
              <w:tl2br w:val="nil"/>
              <w:tr2bl w:val="nil"/>
            </w:tcBorders>
            <w:noWrap w:val="0"/>
            <w:vAlign w:val="center"/>
          </w:tcPr>
          <w:p w14:paraId="6486BA8B">
            <w:pPr>
              <w:jc w:val="center"/>
              <w:rPr>
                <w:color w:val="auto"/>
                <w:highlight w:val="none"/>
              </w:rPr>
            </w:pPr>
            <w:r>
              <w:rPr>
                <w:rFonts w:hint="eastAsia" w:ascii="Times New Roman" w:hAnsi="Times New Roman" w:cs="宋体"/>
                <w:b/>
                <w:bCs/>
                <w:color w:val="auto"/>
                <w:kern w:val="0"/>
                <w:sz w:val="24"/>
                <w:szCs w:val="24"/>
                <w:highlight w:val="none"/>
                <w:lang w:eastAsia="zh-CN"/>
              </w:rPr>
              <w:t>其他符合性</w:t>
            </w:r>
            <w:r>
              <w:rPr>
                <w:rFonts w:hint="eastAsia" w:ascii="Times New Roman" w:hAnsi="Times New Roman" w:cs="宋体"/>
                <w:b/>
                <w:bCs/>
                <w:color w:val="auto"/>
                <w:kern w:val="0"/>
                <w:sz w:val="24"/>
                <w:szCs w:val="24"/>
                <w:highlight w:val="none"/>
              </w:rPr>
              <w:t>分析</w:t>
            </w:r>
          </w:p>
        </w:tc>
        <w:tc>
          <w:tcPr>
            <w:tcW w:w="13144" w:type="dxa"/>
            <w:tcBorders>
              <w:tl2br w:val="nil"/>
              <w:tr2bl w:val="nil"/>
            </w:tcBorders>
            <w:noWrap w:val="0"/>
            <w:vAlign w:val="center"/>
          </w:tcPr>
          <w:p w14:paraId="6DE1A0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 w:val="24"/>
                <w:szCs w:val="24"/>
                <w:highlight w:val="none"/>
                <w:lang w:val="en-US" w:eastAsia="zh-CN" w:bidi="ar"/>
              </w:rPr>
            </w:pPr>
            <w:r>
              <w:rPr>
                <w:rFonts w:hint="eastAsia"/>
                <w:b/>
                <w:bCs/>
                <w:color w:val="auto"/>
                <w:sz w:val="24"/>
                <w:szCs w:val="32"/>
                <w:highlight w:val="none"/>
              </w:rPr>
              <w:t>表</w:t>
            </w:r>
            <w:r>
              <w:rPr>
                <w:rFonts w:hint="default" w:ascii="Times New Roman" w:hAnsi="Times New Roman" w:cs="Times New Roman"/>
                <w:b/>
                <w:bCs/>
                <w:color w:val="auto"/>
                <w:sz w:val="24"/>
                <w:szCs w:val="32"/>
                <w:highlight w:val="none"/>
              </w:rPr>
              <w:t>1-</w:t>
            </w:r>
            <w:r>
              <w:rPr>
                <w:rFonts w:hint="eastAsia" w:cs="Times New Roman"/>
                <w:b/>
                <w:bCs/>
                <w:color w:val="auto"/>
                <w:sz w:val="24"/>
                <w:szCs w:val="32"/>
                <w:highlight w:val="none"/>
                <w:lang w:val="en-US" w:eastAsia="zh-CN"/>
              </w:rPr>
              <w:t>2</w:t>
            </w:r>
            <w:r>
              <w:rPr>
                <w:rFonts w:hint="eastAsia"/>
                <w:b/>
                <w:bCs/>
                <w:color w:val="auto"/>
                <w:sz w:val="24"/>
                <w:szCs w:val="32"/>
                <w:highlight w:val="none"/>
              </w:rPr>
              <w:t xml:space="preserve">  建设项目与环境管控单元管控要求符合性分析</w:t>
            </w:r>
          </w:p>
          <w:tbl>
            <w:tblPr>
              <w:tblStyle w:val="30"/>
              <w:tblpPr w:leftFromText="180" w:rightFromText="180" w:vertAnchor="text" w:horzAnchor="page" w:tblpX="264" w:tblpY="322"/>
              <w:tblOverlap w:val="never"/>
              <w:tblW w:w="12857" w:type="dxa"/>
              <w:tblInd w:w="-5"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925"/>
              <w:gridCol w:w="1425"/>
              <w:gridCol w:w="1115"/>
              <w:gridCol w:w="5310"/>
              <w:gridCol w:w="3121"/>
              <w:gridCol w:w="961"/>
            </w:tblGrid>
            <w:tr w14:paraId="7500D9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46" w:hRule="atLeast"/>
              </w:trPr>
              <w:tc>
                <w:tcPr>
                  <w:tcW w:w="925" w:type="dxa"/>
                  <w:tcBorders>
                    <w:tl2br w:val="nil"/>
                    <w:tr2bl w:val="nil"/>
                  </w:tcBorders>
                  <w:shd w:val="clear" w:color="auto" w:fill="auto"/>
                  <w:noWrap/>
                  <w:vAlign w:val="center"/>
                </w:tcPr>
                <w:p w14:paraId="3F41B3F2">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p>
                <w:p w14:paraId="73AD8A40">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控单元名称</w:t>
                  </w:r>
                </w:p>
              </w:tc>
              <w:tc>
                <w:tcPr>
                  <w:tcW w:w="1425" w:type="dxa"/>
                  <w:tcBorders>
                    <w:tl2br w:val="nil"/>
                    <w:tr2bl w:val="nil"/>
                  </w:tcBorders>
                  <w:shd w:val="clear" w:color="auto" w:fill="auto"/>
                  <w:noWrap/>
                  <w:vAlign w:val="center"/>
                </w:tcPr>
                <w:p w14:paraId="30D097AF">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单元要素属性</w:t>
                  </w:r>
                </w:p>
              </w:tc>
              <w:tc>
                <w:tcPr>
                  <w:tcW w:w="1115" w:type="dxa"/>
                  <w:tcBorders>
                    <w:tl2br w:val="nil"/>
                    <w:tr2bl w:val="nil"/>
                  </w:tcBorders>
                  <w:shd w:val="clear" w:color="auto" w:fill="auto"/>
                  <w:noWrap/>
                  <w:vAlign w:val="center"/>
                </w:tcPr>
                <w:p w14:paraId="13E58B7E">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管控要求分类</w:t>
                  </w:r>
                </w:p>
              </w:tc>
              <w:tc>
                <w:tcPr>
                  <w:tcW w:w="5310" w:type="dxa"/>
                  <w:tcBorders>
                    <w:tl2br w:val="nil"/>
                    <w:tr2bl w:val="nil"/>
                  </w:tcBorders>
                  <w:shd w:val="clear" w:color="auto" w:fill="auto"/>
                  <w:noWrap/>
                  <w:vAlign w:val="center"/>
                </w:tcPr>
                <w:p w14:paraId="131CE4D8">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管控要求</w:t>
                  </w:r>
                </w:p>
              </w:tc>
              <w:tc>
                <w:tcPr>
                  <w:tcW w:w="3121" w:type="dxa"/>
                  <w:tcBorders>
                    <w:tl2br w:val="nil"/>
                    <w:tr2bl w:val="nil"/>
                  </w:tcBorders>
                  <w:shd w:val="clear" w:color="auto" w:fill="auto"/>
                  <w:noWrap/>
                  <w:vAlign w:val="center"/>
                </w:tcPr>
                <w:p w14:paraId="59B1113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本项目情况</w:t>
                  </w:r>
                </w:p>
              </w:tc>
              <w:tc>
                <w:tcPr>
                  <w:tcW w:w="961" w:type="dxa"/>
                  <w:tcBorders>
                    <w:tl2br w:val="nil"/>
                    <w:tr2bl w:val="nil"/>
                  </w:tcBorders>
                  <w:shd w:val="clear" w:color="auto" w:fill="auto"/>
                  <w:noWrap/>
                  <w:vAlign w:val="center"/>
                </w:tcPr>
                <w:p w14:paraId="7E73CCA7">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符合性</w:t>
                  </w:r>
                </w:p>
              </w:tc>
            </w:tr>
            <w:tr w14:paraId="336D9C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56" w:hRule="atLeast"/>
              </w:trPr>
              <w:tc>
                <w:tcPr>
                  <w:tcW w:w="925" w:type="dxa"/>
                  <w:vMerge w:val="restart"/>
                  <w:tcBorders>
                    <w:tl2br w:val="nil"/>
                    <w:tr2bl w:val="nil"/>
                  </w:tcBorders>
                  <w:shd w:val="clear" w:color="auto" w:fill="auto"/>
                  <w:vAlign w:val="center"/>
                </w:tcPr>
                <w:p w14:paraId="41E324D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陕西省西安市未央区重点管控单元</w:t>
                  </w: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（西咸新区沣东新城）</w:t>
                  </w:r>
                </w:p>
              </w:tc>
              <w:tc>
                <w:tcPr>
                  <w:tcW w:w="1425" w:type="dxa"/>
                  <w:vMerge w:val="restart"/>
                  <w:tcBorders>
                    <w:tl2br w:val="nil"/>
                    <w:tr2bl w:val="nil"/>
                  </w:tcBorders>
                  <w:shd w:val="clear" w:color="auto" w:fill="auto"/>
                  <w:vAlign w:val="center"/>
                </w:tcPr>
                <w:p w14:paraId="20617DC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大气环境受体敏感重点管控区、水环境城镇生活污染重点管控区、高污染燃料禁燃区</w:t>
                  </w:r>
                </w:p>
              </w:tc>
              <w:tc>
                <w:tcPr>
                  <w:tcW w:w="1115" w:type="dxa"/>
                  <w:tcBorders>
                    <w:tl2br w:val="nil"/>
                    <w:tr2bl w:val="nil"/>
                  </w:tcBorders>
                  <w:shd w:val="clear" w:color="auto" w:fill="auto"/>
                  <w:vAlign w:val="center"/>
                </w:tcPr>
                <w:p w14:paraId="2125999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空间布局约束</w:t>
                  </w:r>
                </w:p>
              </w:tc>
              <w:tc>
                <w:tcPr>
                  <w:tcW w:w="5310" w:type="dxa"/>
                  <w:tcBorders>
                    <w:tl2br w:val="nil"/>
                    <w:tr2bl w:val="nil"/>
                  </w:tcBorders>
                  <w:shd w:val="clear" w:color="auto" w:fill="auto"/>
                  <w:vAlign w:val="center"/>
                </w:tcPr>
                <w:p w14:paraId="03CABA15">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大气环境受体敏感重点管控区：</w:t>
                  </w: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严格控制新增《陕西省</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两高</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项目管</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理暂行目录》行业项目（民生等项目除外，后续对</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两高</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范围国家如有</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新规定的，从其规定）。</w:t>
                  </w: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严禁新增钢铁、焦化、水泥熟料、平板玻璃、</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电解铝、氧化铝、煤化工产能。</w:t>
                  </w:r>
                  <w:r>
                    <w:rPr>
                      <w:rFonts w:hint="default" w:ascii="Times New Roman" w:hAnsi="Times New Roman" w:eastAsia="宋体" w:cs="Times New Roman"/>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推动重污染企业搬迁入园或依法关闭。</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水环境城镇生活污染重点管控区：</w:t>
                  </w: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持续推进城中村、老旧城区、城乡</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结合部污水截流、收集和城市雨污管道新建、改建。</w:t>
                  </w:r>
                </w:p>
              </w:tc>
              <w:tc>
                <w:tcPr>
                  <w:tcW w:w="3121" w:type="dxa"/>
                  <w:tcBorders>
                    <w:tl2br w:val="nil"/>
                    <w:tr2bl w:val="nil"/>
                  </w:tcBorders>
                  <w:shd w:val="clear" w:color="auto" w:fill="auto"/>
                  <w:vAlign w:val="center"/>
                </w:tcPr>
                <w:p w14:paraId="6BB4AF09">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本项目</w:t>
                  </w:r>
                  <w:r>
                    <w:rPr>
                      <w:rFonts w:hint="default" w:ascii="Times New Roman" w:hAnsi="Times New Roman" w:eastAsia="宋体" w:cs="Times New Roman"/>
                      <w:i w:val="0"/>
                      <w:iCs w:val="0"/>
                      <w:color w:val="auto"/>
                      <w:kern w:val="0"/>
                      <w:sz w:val="21"/>
                      <w:szCs w:val="21"/>
                      <w:u w:val="none"/>
                      <w:lang w:val="en-US" w:eastAsia="zh-CN" w:bidi="ar"/>
                    </w:rPr>
                    <w:t>属于</w:t>
                  </w:r>
                  <w:r>
                    <w:rPr>
                      <w:rFonts w:hint="default" w:ascii="Times New Roman" w:hAnsi="Times New Roman" w:cs="Times New Roman"/>
                      <w:i w:val="0"/>
                      <w:iCs w:val="0"/>
                      <w:color w:val="auto"/>
                      <w:kern w:val="0"/>
                      <w:sz w:val="21"/>
                      <w:szCs w:val="21"/>
                      <w:u w:val="none"/>
                      <w:lang w:val="en-US" w:eastAsia="zh-CN" w:bidi="ar"/>
                    </w:rPr>
                    <w:t>生物医药行业</w:t>
                  </w:r>
                  <w:r>
                    <w:rPr>
                      <w:rFonts w:hint="default" w:ascii="Times New Roman" w:hAnsi="Times New Roman" w:eastAsia="宋体" w:cs="Times New Roman"/>
                      <w:i w:val="0"/>
                      <w:iCs w:val="0"/>
                      <w:color w:val="auto"/>
                      <w:kern w:val="0"/>
                      <w:sz w:val="21"/>
                      <w:szCs w:val="21"/>
                      <w:u w:val="none"/>
                      <w:lang w:val="en-US" w:eastAsia="zh-CN" w:bidi="ar"/>
                    </w:rPr>
                    <w:t>，不属于“两高”类项目，运营期污染物主要是非甲烷总烃</w:t>
                  </w:r>
                  <w:r>
                    <w:rPr>
                      <w:rFonts w:hint="default" w:ascii="Times New Roman" w:hAnsi="Times New Roman" w:cs="Times New Roman"/>
                      <w:i w:val="0"/>
                      <w:iCs w:val="0"/>
                      <w:color w:val="auto"/>
                      <w:kern w:val="0"/>
                      <w:sz w:val="21"/>
                      <w:szCs w:val="21"/>
                      <w:u w:val="none"/>
                      <w:lang w:val="en-US" w:eastAsia="zh-CN" w:bidi="ar"/>
                    </w:rPr>
                    <w:t>和HCl、NO</w:t>
                  </w:r>
                  <w:r>
                    <w:rPr>
                      <w:rFonts w:hint="default" w:ascii="Times New Roman" w:hAnsi="Times New Roman" w:cs="Times New Roman"/>
                      <w:i w:val="0"/>
                      <w:iCs w:val="0"/>
                      <w:color w:val="auto"/>
                      <w:kern w:val="0"/>
                      <w:sz w:val="21"/>
                      <w:szCs w:val="21"/>
                      <w:u w:val="none"/>
                      <w:vertAlign w:val="subscript"/>
                      <w:lang w:val="en-US" w:eastAsia="zh-CN" w:bidi="ar"/>
                    </w:rPr>
                    <w:t>X</w:t>
                  </w:r>
                  <w:r>
                    <w:rPr>
                      <w:rFonts w:hint="eastAsia" w:ascii="宋体" w:hAnsi="宋体" w:eastAsia="宋体" w:cs="宋体"/>
                      <w:i w:val="0"/>
                      <w:iCs w:val="0"/>
                      <w:color w:val="auto"/>
                      <w:kern w:val="0"/>
                      <w:sz w:val="21"/>
                      <w:szCs w:val="21"/>
                      <w:u w:val="none"/>
                      <w:lang w:val="en-US" w:eastAsia="zh-CN" w:bidi="ar"/>
                    </w:rPr>
                    <w:t>。</w:t>
                  </w:r>
                </w:p>
              </w:tc>
              <w:tc>
                <w:tcPr>
                  <w:tcW w:w="961" w:type="dxa"/>
                  <w:tcBorders>
                    <w:tl2br w:val="nil"/>
                    <w:tr2bl w:val="nil"/>
                  </w:tcBorders>
                  <w:shd w:val="clear" w:color="auto" w:fill="auto"/>
                  <w:noWrap/>
                  <w:vAlign w:val="center"/>
                </w:tcPr>
                <w:p w14:paraId="1D731838">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002624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3" w:hRule="atLeast"/>
              </w:trPr>
              <w:tc>
                <w:tcPr>
                  <w:tcW w:w="925" w:type="dxa"/>
                  <w:vMerge w:val="continue"/>
                  <w:tcBorders>
                    <w:tl2br w:val="nil"/>
                    <w:tr2bl w:val="nil"/>
                  </w:tcBorders>
                  <w:shd w:val="clear" w:color="auto" w:fill="auto"/>
                  <w:vAlign w:val="center"/>
                </w:tcPr>
                <w:p w14:paraId="0F191518">
                  <w:pPr>
                    <w:jc w:val="center"/>
                    <w:rPr>
                      <w:rFonts w:hint="default" w:ascii="Times New Roman" w:hAnsi="Times New Roman" w:eastAsia="宋体" w:cs="Times New Roman"/>
                      <w:i w:val="0"/>
                      <w:iCs w:val="0"/>
                      <w:color w:val="auto"/>
                      <w:sz w:val="21"/>
                      <w:szCs w:val="21"/>
                      <w:u w:val="none"/>
                    </w:rPr>
                  </w:pPr>
                </w:p>
              </w:tc>
              <w:tc>
                <w:tcPr>
                  <w:tcW w:w="1425" w:type="dxa"/>
                  <w:vMerge w:val="continue"/>
                  <w:tcBorders>
                    <w:tl2br w:val="nil"/>
                    <w:tr2bl w:val="nil"/>
                  </w:tcBorders>
                  <w:shd w:val="clear" w:color="auto" w:fill="auto"/>
                  <w:vAlign w:val="center"/>
                </w:tcPr>
                <w:p w14:paraId="22273ACF">
                  <w:pPr>
                    <w:jc w:val="center"/>
                    <w:rPr>
                      <w:rFonts w:hint="default" w:ascii="Times New Roman" w:hAnsi="Times New Roman" w:eastAsia="宋体" w:cs="Times New Roman"/>
                      <w:i w:val="0"/>
                      <w:iCs w:val="0"/>
                      <w:color w:val="auto"/>
                      <w:sz w:val="21"/>
                      <w:szCs w:val="21"/>
                      <w:u w:val="none"/>
                    </w:rPr>
                  </w:pPr>
                </w:p>
              </w:tc>
              <w:tc>
                <w:tcPr>
                  <w:tcW w:w="1115" w:type="dxa"/>
                  <w:tcBorders>
                    <w:tl2br w:val="nil"/>
                    <w:tr2bl w:val="nil"/>
                  </w:tcBorders>
                  <w:shd w:val="clear" w:color="auto" w:fill="auto"/>
                  <w:vAlign w:val="center"/>
                </w:tcPr>
                <w:p w14:paraId="5FD859A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污染</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物排</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放管</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控</w:t>
                  </w:r>
                </w:p>
              </w:tc>
              <w:tc>
                <w:tcPr>
                  <w:tcW w:w="5310" w:type="dxa"/>
                  <w:tcBorders>
                    <w:tl2br w:val="nil"/>
                    <w:tr2bl w:val="nil"/>
                  </w:tcBorders>
                  <w:shd w:val="clear" w:color="auto" w:fill="auto"/>
                  <w:vAlign w:val="center"/>
                </w:tcPr>
                <w:p w14:paraId="4B5092DC">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大气环境受体敏感重点管控区：</w:t>
                  </w: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城市建成区产生油烟的餐饮服务单位</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全部安装油烟净化装置并保持正常运行和定期维护。</w:t>
                  </w: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持续因地制宜实施</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煤改气</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油改气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、电能、地热、生物质等清洁能源取暖措施。</w:t>
                  </w:r>
                  <w:r>
                    <w:rPr>
                      <w:rFonts w:hint="default" w:ascii="Times New Roman" w:hAnsi="Times New Roman" w:eastAsia="宋体" w:cs="Times New Roman"/>
                      <w:i w:val="0"/>
                      <w:iCs w:val="0"/>
                      <w:color w:val="auto"/>
                      <w:kern w:val="0"/>
                      <w:sz w:val="21"/>
                      <w:szCs w:val="21"/>
                      <w:u w:val="none"/>
                      <w:lang w:val="en-US" w:eastAsia="zh-CN" w:bidi="ar"/>
                    </w:rPr>
                    <w:t xml:space="preserve">3. </w:t>
                  </w:r>
                  <w:r>
                    <w:rPr>
                      <w:rFonts w:hint="eastAsia" w:ascii="宋体" w:hAnsi="宋体" w:eastAsia="宋体" w:cs="宋体"/>
                      <w:i w:val="0"/>
                      <w:iCs w:val="0"/>
                      <w:color w:val="auto"/>
                      <w:kern w:val="0"/>
                      <w:sz w:val="21"/>
                      <w:szCs w:val="21"/>
                      <w:u w:val="none"/>
                      <w:lang w:val="en-US" w:eastAsia="zh-CN" w:bidi="ar"/>
                    </w:rPr>
                    <w:t>鼓励将老旧车辆和非道路移动机械替换为清洁能源车辆。推进新能源或清洁能源汽车使用。</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水环境城镇生活污染重点管控区：</w:t>
                  </w: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加强城镇污水</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收集处理设施建设与提标改造。城镇生活污水处理达到《陕西省黄河流</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域污水综合排放标准》（</w:t>
                  </w:r>
                  <w:r>
                    <w:rPr>
                      <w:rFonts w:hint="default" w:ascii="Times New Roman" w:hAnsi="Times New Roman" w:eastAsia="宋体" w:cs="Times New Roman"/>
                      <w:i w:val="0"/>
                      <w:iCs w:val="0"/>
                      <w:color w:val="auto"/>
                      <w:kern w:val="0"/>
                      <w:sz w:val="21"/>
                      <w:szCs w:val="21"/>
                      <w:u w:val="none"/>
                      <w:lang w:val="en-US" w:eastAsia="zh-CN" w:bidi="ar"/>
                    </w:rPr>
                    <w:t>DB61/224-2018</w:t>
                  </w:r>
                  <w:r>
                    <w:rPr>
                      <w:rFonts w:hint="eastAsia" w:ascii="宋体" w:hAnsi="宋体" w:eastAsia="宋体" w:cs="宋体"/>
                      <w:i w:val="0"/>
                      <w:iCs w:val="0"/>
                      <w:color w:val="auto"/>
                      <w:kern w:val="0"/>
                      <w:sz w:val="21"/>
                      <w:szCs w:val="21"/>
                      <w:u w:val="none"/>
                      <w:lang w:val="en-US" w:eastAsia="zh-CN" w:bidi="ar"/>
                    </w:rPr>
                    <w:t>）排放限值要求。</w:t>
                  </w: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城镇新区</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管网建设及老旧城区管网升级改造中实行雨污分流，鼓励推进初期雨水收集、处理和资源化利用，建设人工湿地水质净化工程，对处理达标后</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的尾水进一步净化。</w:t>
                  </w:r>
                  <w:r>
                    <w:rPr>
                      <w:rFonts w:hint="default" w:ascii="Times New Roman" w:hAnsi="Times New Roman" w:eastAsia="宋体" w:cs="Times New Roman"/>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污水处理厂出水用于绿化、农灌等用途的，合理确定管控要求，确保达到相应污水再生利用标准。</w:t>
                  </w:r>
                </w:p>
              </w:tc>
              <w:tc>
                <w:tcPr>
                  <w:tcW w:w="3121" w:type="dxa"/>
                  <w:tcBorders>
                    <w:tl2br w:val="nil"/>
                    <w:tr2bl w:val="nil"/>
                  </w:tcBorders>
                  <w:shd w:val="clear" w:color="auto" w:fill="auto"/>
                  <w:vAlign w:val="center"/>
                </w:tcPr>
                <w:p w14:paraId="3E1DF9F4">
                  <w:pPr>
                    <w:keepNext w:val="0"/>
                    <w:keepLines w:val="0"/>
                    <w:pageBreakBefore w:val="0"/>
                    <w:widowControl w:val="0"/>
                    <w:kinsoku/>
                    <w:wordWrap/>
                    <w:overflowPunct/>
                    <w:topLinePunct w:val="0"/>
                    <w:autoSpaceDE/>
                    <w:autoSpaceDN/>
                    <w:bidi w:val="0"/>
                    <w:adjustRightInd w:val="0"/>
                    <w:snapToGrid w:val="0"/>
                    <w:spacing w:line="240" w:lineRule="auto"/>
                    <w:ind w:left="-63" w:leftChars="-30" w:right="-63" w:rightChars="-3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项目位于大气污染防治重点区域汾渭平原，</w:t>
                  </w:r>
                  <w:r>
                    <w:rPr>
                      <w:rFonts w:hint="default" w:ascii="Times New Roman" w:hAnsi="Times New Roman" w:eastAsia="宋体" w:cs="Times New Roman"/>
                      <w:color w:val="auto"/>
                      <w:kern w:val="2"/>
                      <w:sz w:val="21"/>
                      <w:szCs w:val="21"/>
                      <w:highlight w:val="none"/>
                      <w:lang w:val="en-US" w:eastAsia="zh-CN" w:bidi="ar-SA"/>
                    </w:rPr>
                    <w:t>项目实验操作过程中</w:t>
                  </w:r>
                  <w:r>
                    <w:rPr>
                      <w:rFonts w:hint="eastAsia" w:cs="Times New Roman"/>
                      <w:color w:val="auto"/>
                      <w:kern w:val="2"/>
                      <w:sz w:val="21"/>
                      <w:szCs w:val="21"/>
                      <w:highlight w:val="none"/>
                      <w:lang w:val="en-US" w:eastAsia="zh-CN" w:bidi="ar-SA"/>
                    </w:rPr>
                    <w:t>试剂</w:t>
                  </w:r>
                  <w:r>
                    <w:rPr>
                      <w:rFonts w:hint="default" w:ascii="Times New Roman" w:hAnsi="Times New Roman" w:eastAsia="宋体" w:cs="Times New Roman"/>
                      <w:color w:val="auto"/>
                      <w:kern w:val="2"/>
                      <w:sz w:val="21"/>
                      <w:szCs w:val="21"/>
                      <w:highlight w:val="none"/>
                      <w:lang w:val="en-US" w:eastAsia="zh-CN" w:bidi="ar-SA"/>
                    </w:rPr>
                    <w:t>挥发会产生有机废气</w:t>
                  </w:r>
                  <w:r>
                    <w:rPr>
                      <w:rFonts w:hint="default" w:cs="Times New Roman"/>
                      <w:color w:val="auto"/>
                      <w:kern w:val="2"/>
                      <w:sz w:val="21"/>
                      <w:szCs w:val="21"/>
                      <w:highlight w:val="none"/>
                      <w:lang w:val="en-US" w:eastAsia="zh-CN" w:bidi="ar-SA"/>
                    </w:rPr>
                    <w:t>和酸性废气</w:t>
                  </w:r>
                  <w:r>
                    <w:rPr>
                      <w:rFonts w:hint="default" w:ascii="Times New Roman" w:hAnsi="Times New Roman" w:cs="Times New Roman"/>
                      <w:color w:val="auto"/>
                      <w:kern w:val="2"/>
                      <w:sz w:val="21"/>
                      <w:szCs w:val="21"/>
                      <w:highlight w:val="none"/>
                      <w:lang w:val="en-US" w:eastAsia="zh-CN" w:bidi="ar-SA"/>
                    </w:rPr>
                    <w:t>，</w:t>
                  </w:r>
                  <w:r>
                    <w:rPr>
                      <w:rStyle w:val="93"/>
                      <w:rFonts w:hint="default" w:ascii="Times New Roman" w:hAnsi="Times New Roman" w:cs="Times New Roman"/>
                      <w:color w:val="auto"/>
                      <w:sz w:val="21"/>
                      <w:szCs w:val="21"/>
                      <w:highlight w:val="none"/>
                      <w:lang w:val="en-US" w:eastAsia="zh-CN"/>
                    </w:rPr>
                    <w:t>经通风柜收集后经SDG+</w:t>
                  </w:r>
                  <w:r>
                    <w:rPr>
                      <w:rStyle w:val="93"/>
                      <w:rFonts w:hint="eastAsia" w:ascii="Times New Roman" w:hAnsi="Times New Roman" w:eastAsia="宋体" w:cs="Times New Roman"/>
                      <w:color w:val="auto"/>
                      <w:sz w:val="21"/>
                      <w:szCs w:val="21"/>
                      <w:highlight w:val="none"/>
                      <w:lang w:val="en-US" w:eastAsia="zh-CN"/>
                    </w:rPr>
                    <w:t>活性炭吸附装置处</w:t>
                  </w:r>
                  <w:r>
                    <w:rPr>
                      <w:rStyle w:val="93"/>
                      <w:rFonts w:hint="default" w:ascii="Times New Roman" w:hAnsi="Times New Roman" w:cs="Times New Roman"/>
                      <w:color w:val="auto"/>
                      <w:sz w:val="21"/>
                      <w:szCs w:val="21"/>
                      <w:highlight w:val="none"/>
                      <w:lang w:val="en-US" w:eastAsia="zh-CN"/>
                    </w:rPr>
                    <w:t>理后通过</w:t>
                  </w:r>
                  <w:r>
                    <w:rPr>
                      <w:rStyle w:val="93"/>
                      <w:rFonts w:hint="eastAsia" w:ascii="Times New Roman" w:hAnsi="Times New Roman" w:cs="Times New Roman"/>
                      <w:color w:val="auto"/>
                      <w:sz w:val="21"/>
                      <w:szCs w:val="21"/>
                      <w:highlight w:val="none"/>
                      <w:lang w:val="en-US" w:eastAsia="zh-CN"/>
                    </w:rPr>
                    <w:t>28m</w:t>
                  </w:r>
                  <w:r>
                    <w:rPr>
                      <w:rStyle w:val="93"/>
                      <w:rFonts w:hint="default" w:ascii="Times New Roman" w:hAnsi="Times New Roman" w:cs="Times New Roman"/>
                      <w:color w:val="auto"/>
                      <w:sz w:val="21"/>
                      <w:szCs w:val="21"/>
                      <w:highlight w:val="none"/>
                      <w:lang w:val="en-US" w:eastAsia="zh-CN"/>
                    </w:rPr>
                    <w:t>高排气筒排放</w:t>
                  </w:r>
                  <w:r>
                    <w:rPr>
                      <w:rFonts w:hint="default" w:ascii="Times New Roman" w:hAnsi="Times New Roman" w:eastAsia="宋体" w:cs="Times New Roman"/>
                      <w:color w:val="auto"/>
                      <w:kern w:val="2"/>
                      <w:sz w:val="21"/>
                      <w:szCs w:val="21"/>
                      <w:highlight w:val="none"/>
                      <w:lang w:val="en-US" w:eastAsia="zh-CN" w:bidi="ar-SA"/>
                    </w:rPr>
                    <w:t>，污</w:t>
                  </w:r>
                  <w:r>
                    <w:rPr>
                      <w:rFonts w:hint="eastAsia" w:ascii="Times New Roman" w:hAnsi="Times New Roman" w:eastAsia="宋体" w:cs="Times New Roman"/>
                      <w:color w:val="auto"/>
                      <w:kern w:val="2"/>
                      <w:sz w:val="21"/>
                      <w:szCs w:val="21"/>
                      <w:highlight w:val="none"/>
                      <w:lang w:val="en-US" w:eastAsia="zh-CN" w:bidi="ar-SA"/>
                    </w:rPr>
                    <w:t>染物</w:t>
                  </w:r>
                  <w:r>
                    <w:rPr>
                      <w:rFonts w:hint="eastAsia" w:cs="Times New Roman"/>
                      <w:color w:val="auto"/>
                      <w:kern w:val="2"/>
                      <w:sz w:val="21"/>
                      <w:szCs w:val="21"/>
                      <w:highlight w:val="none"/>
                      <w:lang w:val="en-US" w:eastAsia="zh-CN" w:bidi="ar-SA"/>
                    </w:rPr>
                    <w:t>稳定达标排放</w:t>
                  </w:r>
                </w:p>
                <w:p w14:paraId="13E73F22">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br w:type="textWrapping"/>
                  </w: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本项目实验器具使用有机溶剂清洗产生的清洗废液</w:t>
                  </w:r>
                  <w:r>
                    <w:rPr>
                      <w:rFonts w:hint="eastAsia" w:ascii="宋体" w:hAnsi="宋体" w:cs="宋体"/>
                      <w:i w:val="0"/>
                      <w:iCs w:val="0"/>
                      <w:color w:val="auto"/>
                      <w:kern w:val="0"/>
                      <w:sz w:val="21"/>
                      <w:szCs w:val="21"/>
                      <w:u w:val="none"/>
                      <w:lang w:val="en-US" w:eastAsia="zh-CN" w:bidi="ar"/>
                    </w:rPr>
                    <w:t>和</w:t>
                  </w:r>
                  <w:r>
                    <w:rPr>
                      <w:rFonts w:hint="eastAsia" w:ascii="宋体" w:hAnsi="宋体" w:eastAsia="宋体" w:cs="宋体"/>
                      <w:i w:val="0"/>
                      <w:iCs w:val="0"/>
                      <w:color w:val="auto"/>
                      <w:kern w:val="0"/>
                      <w:sz w:val="21"/>
                      <w:szCs w:val="21"/>
                      <w:u w:val="none"/>
                      <w:lang w:val="en-US" w:eastAsia="zh-CN" w:bidi="ar"/>
                    </w:rPr>
                    <w:t>实验器具第</w:t>
                  </w:r>
                  <w:r>
                    <w:rPr>
                      <w:rFonts w:hint="eastAsia" w:ascii="宋体" w:hAnsi="宋体" w:cs="宋体"/>
                      <w:i w:val="0"/>
                      <w:iCs w:val="0"/>
                      <w:color w:val="auto"/>
                      <w:kern w:val="0"/>
                      <w:sz w:val="21"/>
                      <w:szCs w:val="21"/>
                      <w:u w:val="none"/>
                      <w:lang w:val="en-US" w:eastAsia="zh-CN" w:bidi="ar"/>
                    </w:rPr>
                    <w:t>一、二</w:t>
                  </w:r>
                  <w:r>
                    <w:rPr>
                      <w:rFonts w:hint="eastAsia" w:ascii="宋体" w:hAnsi="宋体" w:eastAsia="宋体" w:cs="宋体"/>
                      <w:i w:val="0"/>
                      <w:iCs w:val="0"/>
                      <w:color w:val="auto"/>
                      <w:kern w:val="0"/>
                      <w:sz w:val="21"/>
                      <w:szCs w:val="21"/>
                      <w:u w:val="none"/>
                      <w:lang w:val="en-US" w:eastAsia="zh-CN" w:bidi="ar"/>
                    </w:rPr>
                    <w:t>次使用自来水清洗</w:t>
                  </w:r>
                  <w:r>
                    <w:rPr>
                      <w:rFonts w:hint="eastAsia" w:ascii="宋体" w:hAnsi="宋体" w:cs="宋体"/>
                      <w:i w:val="0"/>
                      <w:iCs w:val="0"/>
                      <w:color w:val="auto"/>
                      <w:kern w:val="0"/>
                      <w:sz w:val="21"/>
                      <w:szCs w:val="21"/>
                      <w:u w:val="none"/>
                      <w:lang w:val="en-US" w:eastAsia="zh-CN" w:bidi="ar"/>
                    </w:rPr>
                    <w:t>废水作</w:t>
                  </w:r>
                  <w:r>
                    <w:rPr>
                      <w:rFonts w:hint="eastAsia" w:ascii="宋体" w:hAnsi="宋体" w:eastAsia="宋体" w:cs="宋体"/>
                      <w:i w:val="0"/>
                      <w:iCs w:val="0"/>
                      <w:color w:val="auto"/>
                      <w:kern w:val="0"/>
                      <w:sz w:val="21"/>
                      <w:szCs w:val="21"/>
                      <w:u w:val="none"/>
                      <w:lang w:val="en-US" w:eastAsia="zh-CN" w:bidi="ar"/>
                    </w:rPr>
                    <w:t>为危险废物暂存于危废贮存库内，定期交由陕西水发环境有限公司收运处置。第</w:t>
                  </w:r>
                  <w:r>
                    <w:rPr>
                      <w:rFonts w:hint="eastAsia" w:ascii="宋体" w:hAnsi="宋体" w:cs="宋体"/>
                      <w:i w:val="0"/>
                      <w:iCs w:val="0"/>
                      <w:color w:val="auto"/>
                      <w:kern w:val="0"/>
                      <w:sz w:val="21"/>
                      <w:szCs w:val="21"/>
                      <w:u w:val="none"/>
                      <w:lang w:val="en-US" w:eastAsia="zh-CN" w:bidi="ar"/>
                    </w:rPr>
                    <w:t>三、四</w:t>
                  </w:r>
                  <w:r>
                    <w:rPr>
                      <w:rFonts w:hint="eastAsia" w:ascii="宋体" w:hAnsi="宋体" w:eastAsia="宋体" w:cs="宋体"/>
                      <w:i w:val="0"/>
                      <w:iCs w:val="0"/>
                      <w:color w:val="auto"/>
                      <w:kern w:val="0"/>
                      <w:sz w:val="21"/>
                      <w:szCs w:val="21"/>
                      <w:u w:val="none"/>
                      <w:lang w:val="en-US" w:eastAsia="zh-CN" w:bidi="ar"/>
                    </w:rPr>
                    <w:t>次清洗废水和台面、地面清洗废水经现有自建的污水处理间进行预处理，与生活污水一起排入化粪池（依托伟合沣东科技产业园）内，经处理达标后排入市政污水管网，最终进入西安净水处理有限责任公司第六再生水厂进一步处理。</w:t>
                  </w:r>
                </w:p>
              </w:tc>
              <w:tc>
                <w:tcPr>
                  <w:tcW w:w="961" w:type="dxa"/>
                  <w:tcBorders>
                    <w:tl2br w:val="nil"/>
                    <w:tr2bl w:val="nil"/>
                  </w:tcBorders>
                  <w:shd w:val="clear" w:color="auto" w:fill="auto"/>
                  <w:noWrap/>
                  <w:vAlign w:val="center"/>
                </w:tcPr>
                <w:p w14:paraId="11A37944">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61A73E3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98" w:hRule="atLeast"/>
              </w:trPr>
              <w:tc>
                <w:tcPr>
                  <w:tcW w:w="925" w:type="dxa"/>
                  <w:vMerge w:val="continue"/>
                  <w:tcBorders>
                    <w:tl2br w:val="nil"/>
                    <w:tr2bl w:val="nil"/>
                  </w:tcBorders>
                  <w:shd w:val="clear" w:color="auto" w:fill="auto"/>
                  <w:vAlign w:val="center"/>
                </w:tcPr>
                <w:p w14:paraId="2C795114">
                  <w:pPr>
                    <w:jc w:val="center"/>
                    <w:rPr>
                      <w:rFonts w:hint="default" w:ascii="Times New Roman" w:hAnsi="Times New Roman" w:eastAsia="宋体" w:cs="Times New Roman"/>
                      <w:i w:val="0"/>
                      <w:iCs w:val="0"/>
                      <w:color w:val="auto"/>
                      <w:sz w:val="21"/>
                      <w:szCs w:val="21"/>
                      <w:u w:val="none"/>
                    </w:rPr>
                  </w:pPr>
                </w:p>
              </w:tc>
              <w:tc>
                <w:tcPr>
                  <w:tcW w:w="1425" w:type="dxa"/>
                  <w:vMerge w:val="continue"/>
                  <w:tcBorders>
                    <w:tl2br w:val="nil"/>
                    <w:tr2bl w:val="nil"/>
                  </w:tcBorders>
                  <w:shd w:val="clear" w:color="auto" w:fill="auto"/>
                  <w:vAlign w:val="center"/>
                </w:tcPr>
                <w:p w14:paraId="2FF006F1">
                  <w:pPr>
                    <w:jc w:val="center"/>
                    <w:rPr>
                      <w:rFonts w:hint="default" w:ascii="Times New Roman" w:hAnsi="Times New Roman" w:eastAsia="宋体" w:cs="Times New Roman"/>
                      <w:i w:val="0"/>
                      <w:iCs w:val="0"/>
                      <w:color w:val="auto"/>
                      <w:sz w:val="21"/>
                      <w:szCs w:val="21"/>
                      <w:u w:val="none"/>
                    </w:rPr>
                  </w:pPr>
                </w:p>
              </w:tc>
              <w:tc>
                <w:tcPr>
                  <w:tcW w:w="1115" w:type="dxa"/>
                  <w:tcBorders>
                    <w:tl2br w:val="nil"/>
                    <w:tr2bl w:val="nil"/>
                  </w:tcBorders>
                  <w:shd w:val="clear" w:color="auto" w:fill="auto"/>
                  <w:noWrap/>
                  <w:vAlign w:val="center"/>
                </w:tcPr>
                <w:p w14:paraId="50FB84B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资源开发效率要求</w:t>
                  </w:r>
                </w:p>
              </w:tc>
              <w:tc>
                <w:tcPr>
                  <w:tcW w:w="5310" w:type="dxa"/>
                  <w:tcBorders>
                    <w:tl2br w:val="nil"/>
                    <w:tr2bl w:val="nil"/>
                  </w:tcBorders>
                  <w:shd w:val="clear" w:color="auto" w:fill="auto"/>
                  <w:vAlign w:val="center"/>
                </w:tcPr>
                <w:p w14:paraId="106EE0E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高污染燃料禁燃区：</w:t>
                  </w: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禁止销售、使用高污染燃料。禁止新建、扩建燃</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用高污染燃料的设施。已建成的，应当在市人民政府规定的期限内停止</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使用或者改用天然气、页岩气、煤层气、液化石油气、干热岩、电、太</w:t>
                  </w:r>
                  <w:r>
                    <w:rPr>
                      <w:rFonts w:hint="default" w:ascii="Times New Roman" w:hAnsi="Times New Roman" w:eastAsia="宋体" w:cs="Times New Roman"/>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阳能或者其他清洁能源。</w:t>
                  </w: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禁止燃放烟花爆竹。</w:t>
                  </w:r>
                </w:p>
              </w:tc>
              <w:tc>
                <w:tcPr>
                  <w:tcW w:w="3121" w:type="dxa"/>
                  <w:tcBorders>
                    <w:tl2br w:val="nil"/>
                    <w:tr2bl w:val="nil"/>
                  </w:tcBorders>
                  <w:shd w:val="clear" w:color="auto" w:fill="auto"/>
                  <w:noWrap/>
                  <w:vAlign w:val="center"/>
                </w:tcPr>
                <w:p w14:paraId="19B28CDB">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本项目不涉及使用高污染燃料</w:t>
                  </w:r>
                </w:p>
              </w:tc>
              <w:tc>
                <w:tcPr>
                  <w:tcW w:w="961" w:type="dxa"/>
                  <w:tcBorders>
                    <w:tl2br w:val="nil"/>
                    <w:tr2bl w:val="nil"/>
                  </w:tcBorders>
                  <w:shd w:val="clear" w:color="auto" w:fill="auto"/>
                  <w:noWrap/>
                  <w:vAlign w:val="center"/>
                </w:tcPr>
                <w:p w14:paraId="6ECACA8C">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bl>
          <w:p w14:paraId="456EF999">
            <w:pPr>
              <w:rPr>
                <w:rFonts w:hint="eastAsia"/>
                <w:b/>
                <w:bCs/>
                <w:color w:val="auto"/>
                <w:sz w:val="21"/>
                <w:szCs w:val="21"/>
                <w:lang w:val="en-US" w:eastAsia="zh-CN"/>
              </w:rPr>
            </w:pPr>
          </w:p>
          <w:p w14:paraId="743E32AF">
            <w:pPr>
              <w:jc w:val="center"/>
              <w:rPr>
                <w:rFonts w:hint="default"/>
                <w:b/>
                <w:bCs/>
                <w:color w:val="auto"/>
                <w:sz w:val="24"/>
                <w:szCs w:val="24"/>
                <w:lang w:val="en-US" w:eastAsia="zh-CN"/>
              </w:rPr>
            </w:pPr>
            <w:r>
              <w:rPr>
                <w:rFonts w:hint="eastAsia"/>
                <w:b/>
                <w:bCs/>
                <w:color w:val="auto"/>
                <w:sz w:val="24"/>
                <w:szCs w:val="24"/>
                <w:lang w:val="en-US" w:eastAsia="zh-CN"/>
              </w:rPr>
              <w:t>表1-3项目与区域环境管控要求符合性分析</w:t>
            </w:r>
          </w:p>
          <w:p w14:paraId="0549BD70">
            <w:pPr>
              <w:rPr>
                <w:color w:val="auto"/>
              </w:rPr>
            </w:pPr>
          </w:p>
          <w:tbl>
            <w:tblPr>
              <w:tblStyle w:val="30"/>
              <w:tblW w:w="12738" w:type="dxa"/>
              <w:tblInd w:w="-2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00"/>
              <w:gridCol w:w="1035"/>
              <w:gridCol w:w="1455"/>
              <w:gridCol w:w="4365"/>
              <w:gridCol w:w="3731"/>
              <w:gridCol w:w="952"/>
            </w:tblGrid>
            <w:tr w14:paraId="06CE5D7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0" w:hRule="atLeast"/>
              </w:trPr>
              <w:tc>
                <w:tcPr>
                  <w:tcW w:w="1200" w:type="dxa"/>
                  <w:tcBorders>
                    <w:tl2br w:val="nil"/>
                    <w:tr2bl w:val="nil"/>
                  </w:tcBorders>
                  <w:shd w:val="clear" w:color="auto" w:fill="auto"/>
                  <w:noWrap/>
                  <w:vAlign w:val="center"/>
                </w:tcPr>
                <w:p w14:paraId="5ADBC4CE">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区域名称</w:t>
                  </w:r>
                </w:p>
              </w:tc>
              <w:tc>
                <w:tcPr>
                  <w:tcW w:w="1035" w:type="dxa"/>
                  <w:tcBorders>
                    <w:tl2br w:val="nil"/>
                    <w:tr2bl w:val="nil"/>
                  </w:tcBorders>
                  <w:shd w:val="clear" w:color="auto" w:fill="auto"/>
                  <w:noWrap/>
                  <w:vAlign w:val="center"/>
                </w:tcPr>
                <w:p w14:paraId="5971854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省份</w:t>
                  </w:r>
                </w:p>
              </w:tc>
              <w:tc>
                <w:tcPr>
                  <w:tcW w:w="1455" w:type="dxa"/>
                  <w:tcBorders>
                    <w:tl2br w:val="nil"/>
                    <w:tr2bl w:val="nil"/>
                  </w:tcBorders>
                  <w:shd w:val="clear" w:color="auto" w:fill="auto"/>
                  <w:noWrap/>
                  <w:vAlign w:val="center"/>
                </w:tcPr>
                <w:p w14:paraId="5B29358D">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管控类别</w:t>
                  </w:r>
                </w:p>
              </w:tc>
              <w:tc>
                <w:tcPr>
                  <w:tcW w:w="4365" w:type="dxa"/>
                  <w:tcBorders>
                    <w:tl2br w:val="nil"/>
                    <w:tr2bl w:val="nil"/>
                  </w:tcBorders>
                  <w:shd w:val="clear" w:color="auto" w:fill="auto"/>
                  <w:noWrap/>
                  <w:vAlign w:val="center"/>
                </w:tcPr>
                <w:p w14:paraId="2041ECE1">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管控要求</w:t>
                  </w:r>
                </w:p>
              </w:tc>
              <w:tc>
                <w:tcPr>
                  <w:tcW w:w="3731" w:type="dxa"/>
                  <w:tcBorders>
                    <w:tl2br w:val="nil"/>
                    <w:tr2bl w:val="nil"/>
                  </w:tcBorders>
                  <w:shd w:val="clear" w:color="auto" w:fill="auto"/>
                  <w:noWrap/>
                  <w:vAlign w:val="center"/>
                </w:tcPr>
                <w:p w14:paraId="505354A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本项目情况</w:t>
                  </w:r>
                </w:p>
              </w:tc>
              <w:tc>
                <w:tcPr>
                  <w:tcW w:w="952" w:type="dxa"/>
                  <w:tcBorders>
                    <w:tl2br w:val="nil"/>
                    <w:tr2bl w:val="nil"/>
                  </w:tcBorders>
                  <w:shd w:val="clear" w:color="auto" w:fill="auto"/>
                  <w:noWrap/>
                  <w:vAlign w:val="center"/>
                </w:tcPr>
                <w:p w14:paraId="6F0CFD9D">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符合性</w:t>
                  </w:r>
                </w:p>
              </w:tc>
            </w:tr>
            <w:tr w14:paraId="1768065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12" w:hRule="atLeast"/>
              </w:trPr>
              <w:tc>
                <w:tcPr>
                  <w:tcW w:w="1200" w:type="dxa"/>
                  <w:vMerge w:val="restart"/>
                  <w:tcBorders>
                    <w:tl2br w:val="nil"/>
                    <w:tr2bl w:val="nil"/>
                  </w:tcBorders>
                  <w:shd w:val="clear" w:color="auto" w:fill="auto"/>
                  <w:vAlign w:val="center"/>
                </w:tcPr>
                <w:p w14:paraId="40A37F9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省域</w:t>
                  </w:r>
                </w:p>
              </w:tc>
              <w:tc>
                <w:tcPr>
                  <w:tcW w:w="1035" w:type="dxa"/>
                  <w:vMerge w:val="restart"/>
                  <w:tcBorders>
                    <w:tl2br w:val="nil"/>
                    <w:tr2bl w:val="nil"/>
                  </w:tcBorders>
                  <w:shd w:val="clear" w:color="auto" w:fill="auto"/>
                  <w:vAlign w:val="center"/>
                </w:tcPr>
                <w:p w14:paraId="3CA5DAA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陕西省</w:t>
                  </w:r>
                </w:p>
              </w:tc>
              <w:tc>
                <w:tcPr>
                  <w:tcW w:w="1455" w:type="dxa"/>
                  <w:vMerge w:val="restart"/>
                  <w:tcBorders>
                    <w:tl2br w:val="nil"/>
                    <w:tr2bl w:val="nil"/>
                  </w:tcBorders>
                  <w:shd w:val="clear" w:color="auto" w:fill="auto"/>
                  <w:vAlign w:val="center"/>
                </w:tcPr>
                <w:p w14:paraId="5BDCFE5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空间布局约束</w:t>
                  </w:r>
                </w:p>
              </w:tc>
              <w:tc>
                <w:tcPr>
                  <w:tcW w:w="4365" w:type="dxa"/>
                  <w:tcBorders>
                    <w:tl2br w:val="nil"/>
                    <w:tr2bl w:val="nil"/>
                  </w:tcBorders>
                  <w:shd w:val="clear" w:color="auto" w:fill="auto"/>
                  <w:vAlign w:val="center"/>
                </w:tcPr>
                <w:p w14:paraId="7A1C1EED">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执行国家及地方法律法规、规章对国家公园、自然保护区、风景名胜区、世界自然和文化遗产、饮用水水源保护区、生态保护红线、自然公园（森林公园、湿地公园、地质公园、沙漠公园等）、水产种质资源保护区、重要湿地、国家级公益林等保护区域的禁止性和限制性要求。</w:t>
                  </w:r>
                </w:p>
              </w:tc>
              <w:tc>
                <w:tcPr>
                  <w:tcW w:w="3731" w:type="dxa"/>
                  <w:tcBorders>
                    <w:tl2br w:val="nil"/>
                    <w:tr2bl w:val="nil"/>
                  </w:tcBorders>
                  <w:shd w:val="clear" w:color="auto" w:fill="auto"/>
                  <w:vAlign w:val="center"/>
                </w:tcPr>
                <w:p w14:paraId="51ECD3C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本项目不涉及国家公园、自然保护区、风景名胜区等列明的环境敏感区。</w:t>
                  </w:r>
                </w:p>
              </w:tc>
              <w:tc>
                <w:tcPr>
                  <w:tcW w:w="952" w:type="dxa"/>
                  <w:tcBorders>
                    <w:tl2br w:val="nil"/>
                    <w:tr2bl w:val="nil"/>
                  </w:tcBorders>
                  <w:shd w:val="clear" w:color="auto" w:fill="auto"/>
                  <w:vAlign w:val="center"/>
                </w:tcPr>
                <w:p w14:paraId="5F02185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4F1FC8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13" w:hRule="atLeast"/>
              </w:trPr>
              <w:tc>
                <w:tcPr>
                  <w:tcW w:w="1200" w:type="dxa"/>
                  <w:vMerge w:val="continue"/>
                  <w:tcBorders>
                    <w:tl2br w:val="nil"/>
                    <w:tr2bl w:val="nil"/>
                  </w:tcBorders>
                  <w:shd w:val="clear" w:color="auto" w:fill="auto"/>
                  <w:vAlign w:val="center"/>
                </w:tcPr>
                <w:p w14:paraId="546D687B">
                  <w:pPr>
                    <w:jc w:val="center"/>
                    <w:rPr>
                      <w:rFonts w:hint="eastAsia" w:ascii="宋体" w:hAnsi="宋体" w:eastAsia="宋体" w:cs="宋体"/>
                      <w:i w:val="0"/>
                      <w:iCs w:val="0"/>
                      <w:color w:val="auto"/>
                      <w:sz w:val="21"/>
                      <w:szCs w:val="21"/>
                      <w:u w:val="none"/>
                    </w:rPr>
                  </w:pPr>
                </w:p>
              </w:tc>
              <w:tc>
                <w:tcPr>
                  <w:tcW w:w="1035" w:type="dxa"/>
                  <w:vMerge w:val="continue"/>
                  <w:tcBorders>
                    <w:tl2br w:val="nil"/>
                    <w:tr2bl w:val="nil"/>
                  </w:tcBorders>
                  <w:shd w:val="clear" w:color="auto" w:fill="auto"/>
                  <w:vAlign w:val="center"/>
                </w:tcPr>
                <w:p w14:paraId="78840F38">
                  <w:pPr>
                    <w:jc w:val="center"/>
                    <w:rPr>
                      <w:rFonts w:hint="eastAsia" w:ascii="宋体" w:hAnsi="宋体" w:eastAsia="宋体" w:cs="宋体"/>
                      <w:i w:val="0"/>
                      <w:iCs w:val="0"/>
                      <w:color w:val="auto"/>
                      <w:sz w:val="21"/>
                      <w:szCs w:val="21"/>
                      <w:u w:val="none"/>
                    </w:rPr>
                  </w:pPr>
                </w:p>
              </w:tc>
              <w:tc>
                <w:tcPr>
                  <w:tcW w:w="1455" w:type="dxa"/>
                  <w:vMerge w:val="continue"/>
                  <w:tcBorders>
                    <w:tl2br w:val="nil"/>
                    <w:tr2bl w:val="nil"/>
                  </w:tcBorders>
                  <w:shd w:val="clear" w:color="auto" w:fill="auto"/>
                  <w:vAlign w:val="center"/>
                </w:tcPr>
                <w:p w14:paraId="746F39C7">
                  <w:pPr>
                    <w:jc w:val="center"/>
                    <w:rPr>
                      <w:rFonts w:hint="eastAsia" w:ascii="宋体" w:hAnsi="宋体" w:eastAsia="宋体" w:cs="宋体"/>
                      <w:i w:val="0"/>
                      <w:iCs w:val="0"/>
                      <w:color w:val="auto"/>
                      <w:sz w:val="21"/>
                      <w:szCs w:val="21"/>
                      <w:u w:val="none"/>
                    </w:rPr>
                  </w:pPr>
                </w:p>
              </w:tc>
              <w:tc>
                <w:tcPr>
                  <w:tcW w:w="4365" w:type="dxa"/>
                  <w:tcBorders>
                    <w:tl2br w:val="nil"/>
                    <w:tr2bl w:val="nil"/>
                  </w:tcBorders>
                  <w:shd w:val="clear" w:color="auto" w:fill="auto"/>
                  <w:vAlign w:val="center"/>
                </w:tcPr>
                <w:p w14:paraId="5B7242D4">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执行《市场准入负面清单（</w:t>
                  </w:r>
                  <w:r>
                    <w:rPr>
                      <w:rFonts w:hint="default" w:ascii="Times New Roman" w:hAnsi="Times New Roman" w:eastAsia="宋体" w:cs="Times New Roman"/>
                      <w:i w:val="0"/>
                      <w:iCs w:val="0"/>
                      <w:color w:val="auto"/>
                      <w:kern w:val="0"/>
                      <w:sz w:val="21"/>
                      <w:szCs w:val="21"/>
                      <w:u w:val="none"/>
                      <w:lang w:val="en-US" w:eastAsia="zh-CN" w:bidi="ar"/>
                    </w:rPr>
                    <w:t xml:space="preserve">2022 </w:t>
                  </w:r>
                  <w:r>
                    <w:rPr>
                      <w:rFonts w:hint="eastAsia" w:ascii="宋体" w:hAnsi="宋体" w:eastAsia="宋体" w:cs="宋体"/>
                      <w:i w:val="0"/>
                      <w:iCs w:val="0"/>
                      <w:color w:val="auto"/>
                      <w:kern w:val="0"/>
                      <w:sz w:val="21"/>
                      <w:szCs w:val="21"/>
                      <w:u w:val="none"/>
                      <w:lang w:val="en-US" w:eastAsia="zh-CN" w:bidi="ar"/>
                    </w:rPr>
                    <w:t>年版）》《产业结构调整指导目录（</w:t>
                  </w:r>
                  <w:r>
                    <w:rPr>
                      <w:rFonts w:hint="default" w:ascii="Times New Roman" w:hAnsi="Times New Roman" w:eastAsia="宋体" w:cs="Times New Roman"/>
                      <w:i w:val="0"/>
                      <w:iCs w:val="0"/>
                      <w:color w:val="auto"/>
                      <w:kern w:val="0"/>
                      <w:sz w:val="21"/>
                      <w:szCs w:val="21"/>
                      <w:u w:val="none"/>
                      <w:lang w:val="en-US" w:eastAsia="zh-CN" w:bidi="ar"/>
                    </w:rPr>
                    <w:t xml:space="preserve">2019 </w:t>
                  </w:r>
                  <w:r>
                    <w:rPr>
                      <w:rFonts w:hint="eastAsia" w:ascii="宋体" w:hAnsi="宋体" w:eastAsia="宋体" w:cs="宋体"/>
                      <w:i w:val="0"/>
                      <w:iCs w:val="0"/>
                      <w:color w:val="auto"/>
                      <w:kern w:val="0"/>
                      <w:sz w:val="21"/>
                      <w:szCs w:val="21"/>
                      <w:u w:val="none"/>
                      <w:lang w:val="en-US" w:eastAsia="zh-CN" w:bidi="ar"/>
                    </w:rPr>
                    <w:t>年本）》及《国家发展改革委关于修改</w:t>
                  </w:r>
                  <w:r>
                    <w:rPr>
                      <w:rFonts w:hint="default" w:ascii="Times New Roman" w:hAnsi="Times New Roman" w:eastAsia="宋体" w:cs="Times New Roman"/>
                      <w:i w:val="0"/>
                      <w:iCs w:val="0"/>
                      <w:color w:val="auto"/>
                      <w:kern w:val="0"/>
                      <w:sz w:val="21"/>
                      <w:szCs w:val="21"/>
                      <w:u w:val="none"/>
                      <w:lang w:val="en-US" w:eastAsia="zh-CN" w:bidi="ar"/>
                    </w:rPr>
                    <w:t>&lt;</w:t>
                  </w:r>
                  <w:r>
                    <w:rPr>
                      <w:rFonts w:hint="eastAsia" w:ascii="宋体" w:hAnsi="宋体" w:eastAsia="宋体" w:cs="宋体"/>
                      <w:i w:val="0"/>
                      <w:iCs w:val="0"/>
                      <w:color w:val="auto"/>
                      <w:kern w:val="0"/>
                      <w:sz w:val="21"/>
                      <w:szCs w:val="21"/>
                      <w:u w:val="none"/>
                      <w:lang w:val="en-US" w:eastAsia="zh-CN" w:bidi="ar"/>
                    </w:rPr>
                    <w:t>产业结构调整指导目录（</w:t>
                  </w:r>
                  <w:r>
                    <w:rPr>
                      <w:rFonts w:hint="default" w:ascii="Times New Roman" w:hAnsi="Times New Roman" w:eastAsia="宋体" w:cs="Times New Roman"/>
                      <w:i w:val="0"/>
                      <w:iCs w:val="0"/>
                      <w:color w:val="auto"/>
                      <w:kern w:val="0"/>
                      <w:sz w:val="21"/>
                      <w:szCs w:val="21"/>
                      <w:u w:val="none"/>
                      <w:lang w:val="en-US" w:eastAsia="zh-CN" w:bidi="ar"/>
                    </w:rPr>
                    <w:t xml:space="preserve">2019 </w:t>
                  </w:r>
                  <w:r>
                    <w:rPr>
                      <w:rFonts w:hint="eastAsia" w:ascii="宋体" w:hAnsi="宋体" w:eastAsia="宋体" w:cs="宋体"/>
                      <w:i w:val="0"/>
                      <w:iCs w:val="0"/>
                      <w:color w:val="auto"/>
                      <w:kern w:val="0"/>
                      <w:sz w:val="21"/>
                      <w:szCs w:val="21"/>
                      <w:u w:val="none"/>
                      <w:lang w:val="en-US" w:eastAsia="zh-CN" w:bidi="ar"/>
                    </w:rPr>
                    <w:t>年本）</w:t>
                  </w:r>
                  <w:r>
                    <w:rPr>
                      <w:rFonts w:hint="default" w:ascii="Times New Roman" w:hAnsi="Times New Roman" w:eastAsia="宋体" w:cs="Times New Roman"/>
                      <w:i w:val="0"/>
                      <w:iCs w:val="0"/>
                      <w:color w:val="auto"/>
                      <w:kern w:val="0"/>
                      <w:sz w:val="21"/>
                      <w:szCs w:val="21"/>
                      <w:u w:val="none"/>
                      <w:lang w:val="en-US" w:eastAsia="zh-CN" w:bidi="ar"/>
                    </w:rPr>
                    <w:t>&gt;</w:t>
                  </w:r>
                  <w:r>
                    <w:rPr>
                      <w:rFonts w:hint="eastAsia" w:ascii="宋体" w:hAnsi="宋体" w:eastAsia="宋体" w:cs="宋体"/>
                      <w:i w:val="0"/>
                      <w:iCs w:val="0"/>
                      <w:color w:val="auto"/>
                      <w:kern w:val="0"/>
                      <w:sz w:val="21"/>
                      <w:szCs w:val="21"/>
                      <w:u w:val="none"/>
                      <w:lang w:val="en-US" w:eastAsia="zh-CN" w:bidi="ar"/>
                    </w:rPr>
                    <w:t>的决定》。</w:t>
                  </w:r>
                </w:p>
              </w:tc>
              <w:tc>
                <w:tcPr>
                  <w:tcW w:w="3731" w:type="dxa"/>
                  <w:tcBorders>
                    <w:tl2br w:val="nil"/>
                    <w:tr2bl w:val="nil"/>
                  </w:tcBorders>
                  <w:shd w:val="clear" w:color="auto" w:fill="auto"/>
                  <w:vAlign w:val="center"/>
                </w:tcPr>
                <w:p w14:paraId="6B9F87D9">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对照《市场准入负面清单（</w:t>
                  </w:r>
                  <w:r>
                    <w:rPr>
                      <w:rFonts w:hint="default" w:ascii="Times New Roman" w:hAnsi="Times New Roman" w:eastAsia="宋体" w:cs="Times New Roman"/>
                      <w:i w:val="0"/>
                      <w:iCs w:val="0"/>
                      <w:color w:val="auto"/>
                      <w:kern w:val="0"/>
                      <w:sz w:val="21"/>
                      <w:szCs w:val="21"/>
                      <w:u w:val="none"/>
                      <w:lang w:val="en-US" w:eastAsia="zh-CN" w:bidi="ar"/>
                    </w:rPr>
                    <w:t>202</w:t>
                  </w:r>
                  <w:r>
                    <w:rPr>
                      <w:rFonts w:hint="eastAsia" w:ascii="Times New Roman" w:hAnsi="Times New Roman" w:eastAsia="宋体" w:cs="Times New Roman"/>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年版）》，本项目不属于负面清单中列明的禁止准入类、许可准入类项目。</w:t>
                  </w:r>
                </w:p>
              </w:tc>
              <w:tc>
                <w:tcPr>
                  <w:tcW w:w="952" w:type="dxa"/>
                  <w:tcBorders>
                    <w:tl2br w:val="nil"/>
                    <w:tr2bl w:val="nil"/>
                  </w:tcBorders>
                  <w:shd w:val="clear" w:color="auto" w:fill="auto"/>
                  <w:vAlign w:val="center"/>
                </w:tcPr>
                <w:p w14:paraId="654846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294015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3" w:hRule="atLeast"/>
              </w:trPr>
              <w:tc>
                <w:tcPr>
                  <w:tcW w:w="1200" w:type="dxa"/>
                  <w:vMerge w:val="continue"/>
                  <w:tcBorders>
                    <w:tl2br w:val="nil"/>
                    <w:tr2bl w:val="nil"/>
                  </w:tcBorders>
                  <w:shd w:val="clear" w:color="auto" w:fill="auto"/>
                  <w:vAlign w:val="center"/>
                </w:tcPr>
                <w:p w14:paraId="10776FC9">
                  <w:pPr>
                    <w:jc w:val="center"/>
                    <w:rPr>
                      <w:rFonts w:hint="eastAsia" w:ascii="宋体" w:hAnsi="宋体" w:eastAsia="宋体" w:cs="宋体"/>
                      <w:i w:val="0"/>
                      <w:iCs w:val="0"/>
                      <w:color w:val="auto"/>
                      <w:sz w:val="21"/>
                      <w:szCs w:val="21"/>
                      <w:u w:val="none"/>
                    </w:rPr>
                  </w:pPr>
                </w:p>
              </w:tc>
              <w:tc>
                <w:tcPr>
                  <w:tcW w:w="1035" w:type="dxa"/>
                  <w:vMerge w:val="continue"/>
                  <w:tcBorders>
                    <w:tl2br w:val="nil"/>
                    <w:tr2bl w:val="nil"/>
                  </w:tcBorders>
                  <w:shd w:val="clear" w:color="auto" w:fill="auto"/>
                  <w:vAlign w:val="center"/>
                </w:tcPr>
                <w:p w14:paraId="27797189">
                  <w:pPr>
                    <w:jc w:val="center"/>
                    <w:rPr>
                      <w:rFonts w:hint="eastAsia" w:ascii="宋体" w:hAnsi="宋体" w:eastAsia="宋体" w:cs="宋体"/>
                      <w:i w:val="0"/>
                      <w:iCs w:val="0"/>
                      <w:color w:val="auto"/>
                      <w:sz w:val="21"/>
                      <w:szCs w:val="21"/>
                      <w:u w:val="none"/>
                    </w:rPr>
                  </w:pPr>
                </w:p>
              </w:tc>
              <w:tc>
                <w:tcPr>
                  <w:tcW w:w="1455" w:type="dxa"/>
                  <w:vMerge w:val="continue"/>
                  <w:tcBorders>
                    <w:tl2br w:val="nil"/>
                    <w:tr2bl w:val="nil"/>
                  </w:tcBorders>
                  <w:shd w:val="clear" w:color="auto" w:fill="auto"/>
                  <w:vAlign w:val="center"/>
                </w:tcPr>
                <w:p w14:paraId="37191457">
                  <w:pPr>
                    <w:jc w:val="center"/>
                    <w:rPr>
                      <w:rFonts w:hint="eastAsia" w:ascii="宋体" w:hAnsi="宋体" w:eastAsia="宋体" w:cs="宋体"/>
                      <w:i w:val="0"/>
                      <w:iCs w:val="0"/>
                      <w:color w:val="auto"/>
                      <w:sz w:val="21"/>
                      <w:szCs w:val="21"/>
                      <w:u w:val="none"/>
                    </w:rPr>
                  </w:pPr>
                </w:p>
              </w:tc>
              <w:tc>
                <w:tcPr>
                  <w:tcW w:w="4365" w:type="dxa"/>
                  <w:tcBorders>
                    <w:tl2br w:val="nil"/>
                    <w:tr2bl w:val="nil"/>
                  </w:tcBorders>
                  <w:shd w:val="clear" w:color="auto" w:fill="auto"/>
                  <w:vAlign w:val="center"/>
                </w:tcPr>
                <w:p w14:paraId="098AE982">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严把</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两高</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项目环境准入关。坚决遏制高耗能、高排放项目盲目发展。</w:t>
                  </w:r>
                </w:p>
              </w:tc>
              <w:tc>
                <w:tcPr>
                  <w:tcW w:w="3731" w:type="dxa"/>
                  <w:tcBorders>
                    <w:tl2br w:val="nil"/>
                    <w:tr2bl w:val="nil"/>
                  </w:tcBorders>
                  <w:shd w:val="clear" w:color="auto" w:fill="auto"/>
                  <w:vAlign w:val="center"/>
                </w:tcPr>
                <w:p w14:paraId="14716A87">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本项目不属于</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两高</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项目。</w:t>
                  </w:r>
                </w:p>
              </w:tc>
              <w:tc>
                <w:tcPr>
                  <w:tcW w:w="952" w:type="dxa"/>
                  <w:tcBorders>
                    <w:tl2br w:val="nil"/>
                    <w:tr2bl w:val="nil"/>
                  </w:tcBorders>
                  <w:shd w:val="clear" w:color="auto" w:fill="auto"/>
                  <w:vAlign w:val="center"/>
                </w:tcPr>
                <w:p w14:paraId="393179C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5957AB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09" w:hRule="atLeast"/>
              </w:trPr>
              <w:tc>
                <w:tcPr>
                  <w:tcW w:w="1200" w:type="dxa"/>
                  <w:vMerge w:val="continue"/>
                  <w:tcBorders>
                    <w:tl2br w:val="nil"/>
                    <w:tr2bl w:val="nil"/>
                  </w:tcBorders>
                  <w:shd w:val="clear" w:color="auto" w:fill="auto"/>
                  <w:vAlign w:val="center"/>
                </w:tcPr>
                <w:p w14:paraId="5516D24C">
                  <w:pPr>
                    <w:jc w:val="center"/>
                    <w:rPr>
                      <w:rFonts w:hint="eastAsia" w:ascii="宋体" w:hAnsi="宋体" w:eastAsia="宋体" w:cs="宋体"/>
                      <w:i w:val="0"/>
                      <w:iCs w:val="0"/>
                      <w:color w:val="auto"/>
                      <w:sz w:val="21"/>
                      <w:szCs w:val="21"/>
                      <w:u w:val="none"/>
                    </w:rPr>
                  </w:pPr>
                </w:p>
              </w:tc>
              <w:tc>
                <w:tcPr>
                  <w:tcW w:w="1035" w:type="dxa"/>
                  <w:vMerge w:val="continue"/>
                  <w:tcBorders>
                    <w:tl2br w:val="nil"/>
                    <w:tr2bl w:val="nil"/>
                  </w:tcBorders>
                  <w:shd w:val="clear" w:color="auto" w:fill="auto"/>
                  <w:vAlign w:val="center"/>
                </w:tcPr>
                <w:p w14:paraId="00808E4C">
                  <w:pPr>
                    <w:jc w:val="center"/>
                    <w:rPr>
                      <w:rFonts w:hint="eastAsia" w:ascii="宋体" w:hAnsi="宋体" w:eastAsia="宋体" w:cs="宋体"/>
                      <w:i w:val="0"/>
                      <w:iCs w:val="0"/>
                      <w:color w:val="auto"/>
                      <w:sz w:val="21"/>
                      <w:szCs w:val="21"/>
                      <w:u w:val="none"/>
                    </w:rPr>
                  </w:pPr>
                </w:p>
              </w:tc>
              <w:tc>
                <w:tcPr>
                  <w:tcW w:w="1455" w:type="dxa"/>
                  <w:tcBorders>
                    <w:tl2br w:val="nil"/>
                    <w:tr2bl w:val="nil"/>
                  </w:tcBorders>
                  <w:shd w:val="clear" w:color="auto" w:fill="auto"/>
                  <w:vAlign w:val="center"/>
                </w:tcPr>
                <w:p w14:paraId="38FC618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污染物排放管控</w:t>
                  </w:r>
                </w:p>
              </w:tc>
              <w:tc>
                <w:tcPr>
                  <w:tcW w:w="4365" w:type="dxa"/>
                  <w:tcBorders>
                    <w:tl2br w:val="nil"/>
                    <w:tr2bl w:val="nil"/>
                  </w:tcBorders>
                  <w:shd w:val="clear" w:color="auto" w:fill="auto"/>
                  <w:vAlign w:val="center"/>
                </w:tcPr>
                <w:p w14:paraId="0DBE264D">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全省黄河流域城镇生活污水处理达到《陕西省黄河流域污水综合排放标准》（</w:t>
                  </w:r>
                  <w:r>
                    <w:rPr>
                      <w:rFonts w:hint="default" w:ascii="Times New Roman" w:hAnsi="Times New Roman" w:eastAsia="宋体" w:cs="Times New Roman"/>
                      <w:i w:val="0"/>
                      <w:iCs w:val="0"/>
                      <w:color w:val="auto"/>
                      <w:kern w:val="0"/>
                      <w:sz w:val="21"/>
                      <w:szCs w:val="21"/>
                      <w:u w:val="none"/>
                      <w:lang w:val="en-US" w:eastAsia="zh-CN" w:bidi="ar"/>
                    </w:rPr>
                    <w:t>DB61/224-2018</w:t>
                  </w:r>
                  <w:r>
                    <w:rPr>
                      <w:rFonts w:hint="eastAsia" w:ascii="宋体" w:hAnsi="宋体" w:eastAsia="宋体" w:cs="宋体"/>
                      <w:i w:val="0"/>
                      <w:iCs w:val="0"/>
                      <w:color w:val="auto"/>
                      <w:kern w:val="0"/>
                      <w:sz w:val="21"/>
                      <w:szCs w:val="21"/>
                      <w:u w:val="none"/>
                      <w:lang w:val="en-US" w:eastAsia="zh-CN" w:bidi="ar"/>
                    </w:rPr>
                    <w:t>）排放限值要求。</w:t>
                  </w:r>
                </w:p>
              </w:tc>
              <w:tc>
                <w:tcPr>
                  <w:tcW w:w="3731" w:type="dxa"/>
                  <w:tcBorders>
                    <w:tl2br w:val="nil"/>
                    <w:tr2bl w:val="nil"/>
                  </w:tcBorders>
                  <w:shd w:val="clear" w:color="auto" w:fill="auto"/>
                  <w:vAlign w:val="center"/>
                </w:tcPr>
                <w:p w14:paraId="15D5A4E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cs="宋体"/>
                      <w:color w:val="auto"/>
                      <w:kern w:val="0"/>
                      <w:szCs w:val="21"/>
                      <w:u w:val="none"/>
                      <w:lang w:bidi="ar"/>
                    </w:rPr>
                    <w:t>实验器具的第</w:t>
                  </w:r>
                  <w:r>
                    <w:rPr>
                      <w:rFonts w:hint="eastAsia" w:ascii="宋体" w:hAnsi="宋体" w:cs="宋体"/>
                      <w:color w:val="auto"/>
                      <w:kern w:val="0"/>
                      <w:szCs w:val="21"/>
                      <w:u w:val="none"/>
                      <w:lang w:val="en-US" w:eastAsia="zh-CN" w:bidi="ar"/>
                    </w:rPr>
                    <w:t>一、二</w:t>
                  </w:r>
                  <w:r>
                    <w:rPr>
                      <w:rFonts w:hint="eastAsia" w:ascii="宋体" w:hAnsi="宋体" w:cs="宋体"/>
                      <w:color w:val="auto"/>
                      <w:kern w:val="0"/>
                      <w:szCs w:val="21"/>
                      <w:u w:val="none"/>
                      <w:lang w:bidi="ar"/>
                    </w:rPr>
                    <w:t>次清洗废水作为危废暂存于危废暂存库，定期交于陕西水发环境有限公司处置。实验器皿的第</w:t>
                  </w:r>
                  <w:r>
                    <w:rPr>
                      <w:rFonts w:hint="eastAsia" w:ascii="宋体" w:hAnsi="宋体" w:cs="宋体"/>
                      <w:color w:val="auto"/>
                      <w:kern w:val="0"/>
                      <w:szCs w:val="21"/>
                      <w:u w:val="none"/>
                      <w:lang w:val="en-US" w:eastAsia="zh-CN" w:bidi="ar"/>
                    </w:rPr>
                    <w:t>三、四</w:t>
                  </w:r>
                  <w:r>
                    <w:rPr>
                      <w:rFonts w:hint="eastAsia" w:ascii="宋体" w:hAnsi="宋体" w:cs="宋体"/>
                      <w:color w:val="auto"/>
                      <w:kern w:val="0"/>
                      <w:szCs w:val="21"/>
                      <w:u w:val="none"/>
                      <w:lang w:bidi="ar"/>
                    </w:rPr>
                    <w:t>次清洗废水和台面、地面清洗废水经现有自建的污水处理设施（酸碱中和+絮凝沉淀+光催化反应+微电解反应+电化学氧化+消毒工艺）进行预处理，与现有生活污水一起排入化粪池（依托伟合沣东科技产业园）内，经处理达标后排入市政污水管网，最终进入西安净水处理有限责任公司第六再生水厂进一步处理</w:t>
                  </w:r>
                </w:p>
              </w:tc>
              <w:tc>
                <w:tcPr>
                  <w:tcW w:w="952" w:type="dxa"/>
                  <w:tcBorders>
                    <w:tl2br w:val="nil"/>
                    <w:tr2bl w:val="nil"/>
                  </w:tcBorders>
                  <w:shd w:val="clear" w:color="auto" w:fill="auto"/>
                  <w:vAlign w:val="center"/>
                </w:tcPr>
                <w:p w14:paraId="28F8C18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0B8C40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463" w:hRule="atLeast"/>
              </w:trPr>
              <w:tc>
                <w:tcPr>
                  <w:tcW w:w="1200" w:type="dxa"/>
                  <w:vMerge w:val="continue"/>
                  <w:tcBorders>
                    <w:tl2br w:val="nil"/>
                    <w:tr2bl w:val="nil"/>
                  </w:tcBorders>
                  <w:shd w:val="clear" w:color="auto" w:fill="auto"/>
                  <w:vAlign w:val="center"/>
                </w:tcPr>
                <w:p w14:paraId="0803CFD3">
                  <w:pPr>
                    <w:jc w:val="center"/>
                    <w:rPr>
                      <w:rFonts w:hint="eastAsia" w:ascii="宋体" w:hAnsi="宋体" w:eastAsia="宋体" w:cs="宋体"/>
                      <w:i w:val="0"/>
                      <w:iCs w:val="0"/>
                      <w:color w:val="auto"/>
                      <w:sz w:val="21"/>
                      <w:szCs w:val="21"/>
                      <w:u w:val="none"/>
                    </w:rPr>
                  </w:pPr>
                </w:p>
              </w:tc>
              <w:tc>
                <w:tcPr>
                  <w:tcW w:w="1035" w:type="dxa"/>
                  <w:vMerge w:val="continue"/>
                  <w:tcBorders>
                    <w:tl2br w:val="nil"/>
                    <w:tr2bl w:val="nil"/>
                  </w:tcBorders>
                  <w:shd w:val="clear" w:color="auto" w:fill="auto"/>
                  <w:vAlign w:val="center"/>
                </w:tcPr>
                <w:p w14:paraId="67491E31">
                  <w:pPr>
                    <w:jc w:val="center"/>
                    <w:rPr>
                      <w:rFonts w:hint="eastAsia" w:ascii="宋体" w:hAnsi="宋体" w:eastAsia="宋体" w:cs="宋体"/>
                      <w:i w:val="0"/>
                      <w:iCs w:val="0"/>
                      <w:color w:val="auto"/>
                      <w:sz w:val="21"/>
                      <w:szCs w:val="21"/>
                      <w:u w:val="none"/>
                    </w:rPr>
                  </w:pPr>
                </w:p>
              </w:tc>
              <w:tc>
                <w:tcPr>
                  <w:tcW w:w="1455" w:type="dxa"/>
                  <w:vMerge w:val="restart"/>
                  <w:tcBorders>
                    <w:tl2br w:val="nil"/>
                    <w:tr2bl w:val="nil"/>
                  </w:tcBorders>
                  <w:shd w:val="clear" w:color="auto" w:fill="auto"/>
                  <w:vAlign w:val="center"/>
                </w:tcPr>
                <w:p w14:paraId="118624C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环境风险防控</w:t>
                  </w:r>
                </w:p>
              </w:tc>
              <w:tc>
                <w:tcPr>
                  <w:tcW w:w="4365" w:type="dxa"/>
                  <w:tcBorders>
                    <w:tl2br w:val="nil"/>
                    <w:tr2bl w:val="nil"/>
                  </w:tcBorders>
                  <w:shd w:val="clear" w:color="auto" w:fill="auto"/>
                  <w:vAlign w:val="center"/>
                </w:tcPr>
                <w:p w14:paraId="080AC36A">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将环境风险纳入常态化管理，推进危险废物、重金属及尾矿环境、核与辐射等重点领域环境风险防控，加强新污染物治理，健全环境应急体系，推动环境风险防控由应急管理向全过程管理转变，提升生态环境安全保障水平。</w:t>
                  </w:r>
                </w:p>
              </w:tc>
              <w:tc>
                <w:tcPr>
                  <w:tcW w:w="3731" w:type="dxa"/>
                  <w:tcBorders>
                    <w:tl2br w:val="nil"/>
                    <w:tr2bl w:val="nil"/>
                  </w:tcBorders>
                  <w:shd w:val="clear" w:color="auto" w:fill="auto"/>
                  <w:vAlign w:val="center"/>
                </w:tcPr>
                <w:p w14:paraId="50EEB78D">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cs="宋体"/>
                      <w:color w:val="auto"/>
                      <w:kern w:val="0"/>
                      <w:szCs w:val="21"/>
                      <w:u w:val="none"/>
                      <w:lang w:bidi="ar"/>
                    </w:rPr>
                    <w:t>项目运营过程中涉及二氯甲烷的使用，作为辅助化学合成反应的辅助剂（作为溶剂不参与反应），使用完作为危险废物不外排，委托陕西水发环境有限公司外运处置。同时本次环评将二氯甲烷纳入环境风险评估体系，完善了环境风险预警体系，建议建设单位按环评要求严格落实二氯甲烷在贮存、使用、收集各个环节环境风险防范措施，将其环境风险降至最低</w:t>
                  </w:r>
                  <w:r>
                    <w:rPr>
                      <w:rFonts w:hint="eastAsia" w:ascii="宋体" w:hAnsi="宋体" w:eastAsia="宋体" w:cs="宋体"/>
                      <w:i w:val="0"/>
                      <w:iCs w:val="0"/>
                      <w:color w:val="auto"/>
                      <w:kern w:val="0"/>
                      <w:sz w:val="21"/>
                      <w:szCs w:val="21"/>
                      <w:u w:val="none"/>
                      <w:lang w:val="en-US" w:eastAsia="zh-CN" w:bidi="ar"/>
                    </w:rPr>
                    <w:t>，</w:t>
                  </w:r>
                  <w:r>
                    <w:rPr>
                      <w:rFonts w:hint="eastAsia" w:ascii="宋体" w:hAnsi="宋体" w:cs="宋体"/>
                      <w:i w:val="0"/>
                      <w:iCs w:val="0"/>
                      <w:color w:val="auto"/>
                      <w:kern w:val="0"/>
                      <w:sz w:val="21"/>
                      <w:szCs w:val="21"/>
                      <w:u w:val="none"/>
                      <w:lang w:val="en-US" w:eastAsia="zh-CN" w:bidi="ar"/>
                    </w:rPr>
                    <w:t>有重大变动及时修改</w:t>
                  </w:r>
                  <w:r>
                    <w:rPr>
                      <w:rFonts w:hint="eastAsia" w:ascii="宋体" w:hAnsi="宋体" w:eastAsia="宋体" w:cs="宋体"/>
                      <w:i w:val="0"/>
                      <w:iCs w:val="0"/>
                      <w:color w:val="auto"/>
                      <w:kern w:val="0"/>
                      <w:sz w:val="21"/>
                      <w:szCs w:val="21"/>
                      <w:u w:val="none"/>
                      <w:lang w:val="en-US" w:eastAsia="zh-CN" w:bidi="ar"/>
                    </w:rPr>
                    <w:t>应急预案</w:t>
                  </w:r>
                  <w:r>
                    <w:rPr>
                      <w:rFonts w:hint="eastAsia" w:ascii="宋体" w:hAnsi="宋体" w:cs="宋体"/>
                      <w:i w:val="0"/>
                      <w:iCs w:val="0"/>
                      <w:color w:val="auto"/>
                      <w:kern w:val="0"/>
                      <w:sz w:val="21"/>
                      <w:szCs w:val="21"/>
                      <w:u w:val="none"/>
                      <w:lang w:val="en-US" w:eastAsia="zh-CN" w:bidi="ar"/>
                    </w:rPr>
                    <w:t>并</w:t>
                  </w:r>
                  <w:r>
                    <w:rPr>
                      <w:rFonts w:hint="eastAsia" w:ascii="宋体" w:hAnsi="宋体" w:eastAsia="宋体" w:cs="宋体"/>
                      <w:i w:val="0"/>
                      <w:iCs w:val="0"/>
                      <w:color w:val="auto"/>
                      <w:kern w:val="0"/>
                      <w:sz w:val="21"/>
                      <w:szCs w:val="21"/>
                      <w:u w:val="none"/>
                      <w:lang w:val="en-US" w:eastAsia="zh-CN" w:bidi="ar"/>
                    </w:rPr>
                    <w:t>备案。</w:t>
                  </w:r>
                </w:p>
              </w:tc>
              <w:tc>
                <w:tcPr>
                  <w:tcW w:w="952" w:type="dxa"/>
                  <w:tcBorders>
                    <w:tl2br w:val="nil"/>
                    <w:tr2bl w:val="nil"/>
                  </w:tcBorders>
                  <w:shd w:val="clear" w:color="auto" w:fill="auto"/>
                  <w:vAlign w:val="center"/>
                </w:tcPr>
                <w:p w14:paraId="175C1E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r w14:paraId="6F4CB7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270" w:hRule="atLeast"/>
              </w:trPr>
              <w:tc>
                <w:tcPr>
                  <w:tcW w:w="1200" w:type="dxa"/>
                  <w:vMerge w:val="continue"/>
                  <w:tcBorders>
                    <w:tl2br w:val="nil"/>
                    <w:tr2bl w:val="nil"/>
                  </w:tcBorders>
                  <w:shd w:val="clear" w:color="auto" w:fill="auto"/>
                  <w:vAlign w:val="center"/>
                </w:tcPr>
                <w:p w14:paraId="6596533E">
                  <w:pPr>
                    <w:jc w:val="center"/>
                    <w:rPr>
                      <w:rFonts w:hint="eastAsia" w:ascii="宋体" w:hAnsi="宋体" w:eastAsia="宋体" w:cs="宋体"/>
                      <w:i w:val="0"/>
                      <w:iCs w:val="0"/>
                      <w:color w:val="auto"/>
                      <w:sz w:val="21"/>
                      <w:szCs w:val="21"/>
                      <w:u w:val="none"/>
                    </w:rPr>
                  </w:pPr>
                </w:p>
              </w:tc>
              <w:tc>
                <w:tcPr>
                  <w:tcW w:w="1035" w:type="dxa"/>
                  <w:vMerge w:val="continue"/>
                  <w:tcBorders>
                    <w:tl2br w:val="nil"/>
                    <w:tr2bl w:val="nil"/>
                  </w:tcBorders>
                  <w:shd w:val="clear" w:color="auto" w:fill="auto"/>
                  <w:vAlign w:val="center"/>
                </w:tcPr>
                <w:p w14:paraId="641E8EB8">
                  <w:pPr>
                    <w:jc w:val="center"/>
                    <w:rPr>
                      <w:rFonts w:hint="eastAsia" w:ascii="宋体" w:hAnsi="宋体" w:eastAsia="宋体" w:cs="宋体"/>
                      <w:i w:val="0"/>
                      <w:iCs w:val="0"/>
                      <w:color w:val="auto"/>
                      <w:sz w:val="21"/>
                      <w:szCs w:val="21"/>
                      <w:u w:val="none"/>
                    </w:rPr>
                  </w:pPr>
                </w:p>
              </w:tc>
              <w:tc>
                <w:tcPr>
                  <w:tcW w:w="1455" w:type="dxa"/>
                  <w:vMerge w:val="continue"/>
                  <w:tcBorders>
                    <w:tl2br w:val="nil"/>
                    <w:tr2bl w:val="nil"/>
                  </w:tcBorders>
                  <w:shd w:val="clear" w:color="auto" w:fill="auto"/>
                  <w:vAlign w:val="center"/>
                </w:tcPr>
                <w:p w14:paraId="7D60743A">
                  <w:pPr>
                    <w:jc w:val="center"/>
                    <w:rPr>
                      <w:rFonts w:hint="default" w:ascii="Times New Roman" w:hAnsi="Times New Roman" w:eastAsia="宋体" w:cs="Times New Roman"/>
                      <w:i w:val="0"/>
                      <w:iCs w:val="0"/>
                      <w:color w:val="auto"/>
                      <w:sz w:val="21"/>
                      <w:szCs w:val="21"/>
                      <w:u w:val="none"/>
                    </w:rPr>
                  </w:pPr>
                </w:p>
              </w:tc>
              <w:tc>
                <w:tcPr>
                  <w:tcW w:w="4365" w:type="dxa"/>
                  <w:tcBorders>
                    <w:tl2br w:val="nil"/>
                    <w:tr2bl w:val="nil"/>
                  </w:tcBorders>
                  <w:shd w:val="clear" w:color="auto" w:fill="auto"/>
                  <w:vAlign w:val="center"/>
                </w:tcPr>
                <w:p w14:paraId="4ED88107">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2 </w:t>
                  </w:r>
                  <w:r>
                    <w:rPr>
                      <w:rFonts w:hint="eastAsia" w:ascii="宋体" w:hAnsi="宋体" w:eastAsia="宋体" w:cs="宋体"/>
                      <w:i w:val="0"/>
                      <w:iCs w:val="0"/>
                      <w:color w:val="auto"/>
                      <w:kern w:val="0"/>
                      <w:sz w:val="21"/>
                      <w:szCs w:val="21"/>
                      <w:u w:val="none"/>
                      <w:lang w:val="en-US" w:eastAsia="zh-CN" w:bidi="ar"/>
                    </w:rPr>
                    <w:t>排放《有毒有害水污染物名录》中所列有毒有害水污染物的企事业单位和其他生产经营者，应当对排污口和周边环境进行监测，评估环境风险，排查环境安全隐患，并公开有毒有害水污染物信息，采取有效措施防范环境风险。</w:t>
                  </w:r>
                </w:p>
              </w:tc>
              <w:tc>
                <w:tcPr>
                  <w:tcW w:w="3731" w:type="dxa"/>
                  <w:tcBorders>
                    <w:tl2br w:val="nil"/>
                    <w:tr2bl w:val="nil"/>
                  </w:tcBorders>
                  <w:shd w:val="clear" w:color="auto" w:fill="auto"/>
                  <w:vAlign w:val="center"/>
                </w:tcPr>
                <w:p w14:paraId="1A86786C">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本项目运营期</w:t>
                  </w:r>
                  <w:r>
                    <w:rPr>
                      <w:rFonts w:hint="eastAsia" w:ascii="宋体" w:hAnsi="宋体" w:cs="宋体"/>
                      <w:color w:val="auto"/>
                      <w:kern w:val="0"/>
                      <w:szCs w:val="21"/>
                      <w:u w:val="none"/>
                      <w:lang w:bidi="ar"/>
                    </w:rPr>
                    <w:t>实验</w:t>
                  </w:r>
                  <w:r>
                    <w:rPr>
                      <w:rFonts w:hint="eastAsia" w:ascii="宋体" w:hAnsi="宋体" w:cs="宋体"/>
                      <w:color w:val="auto"/>
                      <w:kern w:val="0"/>
                      <w:szCs w:val="21"/>
                      <w:u w:val="none"/>
                      <w:lang w:val="en-US" w:eastAsia="zh-CN" w:bidi="ar"/>
                    </w:rPr>
                    <w:t>器皿</w:t>
                  </w:r>
                  <w:r>
                    <w:rPr>
                      <w:rFonts w:hint="eastAsia" w:ascii="宋体" w:hAnsi="宋体" w:cs="宋体"/>
                      <w:color w:val="auto"/>
                      <w:kern w:val="0"/>
                      <w:szCs w:val="21"/>
                      <w:u w:val="none"/>
                      <w:lang w:bidi="ar"/>
                    </w:rPr>
                    <w:t>使用有机溶剂清洗产生的清洗废液</w:t>
                  </w:r>
                  <w:r>
                    <w:rPr>
                      <w:rFonts w:hint="eastAsia" w:ascii="宋体" w:hAnsi="宋体" w:cs="宋体"/>
                      <w:color w:val="auto"/>
                      <w:kern w:val="0"/>
                      <w:szCs w:val="21"/>
                      <w:u w:val="none"/>
                      <w:lang w:val="en-US" w:eastAsia="zh-CN" w:bidi="ar"/>
                    </w:rPr>
                    <w:t>和</w:t>
                  </w:r>
                  <w:r>
                    <w:rPr>
                      <w:rFonts w:hint="eastAsia" w:ascii="宋体" w:hAnsi="宋体" w:cs="宋体"/>
                      <w:color w:val="auto"/>
                      <w:kern w:val="0"/>
                      <w:szCs w:val="21"/>
                      <w:u w:val="none"/>
                      <w:lang w:bidi="ar"/>
                    </w:rPr>
                    <w:t>实验器具第</w:t>
                  </w:r>
                  <w:r>
                    <w:rPr>
                      <w:rFonts w:hint="eastAsia" w:ascii="宋体" w:hAnsi="宋体" w:cs="宋体"/>
                      <w:color w:val="auto"/>
                      <w:kern w:val="0"/>
                      <w:szCs w:val="21"/>
                      <w:u w:val="none"/>
                      <w:lang w:val="en-US" w:eastAsia="zh-CN" w:bidi="ar"/>
                    </w:rPr>
                    <w:t>一、二</w:t>
                  </w:r>
                  <w:r>
                    <w:rPr>
                      <w:rFonts w:hint="eastAsia" w:ascii="宋体" w:hAnsi="宋体" w:cs="宋体"/>
                      <w:color w:val="auto"/>
                      <w:kern w:val="0"/>
                      <w:szCs w:val="21"/>
                      <w:u w:val="none"/>
                      <w:lang w:bidi="ar"/>
                    </w:rPr>
                    <w:t>次使用自来水清洗</w:t>
                  </w:r>
                  <w:r>
                    <w:rPr>
                      <w:rFonts w:hint="eastAsia" w:ascii="宋体" w:hAnsi="宋体" w:cs="宋体"/>
                      <w:color w:val="auto"/>
                      <w:kern w:val="0"/>
                      <w:szCs w:val="21"/>
                      <w:u w:val="none"/>
                      <w:lang w:val="en-US" w:eastAsia="zh-CN" w:bidi="ar"/>
                    </w:rPr>
                    <w:t>废水作</w:t>
                  </w:r>
                  <w:r>
                    <w:rPr>
                      <w:rFonts w:hint="eastAsia" w:ascii="宋体" w:hAnsi="宋体" w:cs="宋体"/>
                      <w:color w:val="auto"/>
                      <w:kern w:val="0"/>
                      <w:szCs w:val="21"/>
                      <w:u w:val="none"/>
                      <w:lang w:bidi="ar"/>
                    </w:rPr>
                    <w:t>为危险废物暂存于危废贮存库内，定期交由陕西水发环境有限公司收运处置。第</w:t>
                  </w:r>
                  <w:r>
                    <w:rPr>
                      <w:rFonts w:hint="eastAsia" w:ascii="宋体" w:hAnsi="宋体" w:cs="宋体"/>
                      <w:color w:val="auto"/>
                      <w:kern w:val="0"/>
                      <w:szCs w:val="21"/>
                      <w:u w:val="none"/>
                      <w:lang w:val="en-US" w:eastAsia="zh-CN" w:bidi="ar"/>
                    </w:rPr>
                    <w:t>三、四</w:t>
                  </w:r>
                  <w:r>
                    <w:rPr>
                      <w:rFonts w:hint="eastAsia" w:ascii="宋体" w:hAnsi="宋体" w:cs="宋体"/>
                      <w:color w:val="auto"/>
                      <w:kern w:val="0"/>
                      <w:szCs w:val="21"/>
                      <w:u w:val="none"/>
                      <w:lang w:bidi="ar"/>
                    </w:rPr>
                    <w:t>次清洗废水和台面、地面清洗废水经现有自建的污水处理</w:t>
                  </w:r>
                  <w:r>
                    <w:rPr>
                      <w:rFonts w:hint="eastAsia" w:ascii="宋体" w:hAnsi="宋体" w:cs="宋体"/>
                      <w:color w:val="auto"/>
                      <w:kern w:val="0"/>
                      <w:szCs w:val="21"/>
                      <w:u w:val="none"/>
                      <w:lang w:eastAsia="zh-CN" w:bidi="ar"/>
                    </w:rPr>
                    <w:t>设施</w:t>
                  </w:r>
                  <w:r>
                    <w:rPr>
                      <w:rFonts w:hint="eastAsia" w:ascii="宋体" w:hAnsi="宋体" w:cs="宋体"/>
                      <w:color w:val="auto"/>
                      <w:kern w:val="0"/>
                      <w:szCs w:val="21"/>
                      <w:u w:val="none"/>
                      <w:lang w:bidi="ar"/>
                    </w:rPr>
                    <w:t>（酸碱中和+絮凝沉淀+光催化反应+微电解反应+电化学氧化+消毒工艺）进行预处理，与生活污水一起排入化粪池（依托伟合沣东科技产业园）内，经处理达标后排入市政污水管网，最终进入西安净水处理有限责任公司第六再生水厂进一步处理。</w:t>
                  </w:r>
                  <w:r>
                    <w:rPr>
                      <w:rFonts w:hint="eastAsia" w:ascii="宋体" w:hAnsi="宋体" w:cs="宋体"/>
                      <w:color w:val="auto"/>
                      <w:kern w:val="0"/>
                      <w:szCs w:val="21"/>
                      <w:u w:val="none"/>
                      <w:lang w:val="en-US" w:eastAsia="zh-CN" w:bidi="ar"/>
                    </w:rPr>
                    <w:t>故</w:t>
                  </w:r>
                  <w:r>
                    <w:rPr>
                      <w:rFonts w:hint="eastAsia" w:ascii="宋体" w:hAnsi="宋体" w:eastAsia="宋体" w:cs="宋体"/>
                      <w:i w:val="0"/>
                      <w:iCs w:val="0"/>
                      <w:color w:val="auto"/>
                      <w:kern w:val="0"/>
                      <w:sz w:val="21"/>
                      <w:szCs w:val="21"/>
                      <w:u w:val="none"/>
                      <w:lang w:val="en-US" w:eastAsia="zh-CN" w:bidi="ar"/>
                    </w:rPr>
                    <w:t>本项目不涉及有毒有害水污染物排放，</w:t>
                  </w:r>
                  <w:r>
                    <w:rPr>
                      <w:rFonts w:hint="eastAsia" w:ascii="宋体" w:hAnsi="宋体" w:cs="宋体"/>
                      <w:i w:val="0"/>
                      <w:iCs w:val="0"/>
                      <w:color w:val="auto"/>
                      <w:kern w:val="0"/>
                      <w:sz w:val="21"/>
                      <w:szCs w:val="21"/>
                      <w:u w:val="none"/>
                      <w:lang w:val="en-US" w:eastAsia="zh-CN" w:bidi="ar"/>
                    </w:rPr>
                    <w:t>不属于</w:t>
                  </w:r>
                  <w:r>
                    <w:rPr>
                      <w:rFonts w:hint="eastAsia" w:ascii="宋体" w:hAnsi="宋体" w:eastAsia="宋体" w:cs="宋体"/>
                      <w:i w:val="0"/>
                      <w:iCs w:val="0"/>
                      <w:color w:val="auto"/>
                      <w:kern w:val="0"/>
                      <w:sz w:val="21"/>
                      <w:szCs w:val="21"/>
                      <w:u w:val="none"/>
                      <w:lang w:val="en-US" w:eastAsia="zh-CN" w:bidi="ar"/>
                    </w:rPr>
                    <w:t>排放《有毒有害水污染物名录》中所列有毒有害水污染物的企事业单位和其他生产经营者</w:t>
                  </w:r>
                </w:p>
              </w:tc>
              <w:tc>
                <w:tcPr>
                  <w:tcW w:w="952" w:type="dxa"/>
                  <w:tcBorders>
                    <w:tl2br w:val="nil"/>
                    <w:tr2bl w:val="nil"/>
                  </w:tcBorders>
                  <w:shd w:val="clear" w:color="auto" w:fill="auto"/>
                  <w:vAlign w:val="center"/>
                </w:tcPr>
                <w:p w14:paraId="5C5A148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p>
              </w:tc>
            </w:tr>
          </w:tbl>
          <w:p w14:paraId="087026BD">
            <w:pPr>
              <w:pStyle w:val="3"/>
              <w:rPr>
                <w:color w:val="auto"/>
              </w:rPr>
            </w:pPr>
          </w:p>
        </w:tc>
      </w:tr>
    </w:tbl>
    <w:p w14:paraId="163FFCDA">
      <w:pPr>
        <w:spacing w:line="360" w:lineRule="auto"/>
        <w:outlineLvl w:val="0"/>
        <w:rPr>
          <w:rFonts w:eastAsia="黑体"/>
          <w:color w:val="auto"/>
          <w:sz w:val="30"/>
          <w:highlight w:val="none"/>
        </w:rPr>
        <w:sectPr>
          <w:pgSz w:w="16838" w:h="11906" w:orient="landscape"/>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tbl>
      <w:tblPr>
        <w:tblStyle w:val="31"/>
        <w:tblW w:w="89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5"/>
        <w:gridCol w:w="8341"/>
      </w:tblGrid>
      <w:tr w14:paraId="5647E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186" w:hRule="atLeast"/>
          <w:jc w:val="center"/>
        </w:trPr>
        <w:tc>
          <w:tcPr>
            <w:tcW w:w="595" w:type="dxa"/>
            <w:tcBorders>
              <w:tl2br w:val="nil"/>
              <w:tr2bl w:val="nil"/>
            </w:tcBorders>
            <w:noWrap w:val="0"/>
            <w:vAlign w:val="top"/>
          </w:tcPr>
          <w:p w14:paraId="2E07D340">
            <w:pPr>
              <w:jc w:val="center"/>
              <w:rPr>
                <w:color w:val="auto"/>
                <w:highlight w:val="none"/>
              </w:rPr>
            </w:pPr>
          </w:p>
        </w:tc>
        <w:tc>
          <w:tcPr>
            <w:tcW w:w="8341" w:type="dxa"/>
            <w:tcBorders>
              <w:tl2br w:val="nil"/>
              <w:tr2bl w:val="nil"/>
            </w:tcBorders>
            <w:noWrap w:val="0"/>
            <w:vAlign w:val="top"/>
          </w:tcPr>
          <w:p w14:paraId="24D9591F">
            <w:pPr>
              <w:pStyle w:val="19"/>
              <w:keepNext w:val="0"/>
              <w:keepLines w:val="0"/>
              <w:pageBreakBefore w:val="0"/>
              <w:widowControl w:val="0"/>
              <w:kinsoku/>
              <w:wordWrap/>
              <w:overflowPunct/>
              <w:topLinePunct w:val="0"/>
              <w:autoSpaceDE/>
              <w:autoSpaceDN/>
              <w:bidi w:val="0"/>
              <w:adjustRightInd/>
              <w:snapToGrid w:val="0"/>
              <w:spacing w:before="157" w:beforeLines="50" w:line="360" w:lineRule="auto"/>
              <w:ind w:firstLine="482" w:firstLineChars="200"/>
              <w:jc w:val="both"/>
              <w:textAlignment w:val="auto"/>
              <w:rPr>
                <w:rFonts w:hint="default" w:eastAsia="宋体"/>
                <w:b/>
                <w:bCs/>
                <w:color w:val="auto"/>
                <w:sz w:val="24"/>
                <w:szCs w:val="24"/>
                <w:highlight w:val="none"/>
                <w:lang w:val="en-US" w:eastAsia="zh-CN"/>
              </w:rPr>
            </w:pPr>
            <w:r>
              <w:rPr>
                <w:rFonts w:hint="eastAsia"/>
                <w:b/>
                <w:bCs/>
                <w:color w:val="auto"/>
                <w:sz w:val="24"/>
                <w:szCs w:val="24"/>
                <w:highlight w:val="none"/>
              </w:rPr>
              <w:t>③</w:t>
            </w:r>
            <w:r>
              <w:rPr>
                <w:rFonts w:hint="eastAsia"/>
                <w:b/>
                <w:bCs/>
                <w:color w:val="auto"/>
                <w:sz w:val="24"/>
                <w:szCs w:val="24"/>
                <w:highlight w:val="none"/>
                <w:lang w:eastAsia="zh-CN"/>
              </w:rPr>
              <w:t>“</w:t>
            </w:r>
            <w:r>
              <w:rPr>
                <w:rFonts w:hint="eastAsia"/>
                <w:b/>
                <w:bCs/>
                <w:color w:val="auto"/>
                <w:sz w:val="24"/>
                <w:szCs w:val="24"/>
                <w:highlight w:val="none"/>
              </w:rPr>
              <w:t>一说明</w:t>
            </w:r>
            <w:r>
              <w:rPr>
                <w:rFonts w:hint="eastAsia"/>
                <w:b/>
                <w:bCs/>
                <w:color w:val="auto"/>
                <w:sz w:val="24"/>
                <w:szCs w:val="24"/>
                <w:highlight w:val="none"/>
                <w:lang w:eastAsia="zh-CN"/>
              </w:rPr>
              <w:t>”：</w:t>
            </w:r>
            <w:r>
              <w:rPr>
                <w:rFonts w:hint="eastAsia"/>
                <w:b/>
                <w:bCs/>
                <w:color w:val="auto"/>
                <w:sz w:val="24"/>
                <w:szCs w:val="24"/>
                <w:highlight w:val="none"/>
                <w:lang w:val="en-US" w:eastAsia="zh-CN"/>
              </w:rPr>
              <w:t>指的是依据“一图”和“一表”结果，论证规划或建设项目符合性的说明。</w:t>
            </w:r>
          </w:p>
          <w:p w14:paraId="329287E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kern w:val="0"/>
                <w:sz w:val="24"/>
                <w:highlight w:val="none"/>
              </w:rPr>
            </w:pPr>
            <w:r>
              <w:rPr>
                <w:rFonts w:hint="default" w:ascii="Times New Roman" w:hAnsi="Times New Roman" w:eastAsia="宋体" w:cs="Times New Roman"/>
                <w:color w:val="auto"/>
                <w:kern w:val="0"/>
                <w:sz w:val="24"/>
                <w:szCs w:val="24"/>
                <w:highlight w:val="none"/>
                <w:lang w:val="en-US" w:eastAsia="zh-CN"/>
              </w:rPr>
              <w:t>根据一图一表分析可知，</w:t>
            </w:r>
            <w:r>
              <w:rPr>
                <w:rFonts w:hint="default"/>
                <w:color w:val="auto"/>
                <w:kern w:val="0"/>
                <w:sz w:val="24"/>
                <w:highlight w:val="none"/>
              </w:rPr>
              <w:t>位于陕西省西咸新区</w:t>
            </w:r>
            <w:r>
              <w:rPr>
                <w:rFonts w:hint="eastAsia"/>
                <w:color w:val="auto"/>
                <w:kern w:val="0"/>
                <w:sz w:val="24"/>
                <w:highlight w:val="none"/>
                <w:lang w:val="en-US" w:eastAsia="zh-CN"/>
              </w:rPr>
              <w:t>沣东</w:t>
            </w:r>
            <w:r>
              <w:rPr>
                <w:rFonts w:hint="default"/>
                <w:color w:val="auto"/>
                <w:kern w:val="0"/>
                <w:sz w:val="24"/>
                <w:highlight w:val="none"/>
              </w:rPr>
              <w:t>新城，属于重点管控单元，项目建设满足管控单元在空间布局约束、污染物排放管控等管控维度要求。</w:t>
            </w:r>
          </w:p>
          <w:p w14:paraId="262A189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color w:val="auto"/>
                <w:kern w:val="0"/>
                <w:sz w:val="24"/>
                <w:highlight w:val="none"/>
              </w:rPr>
              <w:t>综上所述，</w:t>
            </w:r>
            <w:r>
              <w:rPr>
                <w:rFonts w:hint="default" w:ascii="Times New Roman" w:hAnsi="Times New Roman" w:eastAsia="宋体" w:cs="Times New Roman"/>
                <w:color w:val="auto"/>
                <w:kern w:val="0"/>
                <w:sz w:val="24"/>
                <w:szCs w:val="24"/>
                <w:highlight w:val="none"/>
                <w:lang w:val="en-US" w:eastAsia="zh-CN"/>
              </w:rPr>
              <w:t>本项目符合</w:t>
            </w:r>
            <w:r>
              <w:rPr>
                <w:rFonts w:hint="eastAsia"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三线一单</w:t>
            </w:r>
            <w:r>
              <w:rPr>
                <w:rFonts w:hint="eastAsia" w:cs="Times New Roman"/>
                <w:color w:val="auto"/>
                <w:kern w:val="0"/>
                <w:sz w:val="24"/>
                <w:szCs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rPr>
              <w:t>管控要求。</w:t>
            </w:r>
          </w:p>
          <w:p w14:paraId="4A076624">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jc w:val="both"/>
              <w:textAlignment w:val="auto"/>
              <w:rPr>
                <w:rFonts w:hint="default" w:ascii="Times New Roman" w:hAnsi="Times New Roman" w:eastAsia="宋体" w:cs="Times New Roman"/>
                <w:b/>
                <w:bCs/>
                <w:color w:val="auto"/>
                <w:kern w:val="0"/>
                <w:sz w:val="24"/>
                <w:szCs w:val="24"/>
                <w:highlight w:val="none"/>
                <w:lang w:val="en-US" w:eastAsia="zh-CN" w:bidi="ar-SA"/>
              </w:rPr>
            </w:pPr>
            <w:r>
              <w:rPr>
                <w:rFonts w:hint="eastAsia" w:cs="Times New Roman"/>
                <w:b/>
                <w:bCs/>
                <w:color w:val="auto"/>
                <w:kern w:val="0"/>
                <w:sz w:val="24"/>
                <w:szCs w:val="24"/>
                <w:highlight w:val="none"/>
                <w:lang w:val="en-US" w:eastAsia="zh-CN" w:bidi="ar-SA"/>
              </w:rPr>
              <w:t>5</w:t>
            </w:r>
            <w:r>
              <w:rPr>
                <w:rFonts w:hint="eastAsia" w:ascii="Times New Roman" w:hAnsi="Times New Roman" w:eastAsia="宋体" w:cs="Times New Roman"/>
                <w:b/>
                <w:bCs/>
                <w:color w:val="auto"/>
                <w:kern w:val="0"/>
                <w:sz w:val="24"/>
                <w:szCs w:val="24"/>
                <w:highlight w:val="none"/>
                <w:lang w:val="en-US" w:eastAsia="zh-CN" w:bidi="ar-SA"/>
              </w:rPr>
              <w:t>.项目选址合理性分析</w:t>
            </w:r>
          </w:p>
          <w:p w14:paraId="02B9924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contextualSpacing/>
              <w:jc w:val="both"/>
              <w:textAlignment w:val="auto"/>
              <w:rPr>
                <w:color w:val="auto"/>
                <w:spacing w:val="-4"/>
                <w:sz w:val="24"/>
                <w:szCs w:val="24"/>
                <w:highlight w:val="none"/>
              </w:rPr>
            </w:pPr>
            <w:r>
              <w:rPr>
                <w:rFonts w:hint="eastAsia" w:cs="Times New Roman"/>
                <w:color w:val="auto"/>
                <w:kern w:val="0"/>
                <w:sz w:val="24"/>
                <w:szCs w:val="24"/>
                <w:highlight w:val="none"/>
                <w:lang w:val="en-US" w:eastAsia="zh-CN"/>
              </w:rPr>
              <w:t>本项目位于伟合</w:t>
            </w:r>
            <w:r>
              <w:rPr>
                <w:rFonts w:hint="eastAsia" w:ascii="Times New Roman" w:hAnsi="Times New Roman" w:eastAsia="宋体" w:cs="Times New Roman"/>
                <w:color w:val="auto"/>
                <w:kern w:val="0"/>
                <w:sz w:val="24"/>
                <w:szCs w:val="24"/>
                <w:highlight w:val="none"/>
                <w:lang w:val="en-US" w:eastAsia="zh-CN"/>
              </w:rPr>
              <w:t>沣东科技产业园，</w:t>
            </w:r>
            <w:r>
              <w:rPr>
                <w:rFonts w:hint="eastAsia"/>
                <w:color w:val="auto"/>
                <w:kern w:val="0"/>
                <w:sz w:val="24"/>
              </w:rPr>
              <w:t>项目评价区不涉及自然保护区、风景名胜区、饮用水水源保护区等需要特殊保护的地区，</w:t>
            </w:r>
            <w:r>
              <w:rPr>
                <w:rFonts w:hint="eastAsia"/>
                <w:color w:val="auto"/>
                <w:sz w:val="24"/>
              </w:rPr>
              <w:t>根</w:t>
            </w:r>
            <w:r>
              <w:rPr>
                <w:rFonts w:hint="eastAsia"/>
                <w:color w:val="auto"/>
                <w:sz w:val="24"/>
                <w:highlight w:val="none"/>
              </w:rPr>
              <w:t>据</w:t>
            </w:r>
            <w:r>
              <w:rPr>
                <w:rFonts w:hint="eastAsia"/>
                <w:color w:val="auto"/>
                <w:sz w:val="24"/>
                <w:highlight w:val="none"/>
                <w:lang w:val="en-US" w:eastAsia="zh-CN"/>
              </w:rPr>
              <w:t>西咸新区详细管控一张图</w:t>
            </w:r>
            <w:r>
              <w:rPr>
                <w:rFonts w:hint="eastAsia"/>
                <w:color w:val="auto"/>
                <w:sz w:val="24"/>
                <w:highlight w:val="none"/>
              </w:rPr>
              <w:t>，项目所在地为工业用地，项目所在地1km范围内土地使用规划为工业用地</w:t>
            </w:r>
            <w:r>
              <w:rPr>
                <w:rFonts w:hint="eastAsia"/>
                <w:color w:val="auto"/>
                <w:sz w:val="24"/>
                <w:highlight w:val="none"/>
                <w:lang w:val="en-US" w:eastAsia="zh-CN"/>
              </w:rPr>
              <w:t>个物流仓储用地</w:t>
            </w:r>
            <w:r>
              <w:rPr>
                <w:rFonts w:hint="eastAsia"/>
                <w:color w:val="auto"/>
                <w:sz w:val="24"/>
                <w:highlight w:val="none"/>
              </w:rPr>
              <w:t>，无居住用地。项目所在</w:t>
            </w:r>
            <w:r>
              <w:rPr>
                <w:rFonts w:hint="eastAsia"/>
                <w:color w:val="auto"/>
                <w:sz w:val="24"/>
                <w:highlight w:val="none"/>
                <w:lang w:val="en-US" w:eastAsia="zh-CN"/>
              </w:rPr>
              <w:t>地理位置见附图1-1，项目所在地用地性质</w:t>
            </w:r>
            <w:r>
              <w:rPr>
                <w:rFonts w:hint="eastAsia"/>
                <w:color w:val="auto"/>
                <w:sz w:val="24"/>
                <w:highlight w:val="none"/>
              </w:rPr>
              <w:t>见附图</w:t>
            </w:r>
            <w:r>
              <w:rPr>
                <w:rFonts w:hint="eastAsia"/>
                <w:color w:val="auto"/>
                <w:sz w:val="24"/>
                <w:highlight w:val="none"/>
                <w:lang w:val="en-US" w:eastAsia="zh-CN"/>
              </w:rPr>
              <w:t>1-2</w:t>
            </w:r>
            <w:r>
              <w:rPr>
                <w:rFonts w:hint="eastAsia"/>
                <w:color w:val="auto"/>
                <w:sz w:val="24"/>
                <w:highlight w:val="none"/>
              </w:rPr>
              <w:t>。</w:t>
            </w:r>
            <w:r>
              <w:rPr>
                <w:rFonts w:hint="eastAsia"/>
                <w:color w:val="auto"/>
                <w:kern w:val="0"/>
                <w:sz w:val="24"/>
                <w:highlight w:val="none"/>
              </w:rPr>
              <w:t>项目运行期产生的噪声、废气</w:t>
            </w:r>
            <w:r>
              <w:rPr>
                <w:rFonts w:hint="eastAsia"/>
                <w:color w:val="auto"/>
                <w:kern w:val="0"/>
                <w:sz w:val="24"/>
                <w:highlight w:val="none"/>
                <w:lang w:eastAsia="zh-CN"/>
              </w:rPr>
              <w:t>、</w:t>
            </w:r>
            <w:r>
              <w:rPr>
                <w:rFonts w:hint="eastAsia"/>
                <w:color w:val="auto"/>
                <w:kern w:val="0"/>
                <w:sz w:val="24"/>
                <w:highlight w:val="none"/>
                <w:lang w:val="en-US" w:eastAsia="zh-CN"/>
              </w:rPr>
              <w:t>废水</w:t>
            </w:r>
            <w:r>
              <w:rPr>
                <w:rFonts w:hint="eastAsia"/>
                <w:color w:val="auto"/>
                <w:kern w:val="0"/>
                <w:sz w:val="24"/>
                <w:highlight w:val="none"/>
              </w:rPr>
              <w:t>采取相应治理措施后能够实现达标排放，对</w:t>
            </w:r>
            <w:r>
              <w:rPr>
                <w:color w:val="auto"/>
                <w:kern w:val="0"/>
                <w:sz w:val="24"/>
                <w:highlight w:val="none"/>
              </w:rPr>
              <w:t>周围环境影响较小</w:t>
            </w:r>
            <w:r>
              <w:rPr>
                <w:rFonts w:hint="eastAsia"/>
                <w:color w:val="auto"/>
                <w:kern w:val="0"/>
                <w:sz w:val="24"/>
                <w:highlight w:val="none"/>
              </w:rPr>
              <w:t>。因此，从环保角度分析，本项目选址合理。</w:t>
            </w:r>
          </w:p>
          <w:p w14:paraId="402B8A41">
            <w:pPr>
              <w:keepNext w:val="0"/>
              <w:keepLines w:val="0"/>
              <w:pageBreakBefore w:val="0"/>
              <w:widowControl w:val="0"/>
              <w:kinsoku/>
              <w:wordWrap/>
              <w:overflowPunct/>
              <w:topLinePunct w:val="0"/>
              <w:autoSpaceDE/>
              <w:autoSpaceDN/>
              <w:bidi w:val="0"/>
              <w:adjustRightInd/>
              <w:snapToGrid/>
              <w:spacing w:before="157" w:beforeLines="50" w:line="360" w:lineRule="auto"/>
              <w:ind w:firstLine="420" w:firstLineChars="200"/>
              <w:jc w:val="both"/>
              <w:textAlignment w:val="auto"/>
              <w:rPr>
                <w:color w:val="auto"/>
                <w:highlight w:val="none"/>
              </w:rPr>
            </w:pPr>
          </w:p>
        </w:tc>
      </w:tr>
    </w:tbl>
    <w:p w14:paraId="3D08257B">
      <w:pPr>
        <w:spacing w:line="360" w:lineRule="auto"/>
        <w:outlineLvl w:val="0"/>
        <w:rPr>
          <w:rFonts w:eastAsia="黑体"/>
          <w:color w:val="auto"/>
          <w:sz w:val="30"/>
          <w:highlight w:val="none"/>
        </w:rPr>
        <w:sectPr>
          <w:pgSz w:w="11906" w:h="16838"/>
          <w:pgMar w:top="1474" w:right="1474" w:bottom="1474" w:left="1474" w:header="851" w:footer="1077" w:gutter="0"/>
          <w:pgBorders>
            <w:top w:val="none" w:sz="0" w:space="0"/>
            <w:left w:val="none" w:sz="0" w:space="0"/>
            <w:bottom w:val="none" w:sz="0" w:space="0"/>
            <w:right w:val="none" w:sz="0" w:space="0"/>
          </w:pgBorders>
          <w:pgNumType w:fmt="numberInDash"/>
          <w:cols w:space="720" w:num="1"/>
          <w:docGrid w:linePitch="312" w:charSpace="0"/>
        </w:sectPr>
      </w:pPr>
    </w:p>
    <w:p w14:paraId="7ADC31EC">
      <w:pPr>
        <w:pStyle w:val="2"/>
        <w:bidi w:val="0"/>
        <w:ind w:left="0" w:leftChars="0" w:firstLine="0" w:firstLineChars="0"/>
        <w:jc w:val="center"/>
        <w:rPr>
          <w:rFonts w:hint="default"/>
          <w:b w:val="0"/>
          <w:bCs w:val="0"/>
          <w:color w:val="auto"/>
          <w:highlight w:val="none"/>
        </w:rPr>
      </w:pPr>
      <w:bookmarkStart w:id="8" w:name="_Toc25661"/>
      <w:bookmarkStart w:id="9" w:name="_Toc22438"/>
      <w:r>
        <w:rPr>
          <w:rFonts w:hint="default"/>
          <w:b w:val="0"/>
          <w:bCs w:val="0"/>
          <w:color w:val="auto"/>
          <w:highlight w:val="none"/>
        </w:rPr>
        <w:t>二、建设项目工程分析</w:t>
      </w:r>
      <w:bookmarkEnd w:id="8"/>
      <w:bookmarkEnd w:id="9"/>
    </w:p>
    <w:tbl>
      <w:tblPr>
        <w:tblStyle w:val="30"/>
        <w:tblW w:w="88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3"/>
        <w:gridCol w:w="8137"/>
      </w:tblGrid>
      <w:tr w14:paraId="1E5F3F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13" w:type="dxa"/>
            <w:noWrap w:val="0"/>
            <w:vAlign w:val="center"/>
          </w:tcPr>
          <w:p w14:paraId="412AB3B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3247593">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2E3422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C9C174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4D9689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83FDAB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509930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84225A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C6F41A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CC6C71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2956C0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7D8E92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D2CD6E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2C7840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F82F87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A544723">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F27B72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0D4D52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8A45E6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B90311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CC44DB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r>
              <w:rPr>
                <w:rFonts w:hint="default" w:ascii="Times New Roman" w:hAnsi="Times New Roman" w:cs="Times New Roman"/>
                <w:b/>
                <w:bCs/>
                <w:color w:val="auto"/>
                <w:szCs w:val="24"/>
                <w:highlight w:val="none"/>
                <w:lang w:val="en-US" w:eastAsia="zh-CN"/>
              </w:rPr>
              <w:t>建设内容</w:t>
            </w:r>
          </w:p>
          <w:p w14:paraId="0F6A2C1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6DEB35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B4D02C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CC531D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91877B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C644AB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DCB56C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BA6DAA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491559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0CC311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BBB91B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58BBEA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0226B0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0A3201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F14AD4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3491DD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081D62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277C09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AACF05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6EC035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8C1E04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B7108E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FA80AE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4204F8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9464D2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B2C6C2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D7233F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24B69A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B695A83">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011593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39E1F8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6904B3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7771BA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8414C3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BCD3BE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E86707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7D390A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F56D73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C3423E3">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BABC11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54FFD0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634FEA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0133DC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08DE4E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6F07AD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154731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r>
              <w:rPr>
                <w:rFonts w:hint="default" w:ascii="Times New Roman" w:hAnsi="Times New Roman" w:cs="Times New Roman"/>
                <w:b/>
                <w:bCs/>
                <w:color w:val="auto"/>
                <w:szCs w:val="24"/>
                <w:highlight w:val="none"/>
                <w:lang w:val="en-US" w:eastAsia="zh-CN"/>
              </w:rPr>
              <w:t>建设内容</w:t>
            </w:r>
          </w:p>
          <w:p w14:paraId="3A645EB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D46F0B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2D9643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5BBF0E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0B1867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13843B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BEFFC1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BEAF08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F7EB8D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A55EA5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E8224D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0E1473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4FAA24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C13885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B59A97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8877FE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0BE7BE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94B572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F7B0C6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5A1CA8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B4E1A4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D65818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D4327F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83193D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744A65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B547F6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776B21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1263DD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F63DC9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9A1111D">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080146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8BEB18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E3CD7E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40C042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3EB4ED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66C6DC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46D1CA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93C44A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338D5D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3D8C76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FFB367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8E9EEE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42FAE2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4D021D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3DC87F0">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F25CC0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67114C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FBDFF0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r>
              <w:rPr>
                <w:rFonts w:hint="default" w:ascii="Times New Roman" w:hAnsi="Times New Roman" w:cs="Times New Roman"/>
                <w:b/>
                <w:bCs/>
                <w:color w:val="auto"/>
                <w:szCs w:val="24"/>
                <w:highlight w:val="none"/>
                <w:lang w:val="en-US" w:eastAsia="zh-CN"/>
              </w:rPr>
              <w:t>建设内容</w:t>
            </w:r>
          </w:p>
          <w:p w14:paraId="775DBBB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F7FA8D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AF9518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2B98E9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88AF09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E06328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5DE19F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26C613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4DD4BA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2E1288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A16F1B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0EEB0D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E9CF4A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3697E5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05EBDD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2317F2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22C4553">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B31513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672511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59937F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7E1838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88AFAD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246CF4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11BE3F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0BEACF9">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B47F685">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F049B3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223614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F1725E4">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1EEC751">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97BFCD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077F613">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AD7B32C">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E454F6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01EC24D">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1268EF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975609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83145A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7EBA270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9FE6F5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859FD9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DFC08D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95098A6">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A03428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794B2A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DA882FD">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105D9C18">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024140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536B0D0A">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2991A26F">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4F73A5B">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010BDA1E">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4925D467">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3D118C22">
            <w:pPr>
              <w:pStyle w:val="26"/>
              <w:adjustRightInd w:val="0"/>
              <w:snapToGrid w:val="0"/>
              <w:spacing w:before="0" w:beforeAutospacing="0" w:after="0" w:afterAutospacing="0"/>
              <w:jc w:val="center"/>
              <w:rPr>
                <w:rFonts w:hint="default" w:ascii="Times New Roman" w:hAnsi="Times New Roman" w:cs="Times New Roman"/>
                <w:b/>
                <w:bCs/>
                <w:color w:val="auto"/>
                <w:szCs w:val="24"/>
                <w:highlight w:val="none"/>
                <w:lang w:val="en-US" w:eastAsia="zh-CN"/>
              </w:rPr>
            </w:pPr>
          </w:p>
          <w:p w14:paraId="63D7EFEB">
            <w:pPr>
              <w:pStyle w:val="26"/>
              <w:adjustRightInd w:val="0"/>
              <w:snapToGrid w:val="0"/>
              <w:spacing w:before="0" w:beforeAutospacing="0" w:after="0" w:afterAutospacing="0"/>
              <w:jc w:val="center"/>
              <w:rPr>
                <w:rFonts w:hint="default" w:ascii="Times New Roman" w:hAnsi="Times New Roman" w:cs="Times New Roman"/>
                <w:color w:val="auto"/>
                <w:szCs w:val="24"/>
                <w:highlight w:val="none"/>
                <w:lang w:val="en-US" w:eastAsia="zh-CN"/>
              </w:rPr>
            </w:pPr>
            <w:r>
              <w:rPr>
                <w:rFonts w:hint="default" w:ascii="Times New Roman" w:hAnsi="Times New Roman" w:cs="Times New Roman"/>
                <w:b/>
                <w:bCs/>
                <w:color w:val="auto"/>
                <w:szCs w:val="24"/>
                <w:highlight w:val="none"/>
                <w:lang w:val="en-US" w:eastAsia="zh-CN"/>
              </w:rPr>
              <w:t>建设内容</w:t>
            </w:r>
          </w:p>
        </w:tc>
        <w:tc>
          <w:tcPr>
            <w:tcW w:w="8137" w:type="dxa"/>
            <w:noWrap w:val="0"/>
            <w:vAlign w:val="top"/>
          </w:tcPr>
          <w:p w14:paraId="56AEDF3B">
            <w:pPr>
              <w:keepNext w:val="0"/>
              <w:keepLines w:val="0"/>
              <w:pageBreakBefore w:val="0"/>
              <w:widowControl w:val="0"/>
              <w:numPr>
                <w:ilvl w:val="0"/>
                <w:numId w:val="2"/>
              </w:numPr>
              <w:kinsoku/>
              <w:wordWrap/>
              <w:overflowPunct/>
              <w:topLinePunct w:val="0"/>
              <w:autoSpaceDE/>
              <w:autoSpaceDN/>
              <w:bidi w:val="0"/>
              <w:adjustRightInd/>
              <w:snapToGrid/>
              <w:spacing w:before="157" w:beforeLines="50" w:line="360" w:lineRule="auto"/>
              <w:textAlignment w:val="auto"/>
              <w:rPr>
                <w:rFonts w:hint="eastAsia" w:eastAsia="宋体"/>
                <w:b/>
                <w:bCs/>
                <w:color w:val="auto"/>
                <w:kern w:val="0"/>
                <w:sz w:val="24"/>
                <w:szCs w:val="22"/>
                <w:highlight w:val="none"/>
                <w:lang w:eastAsia="zh-CN"/>
              </w:rPr>
            </w:pPr>
            <w:r>
              <w:rPr>
                <w:b/>
                <w:bCs/>
                <w:color w:val="auto"/>
                <w:spacing w:val="-7"/>
                <w:sz w:val="24"/>
                <w:szCs w:val="24"/>
                <w:highlight w:val="none"/>
              </w:rPr>
              <w:t>项目由来</w:t>
            </w:r>
          </w:p>
          <w:p w14:paraId="411342C4">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eastAsia" w:ascii="宋体" w:hAnsi="宋体" w:eastAsia="宋体" w:cs="宋体"/>
                <w:color w:val="auto"/>
                <w:spacing w:val="-1"/>
                <w:sz w:val="24"/>
                <w:szCs w:val="24"/>
                <w:highlight w:val="none"/>
              </w:rPr>
            </w:pPr>
            <w:r>
              <w:rPr>
                <w:rFonts w:hint="eastAsia" w:ascii="宋体" w:hAnsi="宋体" w:eastAsia="宋体" w:cs="宋体"/>
                <w:color w:val="auto"/>
                <w:spacing w:val="5"/>
                <w:sz w:val="24"/>
                <w:szCs w:val="24"/>
                <w:highlight w:val="none"/>
              </w:rPr>
              <w:t>陕西君境迈德生物医药科技有限公司是由苏州君境生物医药科技有限公司</w:t>
            </w:r>
            <w:r>
              <w:rPr>
                <w:rFonts w:hint="eastAsia" w:ascii="宋体" w:hAnsi="宋体" w:eastAsia="宋体" w:cs="宋体"/>
                <w:color w:val="auto"/>
                <w:spacing w:val="-1"/>
                <w:sz w:val="24"/>
                <w:szCs w:val="24"/>
                <w:highlight w:val="none"/>
              </w:rPr>
              <w:t>在西安投资设立的全资子公司，是一家以小分子创新药</w:t>
            </w:r>
            <w:r>
              <w:rPr>
                <w:rFonts w:hint="eastAsia" w:ascii="宋体" w:hAnsi="宋体" w:eastAsia="宋体" w:cs="宋体"/>
                <w:color w:val="auto"/>
                <w:spacing w:val="-2"/>
                <w:sz w:val="24"/>
                <w:szCs w:val="24"/>
                <w:highlight w:val="none"/>
              </w:rPr>
              <w:t>物研发为基础的新兴生物</w:t>
            </w:r>
            <w:r>
              <w:rPr>
                <w:rFonts w:hint="eastAsia" w:ascii="宋体" w:hAnsi="宋体" w:eastAsia="宋体" w:cs="宋体"/>
                <w:color w:val="auto"/>
                <w:spacing w:val="-1"/>
                <w:sz w:val="24"/>
                <w:szCs w:val="24"/>
                <w:highlight w:val="none"/>
              </w:rPr>
              <w:t>医药公司，主要从事医药领域的服务型开发及研究服务</w:t>
            </w:r>
            <w:r>
              <w:rPr>
                <w:rFonts w:hint="eastAsia" w:ascii="宋体" w:hAnsi="宋体" w:eastAsia="宋体" w:cs="宋体"/>
                <w:color w:val="auto"/>
                <w:spacing w:val="-2"/>
                <w:sz w:val="24"/>
                <w:szCs w:val="24"/>
                <w:highlight w:val="none"/>
              </w:rPr>
              <w:t>，涉及疾病领域主要包括</w:t>
            </w:r>
            <w:r>
              <w:rPr>
                <w:rFonts w:hint="eastAsia" w:ascii="宋体" w:hAnsi="宋体" w:eastAsia="宋体" w:cs="宋体"/>
                <w:color w:val="auto"/>
                <w:spacing w:val="-1"/>
                <w:sz w:val="24"/>
                <w:szCs w:val="24"/>
                <w:highlight w:val="none"/>
              </w:rPr>
              <w:t>肿瘤和代谢系统疾病。</w:t>
            </w:r>
          </w:p>
          <w:p w14:paraId="072B2D89">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476" w:firstLineChars="200"/>
              <w:jc w:val="both"/>
              <w:textAlignment w:val="auto"/>
              <w:rPr>
                <w:rFonts w:hint="default" w:cs="宋体"/>
                <w:color w:val="0000FF"/>
                <w:spacing w:val="-1"/>
                <w:sz w:val="24"/>
                <w:szCs w:val="24"/>
                <w:highlight w:val="none"/>
                <w:lang w:val="en-US" w:eastAsia="zh-CN"/>
              </w:rPr>
            </w:pPr>
            <w:r>
              <w:rPr>
                <w:rFonts w:hint="eastAsia" w:ascii="宋体" w:hAnsi="宋体" w:eastAsia="宋体" w:cs="宋体"/>
                <w:color w:val="auto"/>
                <w:spacing w:val="-1"/>
                <w:sz w:val="24"/>
                <w:szCs w:val="24"/>
                <w:highlight w:val="none"/>
              </w:rPr>
              <w:t>公司在陕西省西咸新区沣东新城石化</w:t>
            </w:r>
            <w:r>
              <w:rPr>
                <w:rFonts w:hint="eastAsia" w:ascii="宋体" w:hAnsi="宋体" w:eastAsia="宋体" w:cs="宋体"/>
                <w:color w:val="auto"/>
                <w:spacing w:val="2"/>
                <w:sz w:val="24"/>
                <w:szCs w:val="24"/>
                <w:highlight w:val="none"/>
              </w:rPr>
              <w:t>大道西段</w:t>
            </w:r>
            <w:r>
              <w:rPr>
                <w:rFonts w:hint="default" w:ascii="Times New Roman" w:hAnsi="Times New Roman" w:eastAsia="宋体" w:cs="Times New Roman"/>
                <w:color w:val="auto"/>
                <w:spacing w:val="2"/>
                <w:sz w:val="24"/>
                <w:szCs w:val="24"/>
                <w:highlight w:val="none"/>
              </w:rPr>
              <w:t>106</w:t>
            </w:r>
            <w:r>
              <w:rPr>
                <w:rFonts w:hint="eastAsia" w:ascii="宋体" w:hAnsi="宋体" w:eastAsia="宋体" w:cs="宋体"/>
                <w:color w:val="auto"/>
                <w:spacing w:val="1"/>
                <w:sz w:val="24"/>
                <w:szCs w:val="24"/>
                <w:highlight w:val="none"/>
              </w:rPr>
              <w:t>号</w:t>
            </w:r>
            <w:r>
              <w:rPr>
                <w:rFonts w:hint="eastAsia" w:cs="宋体"/>
                <w:color w:val="auto"/>
                <w:spacing w:val="1"/>
                <w:sz w:val="24"/>
                <w:szCs w:val="24"/>
                <w:highlight w:val="none"/>
                <w:lang w:val="en-US" w:eastAsia="zh-CN"/>
              </w:rPr>
              <w:t>伟合</w:t>
            </w:r>
            <w:r>
              <w:rPr>
                <w:rFonts w:hint="eastAsia" w:ascii="宋体" w:hAnsi="宋体" w:eastAsia="宋体" w:cs="宋体"/>
                <w:color w:val="auto"/>
                <w:spacing w:val="1"/>
                <w:sz w:val="24"/>
                <w:szCs w:val="24"/>
                <w:highlight w:val="none"/>
              </w:rPr>
              <w:t>沣东科技产业园</w:t>
            </w:r>
            <w:r>
              <w:rPr>
                <w:rFonts w:hint="default" w:ascii="Times New Roman" w:hAnsi="Times New Roman" w:eastAsia="宋体" w:cs="Times New Roman"/>
                <w:color w:val="auto"/>
                <w:spacing w:val="1"/>
                <w:sz w:val="24"/>
                <w:szCs w:val="24"/>
                <w:highlight w:val="none"/>
              </w:rPr>
              <w:t>36</w:t>
            </w:r>
            <w:r>
              <w:rPr>
                <w:rFonts w:hint="eastAsia" w:ascii="宋体" w:hAnsi="宋体" w:eastAsia="宋体" w:cs="宋体"/>
                <w:color w:val="auto"/>
                <w:spacing w:val="-1"/>
                <w:sz w:val="24"/>
                <w:szCs w:val="24"/>
                <w:highlight w:val="none"/>
              </w:rPr>
              <w:t>号楼</w:t>
            </w:r>
            <w:r>
              <w:rPr>
                <w:rFonts w:hint="default" w:ascii="Times New Roman" w:hAnsi="Times New Roman" w:eastAsia="宋体" w:cs="Times New Roman"/>
                <w:color w:val="auto"/>
                <w:spacing w:val="-1"/>
                <w:sz w:val="24"/>
                <w:szCs w:val="24"/>
                <w:highlight w:val="none"/>
              </w:rPr>
              <w:t>10601</w:t>
            </w:r>
            <w:r>
              <w:rPr>
                <w:rFonts w:hint="eastAsia" w:ascii="宋体" w:hAnsi="宋体" w:eastAsia="宋体" w:cs="宋体"/>
                <w:color w:val="auto"/>
                <w:spacing w:val="-1"/>
                <w:sz w:val="24"/>
                <w:szCs w:val="24"/>
                <w:highlight w:val="none"/>
              </w:rPr>
              <w:t>、</w:t>
            </w:r>
            <w:r>
              <w:rPr>
                <w:rFonts w:hint="default" w:ascii="Times New Roman" w:hAnsi="Times New Roman" w:eastAsia="宋体" w:cs="Times New Roman"/>
                <w:color w:val="auto"/>
                <w:spacing w:val="-1"/>
                <w:sz w:val="24"/>
                <w:szCs w:val="24"/>
                <w:highlight w:val="none"/>
              </w:rPr>
              <w:t>10602</w:t>
            </w:r>
            <w:r>
              <w:rPr>
                <w:rFonts w:hint="eastAsia" w:ascii="宋体" w:hAnsi="宋体" w:eastAsia="宋体" w:cs="宋体"/>
                <w:color w:val="auto"/>
                <w:spacing w:val="-1"/>
                <w:sz w:val="24"/>
                <w:szCs w:val="24"/>
                <w:highlight w:val="none"/>
              </w:rPr>
              <w:t>建设研发实验室项目，主要为国内外客户提供：新药研发</w:t>
            </w:r>
            <w:r>
              <w:rPr>
                <w:rFonts w:hint="eastAsia" w:ascii="宋体" w:hAnsi="宋体" w:eastAsia="宋体" w:cs="宋体"/>
                <w:color w:val="auto"/>
                <w:spacing w:val="-2"/>
                <w:sz w:val="24"/>
                <w:szCs w:val="24"/>
                <w:highlight w:val="none"/>
              </w:rPr>
              <w:t>服务和活性化合物的定制合成、复杂小分子片段的合成</w:t>
            </w:r>
            <w:r>
              <w:rPr>
                <w:rFonts w:hint="eastAsia" w:cs="宋体"/>
                <w:color w:val="auto"/>
                <w:spacing w:val="-2"/>
                <w:sz w:val="24"/>
                <w:szCs w:val="24"/>
                <w:highlight w:val="none"/>
                <w:lang w:val="en-US" w:eastAsia="zh-CN"/>
              </w:rPr>
              <w:t>探试</w:t>
            </w:r>
            <w:r>
              <w:rPr>
                <w:rFonts w:hint="eastAsia" w:ascii="宋体" w:hAnsi="宋体" w:eastAsia="宋体" w:cs="宋体"/>
                <w:color w:val="auto"/>
                <w:spacing w:val="-2"/>
                <w:sz w:val="24"/>
                <w:szCs w:val="24"/>
                <w:highlight w:val="none"/>
              </w:rPr>
              <w:t>研发和工艺研发等具有自主创新性的新药研究开发工作</w:t>
            </w:r>
            <w:r>
              <w:rPr>
                <w:rFonts w:hint="eastAsia" w:cs="宋体"/>
                <w:color w:val="auto"/>
                <w:spacing w:val="-2"/>
                <w:sz w:val="24"/>
                <w:szCs w:val="24"/>
                <w:highlight w:val="none"/>
                <w:lang w:eastAsia="zh-CN"/>
              </w:rPr>
              <w:t>。</w:t>
            </w:r>
            <w:r>
              <w:rPr>
                <w:rFonts w:hint="eastAsia"/>
                <w:color w:val="0000FF"/>
                <w:spacing w:val="-2"/>
                <w:sz w:val="24"/>
                <w:szCs w:val="24"/>
                <w:highlight w:val="none"/>
                <w:lang w:eastAsia="zh-CN"/>
              </w:rPr>
              <w:t>参</w:t>
            </w:r>
            <w:r>
              <w:rPr>
                <w:rFonts w:hint="default" w:ascii="Times New Roman" w:hAnsi="Times New Roman" w:cs="Times New Roman"/>
                <w:color w:val="0000FF"/>
                <w:spacing w:val="-2"/>
                <w:sz w:val="24"/>
                <w:szCs w:val="24"/>
                <w:highlight w:val="none"/>
                <w:lang w:eastAsia="zh-CN"/>
              </w:rPr>
              <w:t>考《成都市医药研发企业安全管理指南（试行）》文件：</w:t>
            </w:r>
            <w:r>
              <w:rPr>
                <w:rFonts w:hint="eastAsia" w:ascii="Times New Roman" w:hAnsi="Times New Roman" w:cs="Times New Roman"/>
                <w:color w:val="0000FF"/>
                <w:spacing w:val="-2"/>
                <w:sz w:val="24"/>
                <w:szCs w:val="24"/>
                <w:highlight w:val="none"/>
                <w:lang w:eastAsia="zh-CN"/>
              </w:rPr>
              <w:t>“</w:t>
            </w:r>
            <w:r>
              <w:rPr>
                <w:rFonts w:hint="default" w:ascii="Times New Roman" w:hAnsi="Times New Roman" w:cs="Times New Roman"/>
                <w:color w:val="0000FF"/>
                <w:spacing w:val="-2"/>
                <w:sz w:val="24"/>
                <w:szCs w:val="24"/>
                <w:highlight w:val="none"/>
                <w:lang w:eastAsia="zh-CN"/>
              </w:rPr>
              <w:t>小试实验室内化学合成反应的单体容器的容积不超过30L</w:t>
            </w:r>
            <w:r>
              <w:rPr>
                <w:rFonts w:hint="eastAsia" w:ascii="Times New Roman" w:hAnsi="Times New Roman" w:cs="Times New Roman"/>
                <w:color w:val="0000FF"/>
                <w:spacing w:val="-2"/>
                <w:sz w:val="24"/>
                <w:szCs w:val="24"/>
                <w:highlight w:val="none"/>
                <w:lang w:eastAsia="zh-CN"/>
              </w:rPr>
              <w:t>”</w:t>
            </w:r>
            <w:r>
              <w:rPr>
                <w:rFonts w:hint="default" w:ascii="Times New Roman" w:hAnsi="Times New Roman" w:cs="Times New Roman"/>
                <w:color w:val="0000FF"/>
                <w:spacing w:val="-2"/>
                <w:sz w:val="24"/>
                <w:szCs w:val="24"/>
                <w:highlight w:val="none"/>
                <w:lang w:eastAsia="zh-CN"/>
              </w:rPr>
              <w:t>，</w:t>
            </w:r>
            <w:r>
              <w:rPr>
                <w:rFonts w:hint="default" w:ascii="Times New Roman" w:hAnsi="Times New Roman" w:cs="Times New Roman"/>
                <w:color w:val="0000FF"/>
                <w:spacing w:val="-2"/>
                <w:sz w:val="24"/>
                <w:szCs w:val="24"/>
                <w:highlight w:val="none"/>
                <w:lang w:val="en-US" w:eastAsia="zh-CN"/>
              </w:rPr>
              <w:t>本项目主要涉及反应有化学合成、过滤、萃取、结晶等。其中化学合成所用的反应釜容积分别为10L和20L</w:t>
            </w:r>
            <w:r>
              <w:rPr>
                <w:rFonts w:hint="eastAsia" w:ascii="Times New Roman" w:hAnsi="Times New Roman" w:cs="Times New Roman"/>
                <w:color w:val="0000FF"/>
                <w:spacing w:val="-2"/>
                <w:sz w:val="24"/>
                <w:szCs w:val="24"/>
                <w:highlight w:val="none"/>
                <w:lang w:val="en-US" w:eastAsia="zh-CN"/>
              </w:rPr>
              <w:t>，</w:t>
            </w:r>
            <w:r>
              <w:rPr>
                <w:rFonts w:hint="default" w:ascii="Times New Roman" w:hAnsi="Times New Roman" w:cs="Times New Roman"/>
                <w:color w:val="0000FF"/>
                <w:spacing w:val="-2"/>
                <w:sz w:val="24"/>
                <w:szCs w:val="24"/>
                <w:highlight w:val="none"/>
                <w:lang w:val="en-US" w:eastAsia="zh-CN"/>
              </w:rPr>
              <w:t>故本项目实验规模为小试</w:t>
            </w:r>
            <w:r>
              <w:rPr>
                <w:rFonts w:hint="eastAsia" w:ascii="Times New Roman" w:hAnsi="Times New Roman" w:cs="Times New Roman"/>
                <w:color w:val="0000FF"/>
                <w:spacing w:val="-2"/>
                <w:sz w:val="24"/>
                <w:szCs w:val="24"/>
                <w:highlight w:val="none"/>
                <w:lang w:val="en-US" w:eastAsia="zh-CN"/>
              </w:rPr>
              <w:t>实验室</w:t>
            </w:r>
            <w:r>
              <w:rPr>
                <w:rFonts w:hint="default" w:ascii="Times New Roman" w:hAnsi="Times New Roman" w:cs="Times New Roman"/>
                <w:color w:val="0000FF"/>
                <w:spacing w:val="-2"/>
                <w:sz w:val="24"/>
                <w:szCs w:val="24"/>
                <w:highlight w:val="none"/>
                <w:lang w:val="en-US" w:eastAsia="zh-CN"/>
              </w:rPr>
              <w:t>及以下。参考</w:t>
            </w:r>
            <w:r>
              <w:rPr>
                <w:rFonts w:hint="default" w:ascii="Times New Roman" w:hAnsi="Times New Roman" w:cs="Times New Roman"/>
                <w:color w:val="0000FF"/>
                <w:spacing w:val="-2"/>
                <w:sz w:val="24"/>
                <w:szCs w:val="24"/>
                <w:highlight w:val="none"/>
                <w:lang w:eastAsia="zh-CN"/>
              </w:rPr>
              <w:t>《实用有机合成工艺研发手册</w:t>
            </w:r>
            <w:r>
              <w:rPr>
                <w:rFonts w:hint="eastAsia"/>
                <w:color w:val="0000FF"/>
                <w:spacing w:val="-2"/>
                <w:sz w:val="24"/>
                <w:szCs w:val="24"/>
                <w:highlight w:val="none"/>
                <w:lang w:eastAsia="zh-CN"/>
              </w:rPr>
              <w:t>》</w:t>
            </w:r>
            <w:r>
              <w:rPr>
                <w:rFonts w:hint="eastAsia"/>
                <w:color w:val="0000FF"/>
                <w:spacing w:val="-2"/>
                <w:sz w:val="24"/>
                <w:szCs w:val="24"/>
                <w:highlight w:val="none"/>
                <w:lang w:val="en-US" w:eastAsia="zh-CN"/>
              </w:rPr>
              <w:t>和《有机合成工艺研究与开发（第二册）》</w:t>
            </w:r>
            <w:r>
              <w:rPr>
                <w:rFonts w:hint="eastAsia"/>
                <w:color w:val="0000FF"/>
                <w:spacing w:val="-2"/>
                <w:sz w:val="24"/>
                <w:szCs w:val="24"/>
                <w:highlight w:val="none"/>
                <w:lang w:eastAsia="zh-CN"/>
              </w:rPr>
              <w:t>，将药物研究与开发分为4个阶段：实验室的药物发现；公斤级实验室的工艺研究；中试车间的商业化路线发展；以及工厂批量生产。其中早期实验室发现，实验室制备每批次化合物的量约</w:t>
            </w:r>
            <w:r>
              <w:rPr>
                <w:rFonts w:hint="default" w:ascii="Times New Roman" w:hAnsi="Times New Roman" w:cs="Times New Roman"/>
                <w:color w:val="0000FF"/>
                <w:spacing w:val="-2"/>
                <w:sz w:val="24"/>
                <w:szCs w:val="24"/>
                <w:highlight w:val="none"/>
                <w:lang w:eastAsia="zh-CN"/>
              </w:rPr>
              <w:t>10mg~10g</w:t>
            </w:r>
            <w:r>
              <w:rPr>
                <w:rFonts w:hint="eastAsia"/>
                <w:color w:val="0000FF"/>
                <w:spacing w:val="-2"/>
                <w:sz w:val="24"/>
                <w:szCs w:val="24"/>
                <w:highlight w:val="none"/>
                <w:lang w:eastAsia="zh-CN"/>
              </w:rPr>
              <w:t>用于体外筛选，一旦有前景的候选药物被确定，公斤实验室就要制备较大的量用于进一步工艺研究，公斤级实验室每批次化合</w:t>
            </w:r>
            <w:r>
              <w:rPr>
                <w:rFonts w:hint="default" w:ascii="Times New Roman" w:hAnsi="Times New Roman" w:cs="Times New Roman"/>
                <w:color w:val="0000FF"/>
                <w:spacing w:val="-2"/>
                <w:sz w:val="24"/>
                <w:szCs w:val="24"/>
                <w:highlight w:val="none"/>
                <w:lang w:eastAsia="zh-CN"/>
              </w:rPr>
              <w:t>物的量约为10g~10kg。本项目医药研发产物，药物活性分子化合物每批次约10mg，候选药物分子及中间体每批次约100g</w:t>
            </w:r>
            <w:r>
              <w:rPr>
                <w:rFonts w:hint="eastAsia" w:ascii="Times New Roman" w:hAnsi="Times New Roman" w:cs="Times New Roman"/>
                <w:color w:val="0000FF"/>
                <w:spacing w:val="-2"/>
                <w:sz w:val="24"/>
                <w:szCs w:val="24"/>
                <w:highlight w:val="none"/>
                <w:lang w:eastAsia="zh-CN"/>
              </w:rPr>
              <w:t>。</w:t>
            </w:r>
            <w:r>
              <w:rPr>
                <w:rFonts w:hint="eastAsia" w:ascii="Times New Roman" w:hAnsi="Times New Roman" w:cs="Times New Roman"/>
                <w:color w:val="0000FF"/>
                <w:spacing w:val="-2"/>
                <w:sz w:val="24"/>
                <w:szCs w:val="24"/>
                <w:highlight w:val="none"/>
                <w:lang w:val="en-US" w:eastAsia="zh-CN"/>
              </w:rPr>
              <w:t>综上所述，故</w:t>
            </w:r>
            <w:r>
              <w:rPr>
                <w:rFonts w:hint="default" w:ascii="Times New Roman" w:hAnsi="Times New Roman" w:cs="Times New Roman"/>
                <w:color w:val="0000FF"/>
                <w:spacing w:val="-2"/>
                <w:sz w:val="24"/>
                <w:szCs w:val="24"/>
                <w:highlight w:val="none"/>
                <w:lang w:eastAsia="zh-CN"/>
              </w:rPr>
              <w:t>本项目主要集中</w:t>
            </w:r>
            <w:r>
              <w:rPr>
                <w:rFonts w:hint="eastAsia"/>
                <w:color w:val="0000FF"/>
                <w:spacing w:val="-2"/>
                <w:sz w:val="24"/>
                <w:szCs w:val="24"/>
                <w:highlight w:val="none"/>
                <w:lang w:eastAsia="zh-CN"/>
              </w:rPr>
              <w:t>在实验室发现及公斤级实验室，即探试</w:t>
            </w:r>
            <w:r>
              <w:rPr>
                <w:rFonts w:hint="eastAsia"/>
                <w:color w:val="0000FF"/>
                <w:spacing w:val="-2"/>
                <w:sz w:val="24"/>
                <w:szCs w:val="24"/>
                <w:highlight w:val="none"/>
                <w:lang w:val="en-US" w:eastAsia="zh-CN"/>
              </w:rPr>
              <w:t>实验</w:t>
            </w:r>
            <w:r>
              <w:rPr>
                <w:rFonts w:hint="eastAsia"/>
                <w:color w:val="0000FF"/>
                <w:spacing w:val="-2"/>
                <w:sz w:val="24"/>
                <w:szCs w:val="24"/>
                <w:highlight w:val="none"/>
                <w:lang w:eastAsia="zh-CN"/>
              </w:rPr>
              <w:t>和小试</w:t>
            </w:r>
            <w:r>
              <w:rPr>
                <w:rFonts w:hint="eastAsia"/>
                <w:color w:val="0000FF"/>
                <w:spacing w:val="-2"/>
                <w:sz w:val="24"/>
                <w:szCs w:val="24"/>
                <w:highlight w:val="none"/>
                <w:lang w:val="en-US" w:eastAsia="zh-CN"/>
              </w:rPr>
              <w:t>实验工艺研究</w:t>
            </w:r>
            <w:r>
              <w:rPr>
                <w:rFonts w:hint="eastAsia"/>
                <w:color w:val="0000FF"/>
                <w:spacing w:val="-2"/>
                <w:sz w:val="24"/>
                <w:szCs w:val="24"/>
                <w:highlight w:val="none"/>
                <w:lang w:eastAsia="zh-CN"/>
              </w:rPr>
              <w:t>，不涉及中试和</w:t>
            </w:r>
            <w:r>
              <w:rPr>
                <w:rFonts w:hint="eastAsia"/>
                <w:color w:val="0000FF"/>
                <w:spacing w:val="-2"/>
                <w:sz w:val="24"/>
                <w:szCs w:val="24"/>
                <w:highlight w:val="none"/>
                <w:lang w:val="en-US" w:eastAsia="zh-CN"/>
              </w:rPr>
              <w:t>工厂批量</w:t>
            </w:r>
            <w:r>
              <w:rPr>
                <w:rFonts w:hint="eastAsia"/>
                <w:color w:val="0000FF"/>
                <w:spacing w:val="-2"/>
                <w:sz w:val="24"/>
                <w:szCs w:val="24"/>
                <w:highlight w:val="none"/>
                <w:lang w:eastAsia="zh-CN"/>
              </w:rPr>
              <w:t>生产</w:t>
            </w:r>
            <w:r>
              <w:rPr>
                <w:rFonts w:hint="eastAsia" w:cs="宋体"/>
                <w:color w:val="0000FF"/>
                <w:spacing w:val="-2"/>
                <w:sz w:val="24"/>
                <w:szCs w:val="24"/>
                <w:highlight w:val="none"/>
                <w:lang w:eastAsia="zh-CN"/>
              </w:rPr>
              <w:t>。</w:t>
            </w:r>
          </w:p>
          <w:p w14:paraId="7647F35D">
            <w:pPr>
              <w:pStyle w:val="8"/>
              <w:adjustRightInd/>
              <w:snapToGrid/>
              <w:spacing w:line="360" w:lineRule="auto"/>
              <w:ind w:firstLine="476" w:firstLineChars="200"/>
              <w:rPr>
                <w:rFonts w:hint="eastAsia"/>
                <w:color w:val="auto"/>
                <w:sz w:val="24"/>
                <w:highlight w:val="none"/>
                <w:lang w:eastAsia="zh-CN"/>
              </w:rPr>
            </w:pPr>
            <w:r>
              <w:rPr>
                <w:rFonts w:hint="default" w:ascii="Times New Roman" w:hAnsi="Times New Roman" w:cs="Times New Roman"/>
                <w:color w:val="auto"/>
                <w:spacing w:val="-1"/>
                <w:sz w:val="24"/>
                <w:szCs w:val="24"/>
                <w:highlight w:val="none"/>
                <w:lang w:val="en-US" w:eastAsia="zh-CN"/>
              </w:rPr>
              <w:t>本项目已</w:t>
            </w:r>
            <w:r>
              <w:rPr>
                <w:rFonts w:hint="eastAsia" w:cs="Times New Roman"/>
                <w:color w:val="auto"/>
                <w:spacing w:val="-1"/>
                <w:sz w:val="24"/>
                <w:szCs w:val="24"/>
                <w:highlight w:val="none"/>
                <w:lang w:val="en-US" w:eastAsia="zh-CN"/>
              </w:rPr>
              <w:t>于</w:t>
            </w:r>
            <w:r>
              <w:rPr>
                <w:rFonts w:hint="default" w:ascii="Times New Roman" w:hAnsi="Times New Roman" w:cs="Times New Roman"/>
                <w:color w:val="auto"/>
                <w:spacing w:val="-1"/>
                <w:sz w:val="24"/>
                <w:szCs w:val="24"/>
                <w:highlight w:val="none"/>
                <w:lang w:val="en-US" w:eastAsia="zh-CN"/>
              </w:rPr>
              <w:t>2022年6月</w:t>
            </w:r>
            <w:r>
              <w:rPr>
                <w:rFonts w:hint="eastAsia" w:cs="Times New Roman"/>
                <w:color w:val="auto"/>
                <w:spacing w:val="-1"/>
                <w:sz w:val="24"/>
                <w:szCs w:val="24"/>
                <w:highlight w:val="none"/>
                <w:lang w:val="en-US" w:eastAsia="zh-CN"/>
              </w:rPr>
              <w:t>委托</w:t>
            </w:r>
            <w:r>
              <w:rPr>
                <w:rFonts w:hint="default" w:ascii="Times New Roman" w:hAnsi="Times New Roman" w:cs="Times New Roman"/>
                <w:color w:val="auto"/>
                <w:spacing w:val="-1"/>
                <w:sz w:val="24"/>
                <w:szCs w:val="24"/>
                <w:highlight w:val="none"/>
                <w:lang w:val="en-US" w:eastAsia="zh-CN"/>
              </w:rPr>
              <w:t>河北燕博咨询有限公司编制</w:t>
            </w:r>
            <w:r>
              <w:rPr>
                <w:rFonts w:hint="eastAsia" w:cs="Times New Roman"/>
                <w:color w:val="auto"/>
                <w:spacing w:val="-1"/>
                <w:sz w:val="24"/>
                <w:szCs w:val="24"/>
                <w:highlight w:val="none"/>
                <w:lang w:val="en-US" w:eastAsia="zh-CN"/>
              </w:rPr>
              <w:t>环境影响报告表</w:t>
            </w:r>
            <w:r>
              <w:rPr>
                <w:rFonts w:hint="default" w:ascii="Times New Roman" w:hAnsi="Times New Roman" w:cs="Times New Roman"/>
                <w:color w:val="auto"/>
                <w:spacing w:val="-1"/>
                <w:sz w:val="24"/>
                <w:szCs w:val="24"/>
                <w:highlight w:val="none"/>
                <w:lang w:val="en-US" w:eastAsia="zh-CN"/>
              </w:rPr>
              <w:t>，于2022年7月22日</w:t>
            </w:r>
            <w:r>
              <w:rPr>
                <w:rFonts w:hint="eastAsia" w:cs="Times New Roman"/>
                <w:color w:val="auto"/>
                <w:spacing w:val="-1"/>
                <w:sz w:val="24"/>
                <w:szCs w:val="24"/>
                <w:highlight w:val="none"/>
                <w:lang w:val="en-US" w:eastAsia="zh-CN"/>
              </w:rPr>
              <w:t>取</w:t>
            </w:r>
            <w:r>
              <w:rPr>
                <w:rFonts w:hint="eastAsia" w:ascii="Times New Roman" w:hAnsi="Times New Roman" w:cs="Times New Roman"/>
                <w:color w:val="auto"/>
                <w:spacing w:val="-1"/>
                <w:sz w:val="24"/>
                <w:szCs w:val="24"/>
                <w:highlight w:val="none"/>
                <w:lang w:val="en-US" w:eastAsia="zh-CN"/>
              </w:rPr>
              <w:t>到</w:t>
            </w:r>
            <w:r>
              <w:rPr>
                <w:rFonts w:hint="default" w:ascii="Times New Roman" w:hAnsi="Times New Roman" w:cs="Times New Roman"/>
                <w:color w:val="auto"/>
                <w:spacing w:val="-1"/>
                <w:sz w:val="24"/>
                <w:szCs w:val="24"/>
                <w:highlight w:val="none"/>
                <w:lang w:val="en-US" w:eastAsia="zh-CN"/>
              </w:rPr>
              <w:t>批复</w:t>
            </w:r>
            <w:r>
              <w:rPr>
                <w:rFonts w:hint="eastAsia"/>
                <w:color w:val="auto"/>
                <w:sz w:val="24"/>
                <w:highlight w:val="none"/>
                <w:lang w:val="en-US" w:eastAsia="zh-CN"/>
              </w:rPr>
              <w:t>（</w:t>
            </w:r>
            <w:r>
              <w:rPr>
                <w:rFonts w:hint="eastAsia"/>
                <w:color w:val="auto"/>
                <w:sz w:val="24"/>
                <w:highlight w:val="none"/>
              </w:rPr>
              <w:t>西咸沣东审准﹝2022﹞007号</w:t>
            </w:r>
            <w:r>
              <w:rPr>
                <w:rFonts w:hint="eastAsia"/>
                <w:color w:val="auto"/>
                <w:sz w:val="24"/>
                <w:highlight w:val="none"/>
                <w:lang w:val="en-US" w:eastAsia="zh-CN"/>
              </w:rPr>
              <w:t>），</w:t>
            </w:r>
            <w:r>
              <w:rPr>
                <w:rFonts w:hint="default" w:ascii="Times New Roman" w:hAnsi="Times New Roman" w:cs="Times New Roman"/>
                <w:color w:val="auto"/>
                <w:spacing w:val="-1"/>
                <w:sz w:val="24"/>
                <w:szCs w:val="24"/>
                <w:highlight w:val="none"/>
                <w:lang w:val="en-US" w:eastAsia="zh-CN"/>
              </w:rPr>
              <w:t>同年12月正式建成并投入运行，</w:t>
            </w:r>
            <w:r>
              <w:rPr>
                <w:rFonts w:hint="eastAsia" w:cs="Times New Roman"/>
                <w:color w:val="auto"/>
                <w:spacing w:val="-1"/>
                <w:sz w:val="24"/>
                <w:szCs w:val="24"/>
                <w:highlight w:val="none"/>
                <w:lang w:val="en-US" w:eastAsia="zh-CN"/>
              </w:rPr>
              <w:t>并</w:t>
            </w:r>
            <w:r>
              <w:rPr>
                <w:rFonts w:hint="default"/>
                <w:color w:val="auto"/>
                <w:sz w:val="24"/>
                <w:highlight w:val="none"/>
              </w:rPr>
              <w:t>于202</w:t>
            </w:r>
            <w:r>
              <w:rPr>
                <w:rFonts w:hint="eastAsia"/>
                <w:color w:val="auto"/>
                <w:sz w:val="24"/>
                <w:highlight w:val="none"/>
                <w:lang w:eastAsia="zh-CN"/>
              </w:rPr>
              <w:t>3</w:t>
            </w:r>
            <w:r>
              <w:rPr>
                <w:rFonts w:hint="default"/>
                <w:color w:val="auto"/>
                <w:sz w:val="24"/>
                <w:highlight w:val="none"/>
              </w:rPr>
              <w:t>年</w:t>
            </w:r>
            <w:r>
              <w:rPr>
                <w:rFonts w:hint="eastAsia"/>
                <w:color w:val="auto"/>
                <w:sz w:val="24"/>
                <w:highlight w:val="none"/>
                <w:lang w:eastAsia="zh-CN"/>
              </w:rPr>
              <w:t>2</w:t>
            </w:r>
            <w:r>
              <w:rPr>
                <w:rFonts w:hint="default"/>
                <w:color w:val="auto"/>
                <w:sz w:val="24"/>
                <w:highlight w:val="none"/>
              </w:rPr>
              <w:t>月</w:t>
            </w:r>
            <w:r>
              <w:rPr>
                <w:rFonts w:hint="eastAsia"/>
                <w:color w:val="auto"/>
                <w:sz w:val="24"/>
                <w:highlight w:val="none"/>
                <w:lang w:eastAsia="zh-CN"/>
              </w:rPr>
              <w:t>2</w:t>
            </w:r>
            <w:r>
              <w:rPr>
                <w:rFonts w:hint="eastAsia"/>
                <w:color w:val="auto"/>
                <w:sz w:val="24"/>
                <w:highlight w:val="none"/>
                <w:lang w:val="en-US" w:eastAsia="zh-CN"/>
              </w:rPr>
              <w:t>2</w:t>
            </w:r>
            <w:r>
              <w:rPr>
                <w:rFonts w:hint="default"/>
                <w:color w:val="auto"/>
                <w:sz w:val="24"/>
                <w:highlight w:val="none"/>
              </w:rPr>
              <w:t>日完成建设项目竣工环境保护自主验收工作</w:t>
            </w:r>
            <w:r>
              <w:rPr>
                <w:rFonts w:hint="eastAsia"/>
                <w:color w:val="auto"/>
                <w:sz w:val="24"/>
                <w:highlight w:val="none"/>
                <w:lang w:eastAsia="zh-CN"/>
              </w:rPr>
              <w:t>。</w:t>
            </w:r>
          </w:p>
          <w:p w14:paraId="78FAA542">
            <w:pPr>
              <w:adjustRightInd w:val="0"/>
              <w:snapToGrid w:val="0"/>
              <w:spacing w:line="360" w:lineRule="auto"/>
              <w:ind w:firstLine="476" w:firstLineChars="200"/>
              <w:rPr>
                <w:rFonts w:hint="eastAsia" w:cs="Times New Roman"/>
                <w:color w:val="auto"/>
                <w:spacing w:val="-1"/>
                <w:kern w:val="0"/>
                <w:sz w:val="24"/>
                <w:szCs w:val="24"/>
                <w:highlight w:val="none"/>
                <w:lang w:val="en-US" w:eastAsia="zh-CN"/>
              </w:rPr>
            </w:pPr>
            <w:r>
              <w:rPr>
                <w:rFonts w:hint="eastAsia"/>
                <w:color w:val="auto"/>
                <w:spacing w:val="-1"/>
                <w:kern w:val="0"/>
                <w:sz w:val="24"/>
                <w:highlight w:val="none"/>
                <w:lang w:val="en-US" w:eastAsia="zh-CN"/>
              </w:rPr>
              <w:t>但</w:t>
            </w:r>
            <w:r>
              <w:rPr>
                <w:rFonts w:hint="eastAsia" w:ascii="Times New Roman" w:hAnsi="Times New Roman" w:cs="Times New Roman"/>
                <w:color w:val="auto"/>
                <w:spacing w:val="-1"/>
                <w:kern w:val="0"/>
                <w:sz w:val="24"/>
                <w:szCs w:val="24"/>
                <w:highlight w:val="none"/>
                <w:lang w:val="en-US" w:eastAsia="zh-CN"/>
              </w:rPr>
              <w:t>由于</w:t>
            </w:r>
            <w:r>
              <w:rPr>
                <w:rFonts w:hint="eastAsia" w:cs="Times New Roman"/>
                <w:color w:val="auto"/>
                <w:spacing w:val="-1"/>
                <w:kern w:val="0"/>
                <w:sz w:val="24"/>
                <w:szCs w:val="24"/>
                <w:highlight w:val="none"/>
                <w:lang w:val="en-US" w:eastAsia="zh-CN"/>
              </w:rPr>
              <w:t>市场需求变化，项目进行实验批次逐渐增多，项目原有实验批次规模已不满足目前项目实际实验需求</w:t>
            </w:r>
            <w:r>
              <w:rPr>
                <w:rFonts w:hint="eastAsia"/>
                <w:color w:val="auto"/>
                <w:spacing w:val="-1"/>
                <w:kern w:val="0"/>
                <w:sz w:val="24"/>
                <w:highlight w:val="none"/>
                <w:lang w:val="en-US" w:eastAsia="zh-CN"/>
              </w:rPr>
              <w:t>，实验批次由原来设计550约批次/a增加至现在约1100批次/a，较原有的设计实验批次增大一倍，实验所需原辅材料也较大幅度增加。由于项目在运行过程进行实验批次随市场需求变化，实验生产规模已随市场需求增加在运行期完成了扩大，故本次扩建项目环评介入时，项目扩建已完成。</w:t>
            </w:r>
            <w:r>
              <w:rPr>
                <w:rFonts w:hint="eastAsia" w:cs="Times New Roman"/>
                <w:color w:val="auto"/>
                <w:spacing w:val="-1"/>
                <w:kern w:val="0"/>
                <w:sz w:val="24"/>
                <w:szCs w:val="24"/>
                <w:highlight w:val="none"/>
                <w:lang w:val="en-US" w:eastAsia="zh-CN"/>
              </w:rPr>
              <w:t>为进一步精准预测本项目实验规模扩大后对周边环境影响程度。建设单位委托陕西西咸新区环境集团有限公司（以下简称“我公司”）针对本项目实际情况开展环境影响评价工作。</w:t>
            </w:r>
          </w:p>
          <w:p w14:paraId="0E5A8FA8">
            <w:pPr>
              <w:adjustRightInd w:val="0"/>
              <w:snapToGrid w:val="0"/>
              <w:spacing w:line="360" w:lineRule="auto"/>
              <w:ind w:firstLine="476" w:firstLineChars="200"/>
              <w:rPr>
                <w:rFonts w:hint="eastAsia" w:cs="Times New Roman"/>
                <w:color w:val="auto"/>
                <w:spacing w:val="-1"/>
                <w:kern w:val="0"/>
                <w:sz w:val="24"/>
                <w:szCs w:val="24"/>
                <w:highlight w:val="none"/>
                <w:lang w:val="en-US" w:eastAsia="zh-CN"/>
              </w:rPr>
            </w:pPr>
            <w:r>
              <w:rPr>
                <w:rFonts w:hint="eastAsia"/>
                <w:color w:val="auto"/>
                <w:spacing w:val="-1"/>
                <w:kern w:val="0"/>
                <w:sz w:val="24"/>
                <w:highlight w:val="none"/>
              </w:rPr>
              <w:t>根据《中华人民共和国环境保护法</w:t>
            </w:r>
            <w:r>
              <w:rPr>
                <w:rFonts w:hint="eastAsia"/>
                <w:color w:val="auto"/>
                <w:spacing w:val="-1"/>
                <w:kern w:val="0"/>
                <w:sz w:val="24"/>
                <w:highlight w:val="none"/>
                <w:lang w:eastAsia="zh-CN"/>
              </w:rPr>
              <w:t>》《</w:t>
            </w:r>
            <w:r>
              <w:rPr>
                <w:rFonts w:hint="eastAsia"/>
                <w:color w:val="auto"/>
                <w:spacing w:val="-1"/>
                <w:kern w:val="0"/>
                <w:sz w:val="24"/>
                <w:highlight w:val="none"/>
              </w:rPr>
              <w:t>中华人民共和国环境影响评价法</w:t>
            </w:r>
            <w:r>
              <w:rPr>
                <w:rFonts w:hint="eastAsia"/>
                <w:color w:val="auto"/>
                <w:spacing w:val="-1"/>
                <w:kern w:val="0"/>
                <w:sz w:val="24"/>
                <w:highlight w:val="none"/>
                <w:lang w:eastAsia="zh-CN"/>
              </w:rPr>
              <w:t>》《</w:t>
            </w:r>
            <w:r>
              <w:rPr>
                <w:rFonts w:hint="eastAsia"/>
                <w:color w:val="auto"/>
                <w:spacing w:val="-1"/>
                <w:kern w:val="0"/>
                <w:sz w:val="24"/>
                <w:highlight w:val="none"/>
              </w:rPr>
              <w:t>建设项目环境保护管理条例》（国务院令第682号）等相关法律法规的有关要求，本项目需进行环境影响评价。根据国民经济行业分类（GB/T4754-2017）及其分类注释，生态环境部发布的部令第16号《建设项目环境影响评价分类管理名录》（2021年版），本项目属于“四十五、研究和实验发展“98专业实验室、研发（试验）基地，其他（不产生实验废气、废水、危险废物的除外）”</w:t>
            </w:r>
            <w:r>
              <w:rPr>
                <w:rFonts w:hint="eastAsia"/>
                <w:color w:val="auto"/>
                <w:spacing w:val="-1"/>
                <w:kern w:val="0"/>
                <w:sz w:val="24"/>
                <w:highlight w:val="none"/>
                <w:lang w:val="en-US" w:eastAsia="zh-CN"/>
              </w:rPr>
              <w:t>项目</w:t>
            </w:r>
            <w:r>
              <w:rPr>
                <w:rFonts w:hint="eastAsia"/>
                <w:color w:val="auto"/>
                <w:spacing w:val="-1"/>
                <w:kern w:val="0"/>
                <w:sz w:val="24"/>
                <w:highlight w:val="none"/>
              </w:rPr>
              <w:t>，因此本项目需编制环境影响报告表。</w:t>
            </w:r>
          </w:p>
          <w:p w14:paraId="003E2C28">
            <w:pPr>
              <w:pStyle w:val="8"/>
              <w:adjustRightInd/>
              <w:snapToGrid/>
              <w:spacing w:line="360" w:lineRule="auto"/>
              <w:ind w:firstLine="476" w:firstLineChars="200"/>
              <w:rPr>
                <w:rFonts w:hint="eastAsia" w:cs="Times New Roman"/>
                <w:color w:val="auto"/>
                <w:spacing w:val="-1"/>
                <w:sz w:val="24"/>
                <w:szCs w:val="24"/>
                <w:highlight w:val="none"/>
                <w:lang w:val="en-US" w:eastAsia="zh-CN"/>
              </w:rPr>
            </w:pPr>
            <w:r>
              <w:rPr>
                <w:rFonts w:hint="eastAsia" w:cs="Times New Roman"/>
                <w:color w:val="auto"/>
                <w:spacing w:val="-1"/>
                <w:sz w:val="24"/>
                <w:szCs w:val="24"/>
                <w:highlight w:val="none"/>
                <w:lang w:val="en-US" w:eastAsia="zh-CN"/>
              </w:rPr>
              <w:t>建设单位于2025年4月3日委托陕西西咸新区环境集团有限公司（以下简称“我公司”）开展相关评价工作，我公司接到委托后，组织技术人员进行现场踏勘，</w:t>
            </w:r>
            <w:r>
              <w:rPr>
                <w:rFonts w:hint="eastAsia"/>
                <w:color w:val="auto"/>
                <w:spacing w:val="-1"/>
                <w:szCs w:val="24"/>
                <w:highlight w:val="none"/>
              </w:rPr>
              <w:t>根据建设单位提供的</w:t>
            </w:r>
            <w:r>
              <w:rPr>
                <w:rFonts w:hint="eastAsia"/>
                <w:color w:val="auto"/>
                <w:spacing w:val="-1"/>
                <w:szCs w:val="24"/>
                <w:highlight w:val="none"/>
                <w:lang w:val="en-US" w:eastAsia="zh-CN"/>
              </w:rPr>
              <w:t>相关资料和数据</w:t>
            </w:r>
            <w:r>
              <w:rPr>
                <w:rFonts w:hint="eastAsia"/>
                <w:color w:val="auto"/>
                <w:spacing w:val="-1"/>
                <w:szCs w:val="24"/>
                <w:highlight w:val="none"/>
              </w:rPr>
              <w:t>，按照环境影响评价技术导则</w:t>
            </w:r>
            <w:r>
              <w:rPr>
                <w:rFonts w:hint="eastAsia"/>
                <w:color w:val="auto"/>
                <w:spacing w:val="-1"/>
                <w:szCs w:val="24"/>
                <w:highlight w:val="none"/>
                <w:lang w:val="en-US" w:eastAsia="zh-CN"/>
              </w:rPr>
              <w:t>和《</w:t>
            </w:r>
            <w:r>
              <w:rPr>
                <w:rFonts w:hint="eastAsia"/>
                <w:color w:val="auto"/>
                <w:spacing w:val="-1"/>
                <w:szCs w:val="24"/>
                <w:highlight w:val="none"/>
              </w:rPr>
              <w:t>建设项目环境影响报告表编制技术指南（污染影响类）（试行）</w:t>
            </w:r>
            <w:r>
              <w:rPr>
                <w:rFonts w:hint="eastAsia"/>
                <w:color w:val="auto"/>
                <w:spacing w:val="-1"/>
                <w:szCs w:val="24"/>
                <w:highlight w:val="none"/>
                <w:lang w:val="en-US" w:eastAsia="zh-CN"/>
              </w:rPr>
              <w:t>》</w:t>
            </w:r>
            <w:r>
              <w:rPr>
                <w:rFonts w:hint="eastAsia" w:ascii="Times New Roman" w:hAnsi="Times New Roman" w:eastAsia="宋体" w:cs="Times New Roman"/>
                <w:i w:val="0"/>
                <w:iCs w:val="0"/>
                <w:caps w:val="0"/>
                <w:color w:val="auto"/>
                <w:spacing w:val="-1"/>
                <w:sz w:val="24"/>
                <w:szCs w:val="24"/>
                <w:highlight w:val="none"/>
                <w:shd w:val="clear" w:fill="auto"/>
              </w:rPr>
              <w:t> 环办环评</w:t>
            </w:r>
            <w:r>
              <w:rPr>
                <w:rFonts w:hint="eastAsia" w:ascii="Times New Roman" w:hAnsi="Times New Roman" w:eastAsia="宋体" w:cs="Times New Roman"/>
                <w:i w:val="0"/>
                <w:iCs w:val="0"/>
                <w:caps w:val="0"/>
                <w:color w:val="auto"/>
                <w:spacing w:val="-1"/>
                <w:sz w:val="24"/>
                <w:szCs w:val="24"/>
                <w:highlight w:val="none"/>
                <w:shd w:val="clear" w:fill="auto"/>
                <w:lang w:eastAsia="zh-CN"/>
              </w:rPr>
              <w:t>〔</w:t>
            </w:r>
            <w:r>
              <w:rPr>
                <w:rFonts w:hint="eastAsia" w:ascii="Times New Roman" w:hAnsi="Times New Roman" w:eastAsia="宋体" w:cs="Times New Roman"/>
                <w:i w:val="0"/>
                <w:iCs w:val="0"/>
                <w:caps w:val="0"/>
                <w:color w:val="auto"/>
                <w:spacing w:val="-1"/>
                <w:sz w:val="24"/>
                <w:szCs w:val="24"/>
                <w:highlight w:val="none"/>
                <w:shd w:val="clear" w:fill="auto"/>
              </w:rPr>
              <w:t>2020</w:t>
            </w:r>
            <w:r>
              <w:rPr>
                <w:rFonts w:hint="eastAsia" w:ascii="Times New Roman" w:hAnsi="Times New Roman" w:eastAsia="宋体" w:cs="Times New Roman"/>
                <w:i w:val="0"/>
                <w:iCs w:val="0"/>
                <w:caps w:val="0"/>
                <w:color w:val="auto"/>
                <w:spacing w:val="-1"/>
                <w:sz w:val="24"/>
                <w:szCs w:val="24"/>
                <w:highlight w:val="none"/>
                <w:shd w:val="clear" w:fill="auto"/>
                <w:lang w:eastAsia="zh-CN"/>
              </w:rPr>
              <w:t>〕</w:t>
            </w:r>
            <w:r>
              <w:rPr>
                <w:rFonts w:hint="eastAsia" w:ascii="Times New Roman" w:hAnsi="Times New Roman" w:eastAsia="宋体" w:cs="Times New Roman"/>
                <w:i w:val="0"/>
                <w:iCs w:val="0"/>
                <w:caps w:val="0"/>
                <w:color w:val="auto"/>
                <w:spacing w:val="-1"/>
                <w:sz w:val="24"/>
                <w:szCs w:val="24"/>
                <w:highlight w:val="none"/>
                <w:shd w:val="clear" w:fill="auto"/>
              </w:rPr>
              <w:t>33号</w:t>
            </w:r>
            <w:r>
              <w:rPr>
                <w:rFonts w:hint="eastAsia"/>
                <w:color w:val="auto"/>
                <w:spacing w:val="-1"/>
                <w:szCs w:val="24"/>
                <w:highlight w:val="none"/>
              </w:rPr>
              <w:t>要求，编写了本</w:t>
            </w:r>
            <w:r>
              <w:rPr>
                <w:rFonts w:hint="eastAsia"/>
                <w:color w:val="auto"/>
                <w:spacing w:val="-1"/>
                <w:szCs w:val="24"/>
                <w:highlight w:val="none"/>
                <w:lang w:val="en-US" w:eastAsia="zh-CN"/>
              </w:rPr>
              <w:t>次扩建项目的</w:t>
            </w:r>
            <w:r>
              <w:rPr>
                <w:rFonts w:hint="eastAsia"/>
                <w:color w:val="auto"/>
                <w:spacing w:val="-1"/>
                <w:szCs w:val="24"/>
                <w:highlight w:val="none"/>
              </w:rPr>
              <w:t>环境影响报告表。</w:t>
            </w:r>
          </w:p>
          <w:p w14:paraId="2327BAF0">
            <w:pPr>
              <w:keepNext w:val="0"/>
              <w:keepLines w:val="0"/>
              <w:pageBreakBefore w:val="0"/>
              <w:widowControl w:val="0"/>
              <w:numPr>
                <w:ilvl w:val="0"/>
                <w:numId w:val="2"/>
              </w:numPr>
              <w:tabs>
                <w:tab w:val="left" w:pos="3255"/>
              </w:tabs>
              <w:kinsoku/>
              <w:wordWrap/>
              <w:overflowPunct/>
              <w:topLinePunct w:val="0"/>
              <w:autoSpaceDE/>
              <w:autoSpaceDN/>
              <w:bidi w:val="0"/>
              <w:adjustRightInd/>
              <w:snapToGrid/>
              <w:spacing w:before="157" w:beforeLines="50" w:line="360" w:lineRule="auto"/>
              <w:ind w:left="0" w:leftChars="0" w:firstLine="0" w:firstLineChars="0"/>
              <w:textAlignment w:val="auto"/>
              <w:rPr>
                <w:rFonts w:hint="default" w:ascii="Times New Roman" w:hAnsi="Times New Roman" w:cs="Times New Roman"/>
                <w:b/>
                <w:bCs/>
                <w:color w:val="auto"/>
                <w:sz w:val="24"/>
                <w:highlight w:val="none"/>
                <w:lang w:val="en-US" w:eastAsia="zh-CN"/>
              </w:rPr>
            </w:pPr>
            <w:r>
              <w:rPr>
                <w:rFonts w:hint="eastAsia" w:cs="Times New Roman"/>
                <w:b/>
                <w:bCs/>
                <w:color w:val="auto"/>
                <w:sz w:val="24"/>
                <w:highlight w:val="none"/>
                <w:lang w:val="en-US" w:eastAsia="zh-CN"/>
              </w:rPr>
              <w:t>项目概况</w:t>
            </w:r>
          </w:p>
          <w:p w14:paraId="392B52B2">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1</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项目名称：</w:t>
            </w:r>
            <w:r>
              <w:rPr>
                <w:rFonts w:hint="eastAsia" w:ascii="Times New Roman" w:hAnsi="Times New Roman" w:cs="Times New Roman"/>
                <w:color w:val="auto"/>
                <w:spacing w:val="5"/>
                <w:sz w:val="24"/>
                <w:szCs w:val="24"/>
                <w:highlight w:val="none"/>
                <w:lang w:val="en-US" w:eastAsia="zh-CN"/>
              </w:rPr>
              <w:t>陕</w:t>
            </w:r>
            <w:r>
              <w:rPr>
                <w:rFonts w:hint="default" w:ascii="Times New Roman" w:hAnsi="Times New Roman" w:cs="Times New Roman"/>
                <w:color w:val="auto"/>
                <w:spacing w:val="5"/>
                <w:sz w:val="24"/>
                <w:szCs w:val="24"/>
                <w:highlight w:val="none"/>
                <w:lang w:eastAsia="zh-CN"/>
              </w:rPr>
              <w:t>西君境迈德生物医药科技有限公司研发实验室项目</w:t>
            </w:r>
          </w:p>
          <w:p w14:paraId="63DE2065">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2</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建设单位：陕西君境迈德生物医药科技有限公司</w:t>
            </w:r>
          </w:p>
          <w:p w14:paraId="09F7DB4D">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3</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项目性质：扩建</w:t>
            </w:r>
          </w:p>
          <w:p w14:paraId="6529C293">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4</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建设地点：</w:t>
            </w:r>
            <w:r>
              <w:rPr>
                <w:rFonts w:hint="eastAsia" w:ascii="Times New Roman" w:hAnsi="Times New Roman" w:cs="Times New Roman"/>
                <w:color w:val="auto"/>
                <w:spacing w:val="5"/>
                <w:sz w:val="24"/>
                <w:szCs w:val="24"/>
                <w:highlight w:val="none"/>
                <w:lang w:val="en-US" w:eastAsia="zh-CN"/>
              </w:rPr>
              <w:t>租赁</w:t>
            </w:r>
            <w:r>
              <w:rPr>
                <w:rFonts w:hint="default" w:ascii="Times New Roman" w:hAnsi="Times New Roman" w:cs="Times New Roman"/>
                <w:color w:val="auto"/>
                <w:spacing w:val="5"/>
                <w:sz w:val="24"/>
                <w:szCs w:val="24"/>
                <w:highlight w:val="none"/>
                <w:lang w:eastAsia="zh-CN"/>
              </w:rPr>
              <w:t>陕西省西咸新区沣东新城石化大道西段106号伟合沣东科技产业园36号楼10601、10602</w:t>
            </w:r>
            <w:r>
              <w:rPr>
                <w:rFonts w:hint="eastAsia" w:ascii="Times New Roman" w:hAnsi="Times New Roman" w:cs="Times New Roman"/>
                <w:color w:val="auto"/>
                <w:spacing w:val="5"/>
                <w:sz w:val="24"/>
                <w:szCs w:val="24"/>
                <w:highlight w:val="none"/>
                <w:lang w:val="en-US" w:eastAsia="zh-CN"/>
              </w:rPr>
              <w:t>室</w:t>
            </w:r>
            <w:r>
              <w:rPr>
                <w:rFonts w:hint="default" w:ascii="Times New Roman" w:hAnsi="Times New Roman" w:cs="Times New Roman"/>
                <w:color w:val="auto"/>
                <w:spacing w:val="5"/>
                <w:sz w:val="24"/>
                <w:szCs w:val="24"/>
                <w:highlight w:val="none"/>
                <w:lang w:eastAsia="zh-CN"/>
              </w:rPr>
              <w:t>，中心地理坐标为东经 108°48'22.610"，北纬 3</w:t>
            </w:r>
            <w:r>
              <w:rPr>
                <w:rFonts w:hint="eastAsia" w:ascii="Times New Roman" w:hAnsi="Times New Roman" w:cs="Times New Roman"/>
                <w:color w:val="auto"/>
                <w:spacing w:val="5"/>
                <w:sz w:val="24"/>
                <w:szCs w:val="24"/>
                <w:highlight w:val="none"/>
                <w:lang w:eastAsia="zh-CN"/>
              </w:rPr>
              <w:t>4</w:t>
            </w:r>
            <w:r>
              <w:rPr>
                <w:rFonts w:hint="default"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eastAsia="zh-CN"/>
              </w:rPr>
              <w:t>2</w:t>
            </w:r>
            <w:r>
              <w:rPr>
                <w:rFonts w:hint="eastAsia" w:ascii="Times New Roman" w:hAnsi="Times New Roman" w:cs="Times New Roman"/>
                <w:color w:val="auto"/>
                <w:spacing w:val="5"/>
                <w:sz w:val="24"/>
                <w:szCs w:val="24"/>
                <w:highlight w:val="none"/>
                <w:lang w:val="en-US" w:eastAsia="zh-CN"/>
              </w:rPr>
              <w:t>8</w:t>
            </w:r>
            <w:r>
              <w:rPr>
                <w:rFonts w:hint="default" w:ascii="Times New Roman" w:hAnsi="Times New Roman" w:cs="Times New Roman"/>
                <w:color w:val="auto"/>
                <w:spacing w:val="5"/>
                <w:sz w:val="24"/>
                <w:szCs w:val="24"/>
                <w:highlight w:val="none"/>
                <w:lang w:eastAsia="zh-CN"/>
              </w:rPr>
              <w:t>'28.410"。</w:t>
            </w:r>
            <w:r>
              <w:rPr>
                <w:rFonts w:hint="eastAsia" w:ascii="Times New Roman" w:hAnsi="Times New Roman" w:cs="Times New Roman"/>
                <w:color w:val="auto"/>
                <w:spacing w:val="5"/>
                <w:sz w:val="24"/>
                <w:szCs w:val="24"/>
                <w:highlight w:val="none"/>
                <w:lang w:val="en-US" w:eastAsia="zh-CN"/>
              </w:rPr>
              <w:t>东、南、西侧均为同产业园区厂房，北侧为西安路安轨道装备有限公司厂房</w:t>
            </w:r>
            <w:r>
              <w:rPr>
                <w:rFonts w:hint="default" w:ascii="Times New Roman" w:hAnsi="Times New Roman" w:cs="Times New Roman"/>
                <w:color w:val="auto"/>
                <w:spacing w:val="5"/>
                <w:sz w:val="24"/>
                <w:szCs w:val="24"/>
                <w:highlight w:val="none"/>
                <w:lang w:eastAsia="zh-CN"/>
              </w:rPr>
              <w:t>。项目地理位置图见附图</w:t>
            </w:r>
            <w:r>
              <w:rPr>
                <w:rFonts w:hint="eastAsia" w:ascii="Times New Roman" w:hAnsi="Times New Roman" w:cs="Times New Roman"/>
                <w:color w:val="auto"/>
                <w:spacing w:val="5"/>
                <w:sz w:val="24"/>
                <w:szCs w:val="24"/>
                <w:highlight w:val="none"/>
                <w:lang w:eastAsia="zh-CN"/>
              </w:rPr>
              <w:t>1</w:t>
            </w:r>
            <w:r>
              <w:rPr>
                <w:rFonts w:hint="eastAsia" w:ascii="Times New Roman" w:hAnsi="Times New Roman" w:cs="Times New Roman"/>
                <w:color w:val="auto"/>
                <w:spacing w:val="5"/>
                <w:sz w:val="24"/>
                <w:szCs w:val="24"/>
                <w:highlight w:val="none"/>
                <w:lang w:val="en-US" w:eastAsia="zh-CN"/>
              </w:rPr>
              <w:t>-1</w:t>
            </w:r>
            <w:r>
              <w:rPr>
                <w:rFonts w:hint="default" w:ascii="Times New Roman" w:hAnsi="Times New Roman" w:cs="Times New Roman"/>
                <w:color w:val="auto"/>
                <w:spacing w:val="5"/>
                <w:sz w:val="24"/>
                <w:szCs w:val="24"/>
                <w:highlight w:val="none"/>
                <w:lang w:eastAsia="zh-CN"/>
              </w:rPr>
              <w:t>，厂区周边关系图见附图</w:t>
            </w:r>
            <w:r>
              <w:rPr>
                <w:rFonts w:hint="eastAsia" w:ascii="Times New Roman" w:hAnsi="Times New Roman" w:cs="Times New Roman"/>
                <w:color w:val="auto"/>
                <w:spacing w:val="5"/>
                <w:sz w:val="24"/>
                <w:szCs w:val="24"/>
                <w:highlight w:val="none"/>
                <w:lang w:eastAsia="zh-CN"/>
              </w:rPr>
              <w:t>3</w:t>
            </w:r>
            <w:r>
              <w:rPr>
                <w:rFonts w:hint="default" w:ascii="Times New Roman" w:hAnsi="Times New Roman" w:cs="Times New Roman"/>
                <w:color w:val="auto"/>
                <w:spacing w:val="5"/>
                <w:sz w:val="24"/>
                <w:szCs w:val="24"/>
                <w:highlight w:val="none"/>
                <w:lang w:eastAsia="zh-CN"/>
              </w:rPr>
              <w:t>。</w:t>
            </w:r>
          </w:p>
          <w:p w14:paraId="002275BB">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5</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项目占地：</w:t>
            </w:r>
            <w:r>
              <w:rPr>
                <w:rFonts w:hint="eastAsia" w:ascii="Times New Roman" w:hAnsi="Times New Roman" w:cs="Times New Roman"/>
                <w:color w:val="auto"/>
                <w:spacing w:val="5"/>
                <w:sz w:val="24"/>
                <w:szCs w:val="24"/>
                <w:highlight w:val="none"/>
                <w:lang w:val="en-US" w:eastAsia="zh-CN"/>
              </w:rPr>
              <w:t>依托原有厂房，建筑面积1784m</w:t>
            </w:r>
            <w:r>
              <w:rPr>
                <w:rFonts w:hint="eastAsia" w:ascii="Times New Roman" w:hAnsi="Times New Roman" w:cs="Times New Roman"/>
                <w:color w:val="auto"/>
                <w:spacing w:val="5"/>
                <w:sz w:val="24"/>
                <w:szCs w:val="24"/>
                <w:highlight w:val="none"/>
                <w:vertAlign w:val="superscript"/>
                <w:lang w:val="en-US" w:eastAsia="zh-CN"/>
              </w:rPr>
              <w:t>2</w:t>
            </w:r>
            <w:r>
              <w:rPr>
                <w:rFonts w:hint="eastAsia" w:ascii="Times New Roman" w:hAnsi="Times New Roman" w:cs="Times New Roman"/>
                <w:color w:val="auto"/>
                <w:spacing w:val="5"/>
                <w:sz w:val="24"/>
                <w:szCs w:val="24"/>
                <w:highlight w:val="none"/>
                <w:lang w:val="en-US" w:eastAsia="zh-CN"/>
              </w:rPr>
              <w:t>。</w:t>
            </w:r>
          </w:p>
          <w:p w14:paraId="43720F5F">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6</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 xml:space="preserve">项目投资及环保投资：项目总投资 </w:t>
            </w:r>
            <w:r>
              <w:rPr>
                <w:rFonts w:hint="eastAsia" w:ascii="Times New Roman" w:hAnsi="Times New Roman" w:cs="Times New Roman"/>
                <w:color w:val="auto"/>
                <w:spacing w:val="5"/>
                <w:sz w:val="24"/>
                <w:szCs w:val="24"/>
                <w:highlight w:val="none"/>
                <w:lang w:eastAsia="zh-CN"/>
              </w:rPr>
              <w:t>5</w:t>
            </w:r>
            <w:r>
              <w:rPr>
                <w:rFonts w:hint="eastAsia" w:ascii="Times New Roman" w:hAnsi="Times New Roman" w:cs="Times New Roman"/>
                <w:color w:val="auto"/>
                <w:spacing w:val="5"/>
                <w:sz w:val="24"/>
                <w:szCs w:val="24"/>
                <w:highlight w:val="none"/>
                <w:lang w:val="en-US" w:eastAsia="zh-CN"/>
              </w:rPr>
              <w:t>0</w:t>
            </w:r>
            <w:r>
              <w:rPr>
                <w:rFonts w:hint="default" w:ascii="Times New Roman" w:hAnsi="Times New Roman" w:cs="Times New Roman"/>
                <w:color w:val="auto"/>
                <w:spacing w:val="5"/>
                <w:sz w:val="24"/>
                <w:szCs w:val="24"/>
                <w:highlight w:val="none"/>
                <w:lang w:eastAsia="zh-CN"/>
              </w:rPr>
              <w:t xml:space="preserve"> 万元，其中环保投资</w:t>
            </w:r>
            <w:r>
              <w:rPr>
                <w:rFonts w:hint="eastAsia" w:ascii="Times New Roman" w:hAnsi="Times New Roman" w:cs="Times New Roman"/>
                <w:color w:val="auto"/>
                <w:spacing w:val="5"/>
                <w:sz w:val="24"/>
                <w:szCs w:val="24"/>
                <w:highlight w:val="none"/>
                <w:lang w:val="en-US" w:eastAsia="zh-CN"/>
              </w:rPr>
              <w:t>21</w:t>
            </w:r>
            <w:r>
              <w:rPr>
                <w:rFonts w:hint="default" w:ascii="Times New Roman" w:hAnsi="Times New Roman" w:cs="Times New Roman"/>
                <w:color w:val="auto"/>
                <w:spacing w:val="5"/>
                <w:sz w:val="24"/>
                <w:szCs w:val="24"/>
                <w:highlight w:val="none"/>
                <w:lang w:eastAsia="zh-CN"/>
              </w:rPr>
              <w:t>万元，占总投资的</w:t>
            </w:r>
            <w:r>
              <w:rPr>
                <w:rFonts w:hint="eastAsia" w:ascii="Times New Roman" w:hAnsi="Times New Roman" w:cs="Times New Roman"/>
                <w:color w:val="auto"/>
                <w:spacing w:val="5"/>
                <w:sz w:val="24"/>
                <w:szCs w:val="24"/>
                <w:highlight w:val="none"/>
                <w:lang w:eastAsia="zh-CN"/>
              </w:rPr>
              <w:t>4</w:t>
            </w:r>
            <w:r>
              <w:rPr>
                <w:rFonts w:hint="eastAsia" w:ascii="Times New Roman" w:hAnsi="Times New Roman" w:cs="Times New Roman"/>
                <w:color w:val="auto"/>
                <w:spacing w:val="5"/>
                <w:sz w:val="24"/>
                <w:szCs w:val="24"/>
                <w:highlight w:val="none"/>
                <w:lang w:val="en-US" w:eastAsia="zh-CN"/>
              </w:rPr>
              <w:t>2</w:t>
            </w:r>
            <w:r>
              <w:rPr>
                <w:rFonts w:hint="default" w:ascii="Times New Roman" w:hAnsi="Times New Roman" w:cs="Times New Roman"/>
                <w:color w:val="auto"/>
                <w:spacing w:val="5"/>
                <w:sz w:val="24"/>
                <w:szCs w:val="24"/>
                <w:highlight w:val="none"/>
                <w:lang w:eastAsia="zh-CN"/>
              </w:rPr>
              <w:t>%。</w:t>
            </w:r>
          </w:p>
          <w:p w14:paraId="6D21D406">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default" w:ascii="Times New Roman" w:hAnsi="Times New Roman" w:cs="Times New Roman"/>
                <w:color w:val="auto"/>
                <w:spacing w:val="5"/>
                <w:sz w:val="24"/>
                <w:szCs w:val="24"/>
                <w:highlight w:val="none"/>
                <w:lang w:val="en-US" w:eastAsia="zh-CN"/>
              </w:rPr>
            </w:pPr>
            <w:r>
              <w:rPr>
                <w:rFonts w:hint="eastAsia" w:ascii="Times New Roman" w:hAnsi="Times New Roman" w:cs="Times New Roman"/>
                <w:color w:val="auto"/>
                <w:spacing w:val="5"/>
                <w:sz w:val="24"/>
                <w:szCs w:val="24"/>
                <w:highlight w:val="none"/>
                <w:lang w:eastAsia="zh-CN"/>
              </w:rPr>
              <w:t>（</w:t>
            </w:r>
            <w:r>
              <w:rPr>
                <w:rFonts w:hint="eastAsia" w:ascii="Times New Roman" w:hAnsi="Times New Roman" w:cs="Times New Roman"/>
                <w:color w:val="auto"/>
                <w:spacing w:val="5"/>
                <w:sz w:val="24"/>
                <w:szCs w:val="24"/>
                <w:highlight w:val="none"/>
                <w:lang w:val="en-US" w:eastAsia="zh-CN"/>
              </w:rPr>
              <w:t>7</w:t>
            </w:r>
            <w:r>
              <w:rPr>
                <w:rFonts w:hint="eastAsia" w:ascii="Times New Roman" w:hAnsi="Times New Roman" w:cs="Times New Roman"/>
                <w:color w:val="auto"/>
                <w:spacing w:val="5"/>
                <w:sz w:val="24"/>
                <w:szCs w:val="24"/>
                <w:highlight w:val="none"/>
                <w:lang w:eastAsia="zh-CN"/>
              </w:rPr>
              <w:t>）</w:t>
            </w:r>
            <w:r>
              <w:rPr>
                <w:rFonts w:hint="default" w:ascii="Times New Roman" w:hAnsi="Times New Roman" w:cs="Times New Roman"/>
                <w:color w:val="auto"/>
                <w:spacing w:val="5"/>
                <w:sz w:val="24"/>
                <w:szCs w:val="24"/>
                <w:highlight w:val="none"/>
                <w:lang w:eastAsia="zh-CN"/>
              </w:rPr>
              <w:t xml:space="preserve">劳动定员及工作制度：项目不新增员工，每天8小时，年工作 </w:t>
            </w:r>
            <w:r>
              <w:rPr>
                <w:rFonts w:hint="eastAsia" w:ascii="Times New Roman" w:hAnsi="Times New Roman" w:cs="Times New Roman"/>
                <w:color w:val="auto"/>
                <w:spacing w:val="5"/>
                <w:sz w:val="24"/>
                <w:szCs w:val="24"/>
                <w:highlight w:val="none"/>
                <w:lang w:eastAsia="zh-CN"/>
              </w:rPr>
              <w:t>2</w:t>
            </w:r>
            <w:r>
              <w:rPr>
                <w:rFonts w:hint="eastAsia" w:ascii="Times New Roman" w:hAnsi="Times New Roman" w:cs="Times New Roman"/>
                <w:color w:val="auto"/>
                <w:spacing w:val="5"/>
                <w:sz w:val="24"/>
                <w:szCs w:val="24"/>
                <w:highlight w:val="none"/>
                <w:lang w:val="en-US" w:eastAsia="zh-CN"/>
              </w:rPr>
              <w:t>45</w:t>
            </w:r>
            <w:r>
              <w:rPr>
                <w:rFonts w:hint="default" w:ascii="Times New Roman" w:hAnsi="Times New Roman" w:cs="Times New Roman"/>
                <w:color w:val="auto"/>
                <w:spacing w:val="5"/>
                <w:sz w:val="24"/>
                <w:szCs w:val="24"/>
                <w:highlight w:val="none"/>
                <w:lang w:eastAsia="zh-CN"/>
              </w:rPr>
              <w:t xml:space="preserve"> 天。</w:t>
            </w:r>
          </w:p>
          <w:p w14:paraId="7F6EA6B0">
            <w:pPr>
              <w:pStyle w:val="83"/>
              <w:keepNext w:val="0"/>
              <w:keepLines w:val="0"/>
              <w:pageBreakBefore w:val="0"/>
              <w:widowControl w:val="0"/>
              <w:kinsoku/>
              <w:wordWrap/>
              <w:overflowPunct/>
              <w:topLinePunct w:val="0"/>
              <w:autoSpaceDE/>
              <w:autoSpaceDN/>
              <w:bidi w:val="0"/>
              <w:adjustRightInd w:val="0"/>
              <w:snapToGrid w:val="0"/>
              <w:spacing w:line="360" w:lineRule="auto"/>
              <w:ind w:left="0" w:right="0" w:firstLine="500" w:firstLineChars="200"/>
              <w:jc w:val="both"/>
              <w:textAlignment w:val="auto"/>
              <w:rPr>
                <w:rFonts w:hint="eastAsia" w:ascii="宋体" w:hAnsi="宋体" w:eastAsia="宋体" w:cs="宋体"/>
                <w:color w:val="auto"/>
                <w:spacing w:val="5"/>
                <w:sz w:val="24"/>
                <w:szCs w:val="24"/>
                <w:highlight w:val="none"/>
              </w:rPr>
            </w:pPr>
            <w:r>
              <w:rPr>
                <w:rFonts w:hint="eastAsia" w:ascii="Times New Roman" w:hAnsi="Times New Roman" w:cs="Times New Roman"/>
                <w:b w:val="0"/>
                <w:bCs w:val="0"/>
                <w:color w:val="auto"/>
                <w:spacing w:val="5"/>
                <w:sz w:val="24"/>
                <w:szCs w:val="24"/>
                <w:highlight w:val="none"/>
                <w:lang w:val="en-US" w:eastAsia="zh-CN"/>
              </w:rPr>
              <w:t>（8）</w:t>
            </w:r>
            <w:r>
              <w:rPr>
                <w:rFonts w:hint="default" w:ascii="Times New Roman" w:hAnsi="Times New Roman" w:cs="Times New Roman"/>
                <w:b w:val="0"/>
                <w:bCs w:val="0"/>
                <w:color w:val="auto"/>
                <w:sz w:val="24"/>
                <w:highlight w:val="none"/>
                <w:lang w:val="en-US" w:eastAsia="zh-CN"/>
              </w:rPr>
              <w:t>建设内容</w:t>
            </w:r>
            <w:r>
              <w:rPr>
                <w:rFonts w:hint="eastAsia" w:ascii="Times New Roman" w:hAnsi="Times New Roman" w:cs="Times New Roman"/>
                <w:b w:val="0"/>
                <w:bCs w:val="0"/>
                <w:color w:val="auto"/>
                <w:sz w:val="24"/>
                <w:highlight w:val="none"/>
                <w:lang w:val="en-US" w:eastAsia="zh-CN"/>
              </w:rPr>
              <w:t>及规模：</w:t>
            </w:r>
            <w:r>
              <w:rPr>
                <w:rFonts w:hint="default" w:ascii="Times New Roman" w:hAnsi="Times New Roman" w:cs="Times New Roman"/>
                <w:color w:val="auto"/>
                <w:spacing w:val="5"/>
                <w:sz w:val="24"/>
                <w:szCs w:val="24"/>
                <w:highlight w:val="none"/>
                <w:lang w:val="en-US" w:eastAsia="zh-CN"/>
              </w:rPr>
              <w:t>由于本次扩建仅涉及实验批次增加，依托现有工程，不新增设备及工艺，通过增加原辅料使用扩大实验生产规模即增加550实验批次/a，其中药物活性分子化合物合成500批次/a，医药中间体工艺开发50批次/a，且目前项目已按扩建后实验室生产规模进行生产</w:t>
            </w:r>
            <w:r>
              <w:rPr>
                <w:rFonts w:hint="eastAsia" w:cs="宋体"/>
                <w:color w:val="auto"/>
                <w:spacing w:val="5"/>
                <w:sz w:val="24"/>
                <w:szCs w:val="24"/>
                <w:highlight w:val="none"/>
                <w:lang w:val="en-US" w:eastAsia="zh-CN"/>
              </w:rPr>
              <w:t>。现有依托的项目平面布置图详见</w:t>
            </w:r>
            <w:r>
              <w:rPr>
                <w:rFonts w:hint="eastAsia" w:ascii="Times New Roman" w:hAnsi="Times New Roman" w:cs="Times New Roman"/>
                <w:color w:val="auto"/>
                <w:spacing w:val="5"/>
                <w:sz w:val="24"/>
                <w:szCs w:val="24"/>
                <w:highlight w:val="none"/>
                <w:lang w:val="en-US" w:eastAsia="zh-CN"/>
              </w:rPr>
              <w:t>附图2，</w:t>
            </w:r>
            <w:r>
              <w:rPr>
                <w:rFonts w:hint="eastAsia" w:ascii="宋体" w:hAnsi="宋体" w:eastAsia="宋体" w:cs="宋体"/>
                <w:color w:val="auto"/>
                <w:spacing w:val="5"/>
                <w:sz w:val="24"/>
                <w:szCs w:val="24"/>
                <w:highlight w:val="none"/>
              </w:rPr>
              <w:t>项目建设内容详见表</w:t>
            </w:r>
            <w:r>
              <w:rPr>
                <w:rFonts w:hint="default" w:ascii="Times New Roman" w:hAnsi="Times New Roman" w:eastAsia="宋体" w:cs="Times New Roman"/>
                <w:color w:val="auto"/>
                <w:spacing w:val="5"/>
                <w:sz w:val="24"/>
                <w:szCs w:val="24"/>
                <w:highlight w:val="none"/>
              </w:rPr>
              <w:t>2-1</w:t>
            </w:r>
            <w:r>
              <w:rPr>
                <w:rFonts w:hint="eastAsia" w:ascii="宋体" w:hAnsi="宋体" w:eastAsia="宋体" w:cs="宋体"/>
                <w:color w:val="auto"/>
                <w:spacing w:val="5"/>
                <w:sz w:val="24"/>
                <w:szCs w:val="24"/>
                <w:highlight w:val="none"/>
              </w:rPr>
              <w:t>。</w:t>
            </w:r>
          </w:p>
          <w:p w14:paraId="2EAC11BF">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b/>
                <w:bCs/>
                <w:color w:val="auto"/>
                <w:sz w:val="24"/>
                <w:szCs w:val="24"/>
                <w:highlight w:val="none"/>
              </w:rPr>
            </w:pPr>
            <w:r>
              <w:rPr>
                <w:rFonts w:hint="default"/>
                <w:b/>
                <w:bCs/>
                <w:color w:val="auto"/>
                <w:sz w:val="24"/>
                <w:szCs w:val="24"/>
                <w:highlight w:val="none"/>
              </w:rPr>
              <w:t xml:space="preserve">表2-1  </w:t>
            </w:r>
            <w:r>
              <w:rPr>
                <w:rFonts w:hint="eastAsia"/>
                <w:b/>
                <w:bCs/>
                <w:color w:val="auto"/>
                <w:sz w:val="24"/>
                <w:szCs w:val="24"/>
                <w:highlight w:val="none"/>
                <w:lang w:val="en-US" w:eastAsia="zh-CN"/>
              </w:rPr>
              <w:t>项目建设内容</w:t>
            </w:r>
            <w:r>
              <w:rPr>
                <w:rFonts w:hint="default"/>
                <w:b/>
                <w:bCs/>
                <w:color w:val="auto"/>
                <w:sz w:val="24"/>
                <w:szCs w:val="24"/>
                <w:highlight w:val="none"/>
              </w:rPr>
              <w:t>一览表</w:t>
            </w:r>
          </w:p>
          <w:tbl>
            <w:tblPr>
              <w:tblStyle w:val="30"/>
              <w:tblW w:w="7817"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76"/>
              <w:gridCol w:w="1032"/>
              <w:gridCol w:w="447"/>
              <w:gridCol w:w="435"/>
              <w:gridCol w:w="3646"/>
              <w:gridCol w:w="1481"/>
            </w:tblGrid>
            <w:tr w14:paraId="7AC9ED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2" w:hRule="atLeast"/>
              </w:trPr>
              <w:tc>
                <w:tcPr>
                  <w:tcW w:w="496" w:type="pct"/>
                  <w:tcBorders>
                    <w:tl2br w:val="nil"/>
                    <w:tr2bl w:val="nil"/>
                  </w:tcBorders>
                  <w:shd w:val="clear" w:color="auto" w:fill="auto"/>
                  <w:vAlign w:val="center"/>
                </w:tcPr>
                <w:p w14:paraId="5F9F9657">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类别</w:t>
                  </w:r>
                </w:p>
              </w:tc>
              <w:tc>
                <w:tcPr>
                  <w:tcW w:w="660" w:type="pct"/>
                  <w:tcBorders>
                    <w:tl2br w:val="nil"/>
                    <w:tr2bl w:val="nil"/>
                  </w:tcBorders>
                  <w:shd w:val="clear" w:color="auto" w:fill="auto"/>
                  <w:vAlign w:val="center"/>
                </w:tcPr>
                <w:p w14:paraId="54900D68">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名称</w:t>
                  </w:r>
                </w:p>
              </w:tc>
              <w:tc>
                <w:tcPr>
                  <w:tcW w:w="2896" w:type="pct"/>
                  <w:gridSpan w:val="3"/>
                  <w:tcBorders>
                    <w:tl2br w:val="nil"/>
                    <w:tr2bl w:val="nil"/>
                  </w:tcBorders>
                  <w:shd w:val="clear" w:color="auto" w:fill="auto"/>
                  <w:vAlign w:val="center"/>
                </w:tcPr>
                <w:p w14:paraId="4788CFA6">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工程内容</w:t>
                  </w:r>
                </w:p>
              </w:tc>
              <w:tc>
                <w:tcPr>
                  <w:tcW w:w="947" w:type="pct"/>
                  <w:tcBorders>
                    <w:tl2br w:val="nil"/>
                    <w:tr2bl w:val="nil"/>
                  </w:tcBorders>
                  <w:shd w:val="clear" w:color="auto" w:fill="auto"/>
                  <w:vAlign w:val="center"/>
                </w:tcPr>
                <w:p w14:paraId="29BD4C3B">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备注</w:t>
                  </w:r>
                </w:p>
              </w:tc>
            </w:tr>
            <w:tr w14:paraId="5DBE9E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25" w:hRule="atLeast"/>
              </w:trPr>
              <w:tc>
                <w:tcPr>
                  <w:tcW w:w="496" w:type="pct"/>
                  <w:vMerge w:val="restart"/>
                  <w:tcBorders>
                    <w:tl2br w:val="nil"/>
                    <w:tr2bl w:val="nil"/>
                  </w:tcBorders>
                  <w:shd w:val="clear" w:color="auto" w:fill="auto"/>
                  <w:vAlign w:val="center"/>
                </w:tcPr>
                <w:p w14:paraId="493F7BA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主体工程</w:t>
                  </w:r>
                </w:p>
              </w:tc>
              <w:tc>
                <w:tcPr>
                  <w:tcW w:w="660" w:type="pct"/>
                  <w:vMerge w:val="restart"/>
                  <w:tcBorders>
                    <w:tl2br w:val="nil"/>
                    <w:tr2bl w:val="nil"/>
                  </w:tcBorders>
                  <w:shd w:val="clear" w:color="auto" w:fill="auto"/>
                  <w:vAlign w:val="center"/>
                </w:tcPr>
                <w:p w14:paraId="3DBF5D6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实验区</w:t>
                  </w:r>
                </w:p>
              </w:tc>
              <w:tc>
                <w:tcPr>
                  <w:tcW w:w="564" w:type="pct"/>
                  <w:gridSpan w:val="2"/>
                  <w:tcBorders>
                    <w:tl2br w:val="nil"/>
                    <w:tr2bl w:val="nil"/>
                  </w:tcBorders>
                  <w:shd w:val="clear" w:color="auto" w:fill="auto"/>
                  <w:vAlign w:val="center"/>
                </w:tcPr>
                <w:p w14:paraId="7757D2C4">
                  <w:pPr>
                    <w:keepNext w:val="0"/>
                    <w:keepLines w:val="0"/>
                    <w:widowControl/>
                    <w:suppressLineNumbers w:val="0"/>
                    <w:jc w:val="both"/>
                    <w:textAlignment w:val="center"/>
                    <w:rPr>
                      <w:rFonts w:hint="eastAsia"/>
                      <w:color w:val="auto"/>
                      <w:spacing w:val="5"/>
                      <w:sz w:val="21"/>
                      <w:szCs w:val="21"/>
                      <w:highlight w:val="none"/>
                    </w:rPr>
                  </w:pPr>
                  <w:r>
                    <w:rPr>
                      <w:rFonts w:hint="eastAsia"/>
                      <w:color w:val="auto"/>
                      <w:spacing w:val="5"/>
                      <w:sz w:val="21"/>
                      <w:szCs w:val="21"/>
                      <w:highlight w:val="none"/>
                    </w:rPr>
                    <w:t>探试</w:t>
                  </w:r>
                </w:p>
                <w:p w14:paraId="0701916C">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color w:val="auto"/>
                      <w:spacing w:val="5"/>
                      <w:sz w:val="21"/>
                      <w:szCs w:val="21"/>
                      <w:highlight w:val="none"/>
                    </w:rPr>
                    <w:t>实验室</w:t>
                  </w:r>
                </w:p>
              </w:tc>
              <w:tc>
                <w:tcPr>
                  <w:tcW w:w="2332" w:type="pct"/>
                  <w:tcBorders>
                    <w:tl2br w:val="nil"/>
                    <w:tr2bl w:val="nil"/>
                  </w:tcBorders>
                  <w:shd w:val="clear" w:color="auto" w:fill="auto"/>
                  <w:vAlign w:val="center"/>
                </w:tcPr>
                <w:p w14:paraId="2285A555">
                  <w:pPr>
                    <w:keepNext w:val="0"/>
                    <w:keepLines w:val="0"/>
                    <w:widowControl/>
                    <w:suppressLineNumbers w:val="0"/>
                    <w:jc w:val="both"/>
                    <w:textAlignment w:val="center"/>
                    <w:rPr>
                      <w:rFonts w:hint="eastAsia" w:ascii="宋体" w:hAnsi="宋体" w:eastAsia="宋体" w:cs="宋体"/>
                      <w:i w:val="0"/>
                      <w:iCs w:val="0"/>
                      <w:color w:val="auto"/>
                      <w:sz w:val="21"/>
                      <w:szCs w:val="21"/>
                      <w:u w:val="none"/>
                      <w:lang w:eastAsia="zh-CN"/>
                    </w:rPr>
                  </w:pPr>
                  <w:r>
                    <w:rPr>
                      <w:rFonts w:hint="eastAsia"/>
                      <w:color w:val="auto"/>
                      <w:spacing w:val="5"/>
                      <w:sz w:val="21"/>
                      <w:szCs w:val="21"/>
                      <w:highlight w:val="none"/>
                    </w:rPr>
                    <w:t>探试实验室位于西</w:t>
                  </w:r>
                  <w:r>
                    <w:rPr>
                      <w:rFonts w:hint="eastAsia"/>
                      <w:color w:val="auto"/>
                      <w:spacing w:val="5"/>
                      <w:sz w:val="21"/>
                      <w:szCs w:val="21"/>
                      <w:highlight w:val="none"/>
                      <w:lang w:val="en-US" w:eastAsia="zh-CN"/>
                    </w:rPr>
                    <w:t>南</w:t>
                  </w:r>
                  <w:r>
                    <w:rPr>
                      <w:rFonts w:hint="eastAsia"/>
                      <w:color w:val="auto"/>
                      <w:spacing w:val="5"/>
                      <w:sz w:val="21"/>
                      <w:szCs w:val="21"/>
                      <w:highlight w:val="none"/>
                    </w:rPr>
                    <w:t>侧三间，建筑面积各为52m</w:t>
                  </w:r>
                  <w:r>
                    <w:rPr>
                      <w:rFonts w:hint="eastAsia"/>
                      <w:color w:val="auto"/>
                      <w:spacing w:val="5"/>
                      <w:sz w:val="21"/>
                      <w:szCs w:val="21"/>
                      <w:highlight w:val="none"/>
                      <w:vertAlign w:val="superscript"/>
                    </w:rPr>
                    <w:t>2</w:t>
                  </w:r>
                  <w:r>
                    <w:rPr>
                      <w:rFonts w:hint="eastAsia"/>
                      <w:color w:val="auto"/>
                      <w:spacing w:val="5"/>
                      <w:sz w:val="21"/>
                      <w:szCs w:val="21"/>
                      <w:highlight w:val="none"/>
                    </w:rPr>
                    <w:t>，主要进行药物活性分子化合物合成</w:t>
                  </w:r>
                  <w:r>
                    <w:rPr>
                      <w:rFonts w:hint="eastAsia"/>
                      <w:color w:val="auto"/>
                      <w:spacing w:val="5"/>
                      <w:sz w:val="21"/>
                      <w:szCs w:val="21"/>
                      <w:highlight w:val="none"/>
                      <w:lang w:eastAsia="zh-CN"/>
                    </w:rPr>
                    <w:t>。</w:t>
                  </w:r>
                </w:p>
              </w:tc>
              <w:tc>
                <w:tcPr>
                  <w:tcW w:w="947" w:type="pct"/>
                  <w:vMerge w:val="restart"/>
                  <w:tcBorders>
                    <w:tl2br w:val="nil"/>
                    <w:tr2bl w:val="nil"/>
                  </w:tcBorders>
                  <w:shd w:val="clear" w:color="auto" w:fill="auto"/>
                  <w:vAlign w:val="center"/>
                </w:tcPr>
                <w:p w14:paraId="614C68A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依托原有</w:t>
                  </w:r>
                </w:p>
              </w:tc>
            </w:tr>
            <w:tr w14:paraId="7269A9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25" w:hRule="atLeast"/>
              </w:trPr>
              <w:tc>
                <w:tcPr>
                  <w:tcW w:w="496" w:type="pct"/>
                  <w:vMerge w:val="continue"/>
                  <w:tcBorders>
                    <w:tl2br w:val="nil"/>
                    <w:tr2bl w:val="nil"/>
                  </w:tcBorders>
                  <w:shd w:val="clear" w:color="auto" w:fill="auto"/>
                  <w:vAlign w:val="center"/>
                </w:tcPr>
                <w:p w14:paraId="5C9F527D">
                  <w:pPr>
                    <w:keepNext w:val="0"/>
                    <w:keepLines w:val="0"/>
                    <w:widowControl/>
                    <w:suppressLineNumbers w:val="0"/>
                    <w:jc w:val="both"/>
                    <w:textAlignment w:val="center"/>
                    <w:rPr>
                      <w:color w:val="auto"/>
                    </w:rPr>
                  </w:pPr>
                </w:p>
              </w:tc>
              <w:tc>
                <w:tcPr>
                  <w:tcW w:w="660" w:type="pct"/>
                  <w:vMerge w:val="continue"/>
                  <w:tcBorders>
                    <w:tl2br w:val="nil"/>
                    <w:tr2bl w:val="nil"/>
                  </w:tcBorders>
                  <w:shd w:val="clear" w:color="auto" w:fill="auto"/>
                  <w:vAlign w:val="center"/>
                </w:tcPr>
                <w:p w14:paraId="4CC9ADFC">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p>
              </w:tc>
              <w:tc>
                <w:tcPr>
                  <w:tcW w:w="564" w:type="pct"/>
                  <w:gridSpan w:val="2"/>
                  <w:tcBorders>
                    <w:tl2br w:val="nil"/>
                    <w:tr2bl w:val="nil"/>
                  </w:tcBorders>
                  <w:shd w:val="clear" w:color="auto" w:fill="auto"/>
                  <w:vAlign w:val="center"/>
                </w:tcPr>
                <w:p w14:paraId="79046627">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color w:val="auto"/>
                      <w:spacing w:val="5"/>
                      <w:sz w:val="21"/>
                      <w:szCs w:val="21"/>
                      <w:highlight w:val="none"/>
                    </w:rPr>
                    <w:t>小试实验室</w:t>
                  </w:r>
                </w:p>
              </w:tc>
              <w:tc>
                <w:tcPr>
                  <w:tcW w:w="2332" w:type="pct"/>
                  <w:tcBorders>
                    <w:tl2br w:val="nil"/>
                    <w:tr2bl w:val="nil"/>
                  </w:tcBorders>
                  <w:shd w:val="clear" w:color="auto" w:fill="auto"/>
                  <w:vAlign w:val="center"/>
                </w:tcPr>
                <w:p w14:paraId="0188B300">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color w:val="auto"/>
                      <w:spacing w:val="5"/>
                      <w:sz w:val="21"/>
                      <w:szCs w:val="21"/>
                      <w:highlight w:val="none"/>
                    </w:rPr>
                    <w:t>小试实验室位于西</w:t>
                  </w:r>
                  <w:r>
                    <w:rPr>
                      <w:rFonts w:hint="eastAsia"/>
                      <w:color w:val="auto"/>
                      <w:spacing w:val="5"/>
                      <w:sz w:val="21"/>
                      <w:szCs w:val="21"/>
                      <w:highlight w:val="none"/>
                      <w:lang w:val="en-US" w:eastAsia="zh-CN"/>
                    </w:rPr>
                    <w:t>北</w:t>
                  </w:r>
                  <w:r>
                    <w:rPr>
                      <w:rFonts w:hint="eastAsia"/>
                      <w:color w:val="auto"/>
                      <w:spacing w:val="5"/>
                      <w:sz w:val="21"/>
                      <w:szCs w:val="21"/>
                      <w:highlight w:val="none"/>
                    </w:rPr>
                    <w:t>侧一间，建筑面积140.96m</w:t>
                  </w:r>
                  <w:r>
                    <w:rPr>
                      <w:rFonts w:hint="eastAsia"/>
                      <w:color w:val="auto"/>
                      <w:spacing w:val="5"/>
                      <w:sz w:val="21"/>
                      <w:szCs w:val="21"/>
                      <w:highlight w:val="none"/>
                      <w:vertAlign w:val="superscript"/>
                    </w:rPr>
                    <w:t>2</w:t>
                  </w:r>
                  <w:r>
                    <w:rPr>
                      <w:rFonts w:hint="eastAsia"/>
                      <w:color w:val="auto"/>
                      <w:spacing w:val="5"/>
                      <w:sz w:val="21"/>
                      <w:szCs w:val="21"/>
                      <w:highlight w:val="none"/>
                    </w:rPr>
                    <w:t>，主要进行医药中间体工艺</w:t>
                  </w:r>
                  <w:r>
                    <w:rPr>
                      <w:rFonts w:hint="eastAsia"/>
                      <w:color w:val="auto"/>
                      <w:spacing w:val="5"/>
                      <w:sz w:val="21"/>
                      <w:szCs w:val="21"/>
                      <w:highlight w:val="none"/>
                      <w:lang w:val="en-US" w:eastAsia="zh-CN"/>
                    </w:rPr>
                    <w:t>探究</w:t>
                  </w:r>
                </w:p>
              </w:tc>
              <w:tc>
                <w:tcPr>
                  <w:tcW w:w="947" w:type="pct"/>
                  <w:vMerge w:val="continue"/>
                  <w:tcBorders>
                    <w:tl2br w:val="nil"/>
                    <w:tr2bl w:val="nil"/>
                  </w:tcBorders>
                  <w:shd w:val="clear" w:color="auto" w:fill="auto"/>
                  <w:vAlign w:val="center"/>
                </w:tcPr>
                <w:p w14:paraId="7AC257B4">
                  <w:pPr>
                    <w:keepNext w:val="0"/>
                    <w:keepLines w:val="0"/>
                    <w:widowControl/>
                    <w:suppressLineNumbers w:val="0"/>
                    <w:jc w:val="both"/>
                    <w:textAlignment w:val="center"/>
                    <w:rPr>
                      <w:rFonts w:hint="eastAsia" w:ascii="宋体" w:hAnsi="宋体" w:eastAsia="宋体" w:cs="宋体"/>
                      <w:i w:val="0"/>
                      <w:iCs w:val="0"/>
                      <w:color w:val="auto"/>
                      <w:kern w:val="0"/>
                      <w:sz w:val="21"/>
                      <w:szCs w:val="21"/>
                      <w:u w:val="none"/>
                      <w:lang w:val="en-US" w:eastAsia="zh-CN" w:bidi="ar"/>
                    </w:rPr>
                  </w:pPr>
                </w:p>
              </w:tc>
            </w:tr>
            <w:tr w14:paraId="5FD10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5" w:hRule="atLeast"/>
              </w:trPr>
              <w:tc>
                <w:tcPr>
                  <w:tcW w:w="496" w:type="pct"/>
                  <w:vMerge w:val="continue"/>
                  <w:tcBorders>
                    <w:tl2br w:val="nil"/>
                    <w:tr2bl w:val="nil"/>
                  </w:tcBorders>
                  <w:shd w:val="clear" w:color="auto" w:fill="auto"/>
                  <w:vAlign w:val="center"/>
                </w:tcPr>
                <w:p w14:paraId="377B2015">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1A5CF9E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分析测试室</w:t>
                  </w:r>
                </w:p>
              </w:tc>
              <w:tc>
                <w:tcPr>
                  <w:tcW w:w="2896" w:type="pct"/>
                  <w:gridSpan w:val="3"/>
                  <w:tcBorders>
                    <w:tl2br w:val="nil"/>
                    <w:tr2bl w:val="nil"/>
                  </w:tcBorders>
                  <w:shd w:val="clear" w:color="auto" w:fill="auto"/>
                  <w:vAlign w:val="center"/>
                </w:tcPr>
                <w:p w14:paraId="5BBBCDD6">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分析测试室位于</w:t>
                  </w:r>
                  <w:r>
                    <w:rPr>
                      <w:rFonts w:hint="default" w:ascii="Times New Roman" w:hAnsi="Times New Roman" w:eastAsia="宋体" w:cs="Times New Roman"/>
                      <w:i w:val="0"/>
                      <w:iCs w:val="0"/>
                      <w:color w:val="auto"/>
                      <w:kern w:val="0"/>
                      <w:sz w:val="21"/>
                      <w:szCs w:val="21"/>
                      <w:u w:val="none"/>
                      <w:lang w:val="en-US" w:eastAsia="zh-CN" w:bidi="ar"/>
                    </w:rPr>
                    <w:t>10601</w:t>
                  </w:r>
                  <w:r>
                    <w:rPr>
                      <w:rFonts w:hint="eastAsia" w:ascii="宋体" w:hAnsi="宋体" w:eastAsia="宋体" w:cs="宋体"/>
                      <w:i w:val="0"/>
                      <w:iCs w:val="0"/>
                      <w:color w:val="auto"/>
                      <w:kern w:val="0"/>
                      <w:sz w:val="21"/>
                      <w:szCs w:val="21"/>
                      <w:u w:val="none"/>
                      <w:lang w:val="en-US" w:eastAsia="zh-CN" w:bidi="ar"/>
                    </w:rPr>
                    <w:t>室，建筑面积</w:t>
                  </w:r>
                  <w:r>
                    <w:rPr>
                      <w:rFonts w:hint="default" w:ascii="Times New Roman" w:hAnsi="Times New Roman" w:eastAsia="宋体" w:cs="Times New Roman"/>
                      <w:i w:val="0"/>
                      <w:iCs w:val="0"/>
                      <w:color w:val="auto"/>
                      <w:kern w:val="0"/>
                      <w:sz w:val="21"/>
                      <w:szCs w:val="21"/>
                      <w:u w:val="none"/>
                      <w:lang w:val="en-US" w:eastAsia="zh-CN" w:bidi="ar"/>
                    </w:rPr>
                    <w:t>106.43m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宋体" w:hAnsi="宋体" w:eastAsia="宋体" w:cs="宋体"/>
                      <w:i w:val="0"/>
                      <w:iCs w:val="0"/>
                      <w:color w:val="auto"/>
                      <w:kern w:val="0"/>
                      <w:sz w:val="21"/>
                      <w:szCs w:val="21"/>
                      <w:u w:val="none"/>
                      <w:lang w:val="en-US" w:eastAsia="zh-CN" w:bidi="ar"/>
                    </w:rPr>
                    <w:t>，设有精密仪器台，主要进行分析测试实验</w:t>
                  </w:r>
                </w:p>
              </w:tc>
              <w:tc>
                <w:tcPr>
                  <w:tcW w:w="947" w:type="pct"/>
                  <w:tcBorders>
                    <w:tl2br w:val="nil"/>
                    <w:tr2bl w:val="nil"/>
                  </w:tcBorders>
                  <w:shd w:val="clear" w:color="auto" w:fill="auto"/>
                  <w:vAlign w:val="center"/>
                </w:tcPr>
                <w:p w14:paraId="5C94693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3C2A22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84" w:hRule="atLeast"/>
              </w:trPr>
              <w:tc>
                <w:tcPr>
                  <w:tcW w:w="496" w:type="pct"/>
                  <w:vMerge w:val="restart"/>
                  <w:tcBorders>
                    <w:tl2br w:val="nil"/>
                    <w:tr2bl w:val="nil"/>
                  </w:tcBorders>
                  <w:shd w:val="clear" w:color="auto" w:fill="auto"/>
                  <w:vAlign w:val="center"/>
                </w:tcPr>
                <w:p w14:paraId="0823E1C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辅助工程</w:t>
                  </w:r>
                </w:p>
              </w:tc>
              <w:tc>
                <w:tcPr>
                  <w:tcW w:w="660" w:type="pct"/>
                  <w:tcBorders>
                    <w:tl2br w:val="nil"/>
                    <w:tr2bl w:val="nil"/>
                  </w:tcBorders>
                  <w:shd w:val="clear" w:color="auto" w:fill="auto"/>
                  <w:vAlign w:val="center"/>
                </w:tcPr>
                <w:p w14:paraId="1371B6E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办公区</w:t>
                  </w:r>
                </w:p>
              </w:tc>
              <w:tc>
                <w:tcPr>
                  <w:tcW w:w="2896" w:type="pct"/>
                  <w:gridSpan w:val="3"/>
                  <w:tcBorders>
                    <w:tl2br w:val="nil"/>
                    <w:tr2bl w:val="nil"/>
                  </w:tcBorders>
                  <w:shd w:val="clear" w:color="auto" w:fill="auto"/>
                  <w:vAlign w:val="center"/>
                </w:tcPr>
                <w:p w14:paraId="1BFC89F9">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办公区位于</w:t>
                  </w:r>
                  <w:r>
                    <w:rPr>
                      <w:rFonts w:hint="default" w:ascii="Times New Roman" w:hAnsi="Times New Roman" w:eastAsia="宋体" w:cs="Times New Roman"/>
                      <w:i w:val="0"/>
                      <w:iCs w:val="0"/>
                      <w:color w:val="auto"/>
                      <w:kern w:val="0"/>
                      <w:sz w:val="21"/>
                      <w:szCs w:val="21"/>
                      <w:u w:val="none"/>
                      <w:lang w:val="en-US" w:eastAsia="zh-CN" w:bidi="ar"/>
                    </w:rPr>
                    <w:t>10601</w:t>
                  </w:r>
                  <w:r>
                    <w:rPr>
                      <w:rFonts w:hint="eastAsia" w:ascii="宋体" w:hAnsi="宋体" w:eastAsia="宋体" w:cs="宋体"/>
                      <w:i w:val="0"/>
                      <w:iCs w:val="0"/>
                      <w:color w:val="auto"/>
                      <w:kern w:val="0"/>
                      <w:sz w:val="21"/>
                      <w:szCs w:val="21"/>
                      <w:u w:val="none"/>
                      <w:lang w:val="en-US" w:eastAsia="zh-CN" w:bidi="ar"/>
                    </w:rPr>
                    <w:t>室东南侧，包括资料室、茶歇间、会议室、办公室等</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建筑面积</w:t>
                  </w:r>
                  <w:r>
                    <w:rPr>
                      <w:rFonts w:hint="default" w:ascii="Times New Roman" w:hAnsi="Times New Roman" w:eastAsia="宋体" w:cs="Times New Roman"/>
                      <w:i w:val="0"/>
                      <w:iCs w:val="0"/>
                      <w:color w:val="auto"/>
                      <w:kern w:val="0"/>
                      <w:sz w:val="21"/>
                      <w:szCs w:val="21"/>
                      <w:u w:val="none"/>
                      <w:lang w:val="en-US" w:eastAsia="zh-CN" w:bidi="ar"/>
                    </w:rPr>
                    <w:t>235.47m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宋体" w:hAnsi="宋体" w:eastAsia="宋体" w:cs="宋体"/>
                      <w:i w:val="0"/>
                      <w:iCs w:val="0"/>
                      <w:color w:val="auto"/>
                      <w:kern w:val="0"/>
                      <w:sz w:val="21"/>
                      <w:szCs w:val="21"/>
                      <w:u w:val="none"/>
                      <w:lang w:val="en-US" w:eastAsia="zh-CN" w:bidi="ar"/>
                    </w:rPr>
                    <w:t>，主要用于员工的日常办公和会议招待</w:t>
                  </w:r>
                  <w:r>
                    <w:rPr>
                      <w:rFonts w:hint="eastAsia" w:ascii="宋体" w:hAnsi="宋体" w:cs="宋体"/>
                      <w:i w:val="0"/>
                      <w:iCs w:val="0"/>
                      <w:color w:val="auto"/>
                      <w:kern w:val="0"/>
                      <w:sz w:val="21"/>
                      <w:szCs w:val="21"/>
                      <w:u w:val="none"/>
                      <w:lang w:val="en-US" w:eastAsia="zh-CN" w:bidi="ar"/>
                    </w:rPr>
                    <w:t>。</w:t>
                  </w:r>
                </w:p>
              </w:tc>
              <w:tc>
                <w:tcPr>
                  <w:tcW w:w="947" w:type="pct"/>
                  <w:tcBorders>
                    <w:tl2br w:val="nil"/>
                    <w:tr2bl w:val="nil"/>
                  </w:tcBorders>
                  <w:shd w:val="clear" w:color="auto" w:fill="auto"/>
                  <w:vAlign w:val="center"/>
                </w:tcPr>
                <w:p w14:paraId="1208A4B4">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cs="宋体"/>
                      <w:i w:val="0"/>
                      <w:iCs w:val="0"/>
                      <w:color w:val="auto"/>
                      <w:kern w:val="0"/>
                      <w:sz w:val="21"/>
                      <w:szCs w:val="21"/>
                      <w:u w:val="none"/>
                      <w:lang w:val="en-US" w:eastAsia="zh-CN" w:bidi="ar"/>
                    </w:rPr>
                    <w:t>依托原有</w:t>
                  </w:r>
                </w:p>
              </w:tc>
            </w:tr>
            <w:tr w14:paraId="57B0E9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98" w:hRule="atLeast"/>
              </w:trPr>
              <w:tc>
                <w:tcPr>
                  <w:tcW w:w="496" w:type="pct"/>
                  <w:vMerge w:val="continue"/>
                  <w:tcBorders>
                    <w:tl2br w:val="nil"/>
                    <w:tr2bl w:val="nil"/>
                  </w:tcBorders>
                  <w:shd w:val="clear" w:color="auto" w:fill="auto"/>
                  <w:vAlign w:val="center"/>
                </w:tcPr>
                <w:p w14:paraId="1C0B790E">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0A20C57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通风柜</w:t>
                  </w:r>
                </w:p>
              </w:tc>
              <w:tc>
                <w:tcPr>
                  <w:tcW w:w="2896" w:type="pct"/>
                  <w:gridSpan w:val="3"/>
                  <w:tcBorders>
                    <w:tl2br w:val="nil"/>
                    <w:tr2bl w:val="nil"/>
                  </w:tcBorders>
                  <w:shd w:val="clear" w:color="auto" w:fill="auto"/>
                  <w:vAlign w:val="center"/>
                </w:tcPr>
                <w:p w14:paraId="26D7F6A1">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共</w:t>
                  </w:r>
                  <w:r>
                    <w:rPr>
                      <w:rFonts w:hint="eastAsia" w:ascii="宋体" w:hAnsi="宋体" w:eastAsia="宋体" w:cs="宋体"/>
                      <w:i w:val="0"/>
                      <w:iCs w:val="0"/>
                      <w:color w:val="auto"/>
                      <w:kern w:val="0"/>
                      <w:sz w:val="21"/>
                      <w:szCs w:val="21"/>
                      <w:u w:val="none"/>
                      <w:lang w:val="en-US" w:eastAsia="zh-CN" w:bidi="ar"/>
                    </w:rPr>
                    <w:t>有</w:t>
                  </w:r>
                  <w:r>
                    <w:rPr>
                      <w:rFonts w:hint="default" w:ascii="Times New Roman" w:hAnsi="Times New Roman" w:eastAsia="宋体" w:cs="Times New Roman"/>
                      <w:i w:val="0"/>
                      <w:iCs w:val="0"/>
                      <w:color w:val="auto"/>
                      <w:kern w:val="0"/>
                      <w:sz w:val="21"/>
                      <w:szCs w:val="21"/>
                      <w:u w:val="none"/>
                      <w:lang w:val="en-US" w:eastAsia="zh-CN" w:bidi="ar"/>
                    </w:rPr>
                    <w:t>27</w:t>
                  </w:r>
                  <w:r>
                    <w:rPr>
                      <w:rFonts w:hint="eastAsia" w:ascii="宋体" w:hAnsi="宋体" w:eastAsia="宋体" w:cs="宋体"/>
                      <w:i w:val="0"/>
                      <w:iCs w:val="0"/>
                      <w:color w:val="auto"/>
                      <w:kern w:val="0"/>
                      <w:sz w:val="21"/>
                      <w:szCs w:val="21"/>
                      <w:u w:val="none"/>
                      <w:lang w:val="en-US" w:eastAsia="zh-CN" w:bidi="ar"/>
                    </w:rPr>
                    <w:t>个步入型通风柜，</w:t>
                  </w:r>
                  <w:r>
                    <w:rPr>
                      <w:rFonts w:hint="default" w:ascii="Times New Roman" w:hAnsi="Times New Roman" w:eastAsia="宋体" w:cs="Times New Roman"/>
                      <w:i w:val="0"/>
                      <w:iCs w:val="0"/>
                      <w:color w:val="auto"/>
                      <w:kern w:val="0"/>
                      <w:sz w:val="21"/>
                      <w:szCs w:val="21"/>
                      <w:u w:val="none"/>
                      <w:lang w:val="en-US" w:eastAsia="zh-CN" w:bidi="ar"/>
                    </w:rPr>
                    <w:t>22</w:t>
                  </w:r>
                  <w:r>
                    <w:rPr>
                      <w:rFonts w:hint="eastAsia" w:ascii="宋体" w:hAnsi="宋体" w:eastAsia="宋体" w:cs="宋体"/>
                      <w:i w:val="0"/>
                      <w:iCs w:val="0"/>
                      <w:color w:val="auto"/>
                      <w:kern w:val="0"/>
                      <w:sz w:val="21"/>
                      <w:szCs w:val="21"/>
                      <w:u w:val="none"/>
                      <w:lang w:val="en-US" w:eastAsia="zh-CN" w:bidi="ar"/>
                    </w:rPr>
                    <w:t>个台式通风柜，</w:t>
                  </w:r>
                  <w:r>
                    <w:rPr>
                      <w:rFonts w:hint="default" w:ascii="Times New Roman" w:hAnsi="Times New Roman" w:eastAsia="宋体" w:cs="Times New Roman"/>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个桌上型通风</w:t>
                  </w:r>
                </w:p>
              </w:tc>
              <w:tc>
                <w:tcPr>
                  <w:tcW w:w="947" w:type="pct"/>
                  <w:tcBorders>
                    <w:tl2br w:val="nil"/>
                    <w:tr2bl w:val="nil"/>
                  </w:tcBorders>
                  <w:shd w:val="clear" w:color="auto" w:fill="auto"/>
                  <w:vAlign w:val="center"/>
                </w:tcPr>
                <w:p w14:paraId="0BDFC3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450132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496" w:type="pct"/>
                  <w:vMerge w:val="restart"/>
                  <w:tcBorders>
                    <w:tl2br w:val="nil"/>
                    <w:tr2bl w:val="nil"/>
                  </w:tcBorders>
                  <w:shd w:val="clear" w:color="auto" w:fill="auto"/>
                  <w:vAlign w:val="center"/>
                </w:tcPr>
                <w:p w14:paraId="459F18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储运工程</w:t>
                  </w:r>
                </w:p>
              </w:tc>
              <w:tc>
                <w:tcPr>
                  <w:tcW w:w="660" w:type="pct"/>
                  <w:tcBorders>
                    <w:tl2br w:val="nil"/>
                    <w:tr2bl w:val="nil"/>
                  </w:tcBorders>
                  <w:shd w:val="clear" w:color="auto" w:fill="auto"/>
                  <w:vAlign w:val="center"/>
                </w:tcPr>
                <w:p w14:paraId="6675E94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试剂室</w:t>
                  </w:r>
                </w:p>
              </w:tc>
              <w:tc>
                <w:tcPr>
                  <w:tcW w:w="2896" w:type="pct"/>
                  <w:gridSpan w:val="3"/>
                  <w:tcBorders>
                    <w:tl2br w:val="nil"/>
                    <w:tr2bl w:val="nil"/>
                  </w:tcBorders>
                  <w:shd w:val="clear" w:color="auto" w:fill="auto"/>
                  <w:vAlign w:val="center"/>
                </w:tcPr>
                <w:p w14:paraId="49E693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位于</w:t>
                  </w:r>
                  <w:r>
                    <w:rPr>
                      <w:rFonts w:hint="eastAsia" w:cs="Times New Roman"/>
                      <w:i w:val="0"/>
                      <w:iCs w:val="0"/>
                      <w:color w:val="auto"/>
                      <w:kern w:val="0"/>
                      <w:sz w:val="21"/>
                      <w:szCs w:val="21"/>
                      <w:u w:val="none"/>
                      <w:lang w:val="en-US" w:eastAsia="zh-CN" w:bidi="ar"/>
                    </w:rPr>
                    <w:t>西侧中间</w:t>
                  </w:r>
                  <w:r>
                    <w:rPr>
                      <w:rFonts w:hint="eastAsia" w:ascii="宋体" w:hAnsi="宋体" w:eastAsia="宋体" w:cs="宋体"/>
                      <w:i w:val="0"/>
                      <w:iCs w:val="0"/>
                      <w:color w:val="auto"/>
                      <w:kern w:val="0"/>
                      <w:sz w:val="21"/>
                      <w:szCs w:val="21"/>
                      <w:u w:val="none"/>
                      <w:lang w:val="en-US" w:eastAsia="zh-CN" w:bidi="ar"/>
                    </w:rPr>
                    <w:t>，</w:t>
                  </w:r>
                  <w:r>
                    <w:rPr>
                      <w:rFonts w:hint="eastAsia" w:ascii="宋体" w:hAnsi="宋体" w:cs="宋体"/>
                      <w:i w:val="0"/>
                      <w:iCs w:val="0"/>
                      <w:color w:val="auto"/>
                      <w:kern w:val="0"/>
                      <w:sz w:val="21"/>
                      <w:szCs w:val="21"/>
                      <w:u w:val="none"/>
                      <w:lang w:val="en-US" w:eastAsia="zh-CN" w:bidi="ar"/>
                    </w:rPr>
                    <w:t>共两间，</w:t>
                  </w:r>
                  <w:r>
                    <w:rPr>
                      <w:rFonts w:hint="eastAsia" w:ascii="宋体" w:hAnsi="宋体" w:eastAsia="宋体" w:cs="宋体"/>
                      <w:i w:val="0"/>
                      <w:iCs w:val="0"/>
                      <w:color w:val="auto"/>
                      <w:kern w:val="0"/>
                      <w:sz w:val="21"/>
                      <w:szCs w:val="21"/>
                      <w:u w:val="none"/>
                      <w:lang w:val="en-US" w:eastAsia="zh-CN" w:bidi="ar"/>
                    </w:rPr>
                    <w:t>建筑面积</w:t>
                  </w:r>
                  <w:r>
                    <w:rPr>
                      <w:rFonts w:hint="eastAsia" w:cs="Times New Roman"/>
                      <w:i w:val="0"/>
                      <w:iCs w:val="0"/>
                      <w:color w:val="auto"/>
                      <w:kern w:val="0"/>
                      <w:sz w:val="21"/>
                      <w:szCs w:val="21"/>
                      <w:u w:val="none"/>
                      <w:lang w:val="en-US" w:eastAsia="zh-CN" w:bidi="ar"/>
                    </w:rPr>
                    <w:t>34.14</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宋体" w:hAnsi="宋体" w:eastAsia="宋体" w:cs="宋体"/>
                      <w:i w:val="0"/>
                      <w:iCs w:val="0"/>
                      <w:color w:val="auto"/>
                      <w:kern w:val="0"/>
                      <w:sz w:val="21"/>
                      <w:szCs w:val="21"/>
                      <w:u w:val="none"/>
                      <w:lang w:val="en-US" w:eastAsia="zh-CN" w:bidi="ar"/>
                    </w:rPr>
                    <w:t>，主要存放试剂</w:t>
                  </w:r>
                </w:p>
              </w:tc>
              <w:tc>
                <w:tcPr>
                  <w:tcW w:w="947" w:type="pct"/>
                  <w:tcBorders>
                    <w:tl2br w:val="nil"/>
                    <w:tr2bl w:val="nil"/>
                  </w:tcBorders>
                  <w:shd w:val="clear" w:color="auto" w:fill="auto"/>
                  <w:vAlign w:val="center"/>
                </w:tcPr>
                <w:p w14:paraId="6FC29A7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444AA4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6" w:hRule="atLeast"/>
              </w:trPr>
              <w:tc>
                <w:tcPr>
                  <w:tcW w:w="496" w:type="pct"/>
                  <w:vMerge w:val="continue"/>
                  <w:tcBorders>
                    <w:tl2br w:val="nil"/>
                    <w:tr2bl w:val="nil"/>
                  </w:tcBorders>
                  <w:shd w:val="clear" w:color="auto" w:fill="auto"/>
                  <w:vAlign w:val="center"/>
                </w:tcPr>
                <w:p w14:paraId="336583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660" w:type="pct"/>
                  <w:tcBorders>
                    <w:tl2br w:val="nil"/>
                    <w:tr2bl w:val="nil"/>
                  </w:tcBorders>
                  <w:shd w:val="clear" w:color="auto" w:fill="auto"/>
                  <w:vAlign w:val="center"/>
                </w:tcPr>
                <w:p w14:paraId="3C7531AD">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剧毒品库</w:t>
                  </w:r>
                </w:p>
              </w:tc>
              <w:tc>
                <w:tcPr>
                  <w:tcW w:w="2896" w:type="pct"/>
                  <w:gridSpan w:val="3"/>
                  <w:tcBorders>
                    <w:tl2br w:val="nil"/>
                    <w:tr2bl w:val="nil"/>
                  </w:tcBorders>
                  <w:shd w:val="clear" w:color="auto" w:fill="auto"/>
                  <w:vAlign w:val="center"/>
                </w:tcPr>
                <w:p w14:paraId="28EC1532">
                  <w:pPr>
                    <w:keepNext w:val="0"/>
                    <w:keepLines w:val="0"/>
                    <w:widowControl/>
                    <w:suppressLineNumbers w:val="0"/>
                    <w:jc w:val="both"/>
                    <w:textAlignment w:val="center"/>
                    <w:rPr>
                      <w:rFonts w:hint="default" w:ascii="宋体" w:hAnsi="宋体" w:eastAsia="宋体" w:cs="宋体"/>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位于</w:t>
                  </w:r>
                  <w:r>
                    <w:rPr>
                      <w:rFonts w:hint="eastAsia" w:cs="Times New Roman"/>
                      <w:i w:val="0"/>
                      <w:iCs w:val="0"/>
                      <w:color w:val="auto"/>
                      <w:kern w:val="0"/>
                      <w:sz w:val="21"/>
                      <w:szCs w:val="21"/>
                      <w:u w:val="none"/>
                      <w:lang w:val="en-US" w:eastAsia="zh-CN" w:bidi="ar"/>
                    </w:rPr>
                    <w:t>西侧</w:t>
                  </w:r>
                  <w:r>
                    <w:rPr>
                      <w:rFonts w:hint="default" w:ascii="Times New Roman" w:hAnsi="Times New Roman" w:cs="Times New Roman"/>
                      <w:i w:val="0"/>
                      <w:iCs w:val="0"/>
                      <w:color w:val="auto"/>
                      <w:kern w:val="0"/>
                      <w:sz w:val="21"/>
                      <w:szCs w:val="21"/>
                      <w:u w:val="none"/>
                      <w:lang w:val="en-US" w:eastAsia="zh-CN" w:bidi="ar"/>
                    </w:rPr>
                    <w:t>，建筑面积8.33</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Times New Roman" w:hAnsi="Times New Roman" w:eastAsia="宋体" w:cs="Times New Roman"/>
                      <w:i w:val="0"/>
                      <w:iCs w:val="0"/>
                      <w:color w:val="auto"/>
                      <w:kern w:val="0"/>
                      <w:sz w:val="21"/>
                      <w:szCs w:val="21"/>
                      <w:u w:val="none"/>
                      <w:vertAlign w:val="baseline"/>
                      <w:lang w:val="en-US" w:eastAsia="zh-CN" w:bidi="ar"/>
                    </w:rPr>
                    <w:t>，主要存放剧毒药品</w:t>
                  </w:r>
                </w:p>
              </w:tc>
              <w:tc>
                <w:tcPr>
                  <w:tcW w:w="947" w:type="pct"/>
                  <w:tcBorders>
                    <w:tl2br w:val="nil"/>
                    <w:tr2bl w:val="nil"/>
                  </w:tcBorders>
                  <w:shd w:val="clear" w:color="auto" w:fill="auto"/>
                  <w:vAlign w:val="center"/>
                </w:tcPr>
                <w:p w14:paraId="2CE2CC82">
                  <w:pPr>
                    <w:keepNext w:val="0"/>
                    <w:keepLines w:val="0"/>
                    <w:widowControl/>
                    <w:suppressLineNumbers w:val="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依托</w:t>
                  </w:r>
                  <w:r>
                    <w:rPr>
                      <w:rFonts w:hint="eastAsia" w:ascii="宋体" w:hAnsi="宋体" w:eastAsia="宋体" w:cs="宋体"/>
                      <w:i w:val="0"/>
                      <w:iCs w:val="0"/>
                      <w:color w:val="auto"/>
                      <w:kern w:val="0"/>
                      <w:sz w:val="21"/>
                      <w:szCs w:val="21"/>
                      <w:u w:val="none"/>
                      <w:lang w:val="en-US" w:eastAsia="zh-CN" w:bidi="ar"/>
                    </w:rPr>
                    <w:t>现有</w:t>
                  </w:r>
                </w:p>
              </w:tc>
            </w:tr>
            <w:tr w14:paraId="1A6B66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496" w:type="pct"/>
                  <w:vMerge w:val="continue"/>
                  <w:tcBorders>
                    <w:tl2br w:val="nil"/>
                    <w:tr2bl w:val="nil"/>
                  </w:tcBorders>
                  <w:shd w:val="clear" w:color="auto" w:fill="auto"/>
                  <w:vAlign w:val="center"/>
                </w:tcPr>
                <w:p w14:paraId="73D94C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660" w:type="pct"/>
                  <w:tcBorders>
                    <w:tl2br w:val="nil"/>
                    <w:tr2bl w:val="nil"/>
                  </w:tcBorders>
                  <w:shd w:val="clear" w:color="auto" w:fill="auto"/>
                  <w:vAlign w:val="center"/>
                </w:tcPr>
                <w:p w14:paraId="6BD9D3FB">
                  <w:pPr>
                    <w:keepNext w:val="0"/>
                    <w:keepLines w:val="0"/>
                    <w:widowControl/>
                    <w:suppressLineNumbers w:val="0"/>
                    <w:jc w:val="center"/>
                    <w:textAlignment w:val="center"/>
                    <w:rPr>
                      <w:rFonts w:hint="default" w:ascii="宋体" w:hAnsi="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易制爆库</w:t>
                  </w:r>
                </w:p>
              </w:tc>
              <w:tc>
                <w:tcPr>
                  <w:tcW w:w="2896" w:type="pct"/>
                  <w:gridSpan w:val="3"/>
                  <w:tcBorders>
                    <w:tl2br w:val="nil"/>
                    <w:tr2bl w:val="nil"/>
                  </w:tcBorders>
                  <w:shd w:val="clear" w:color="auto" w:fill="auto"/>
                  <w:vAlign w:val="center"/>
                </w:tcPr>
                <w:p w14:paraId="5286A30F">
                  <w:pPr>
                    <w:keepNext w:val="0"/>
                    <w:keepLines w:val="0"/>
                    <w:widowControl/>
                    <w:suppressLineNumbers w:val="0"/>
                    <w:jc w:val="both"/>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位于</w:t>
                  </w:r>
                  <w:r>
                    <w:rPr>
                      <w:rFonts w:hint="eastAsia" w:cs="Times New Roman"/>
                      <w:i w:val="0"/>
                      <w:iCs w:val="0"/>
                      <w:color w:val="auto"/>
                      <w:kern w:val="0"/>
                      <w:sz w:val="21"/>
                      <w:szCs w:val="21"/>
                      <w:u w:val="none"/>
                      <w:lang w:val="en-US" w:eastAsia="zh-CN" w:bidi="ar"/>
                    </w:rPr>
                    <w:t>西侧</w:t>
                  </w:r>
                  <w:r>
                    <w:rPr>
                      <w:rFonts w:hint="default" w:ascii="Times New Roman" w:hAnsi="Times New Roman" w:cs="Times New Roman"/>
                      <w:i w:val="0"/>
                      <w:iCs w:val="0"/>
                      <w:color w:val="auto"/>
                      <w:kern w:val="0"/>
                      <w:sz w:val="21"/>
                      <w:szCs w:val="21"/>
                      <w:u w:val="none"/>
                      <w:lang w:val="en-US" w:eastAsia="zh-CN" w:bidi="ar"/>
                    </w:rPr>
                    <w:t>，建筑面积8.33</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Times New Roman" w:hAnsi="Times New Roman" w:eastAsia="宋体" w:cs="Times New Roman"/>
                      <w:i w:val="0"/>
                      <w:iCs w:val="0"/>
                      <w:color w:val="auto"/>
                      <w:kern w:val="0"/>
                      <w:sz w:val="21"/>
                      <w:szCs w:val="21"/>
                      <w:u w:val="none"/>
                      <w:vertAlign w:val="baseline"/>
                      <w:lang w:val="en-US" w:eastAsia="zh-CN" w:bidi="ar"/>
                    </w:rPr>
                    <w:t>，主要存放</w:t>
                  </w:r>
                  <w:r>
                    <w:rPr>
                      <w:rFonts w:hint="eastAsia" w:cs="Times New Roman"/>
                      <w:i w:val="0"/>
                      <w:iCs w:val="0"/>
                      <w:color w:val="auto"/>
                      <w:kern w:val="0"/>
                      <w:sz w:val="21"/>
                      <w:szCs w:val="21"/>
                      <w:u w:val="none"/>
                      <w:vertAlign w:val="baseline"/>
                      <w:lang w:val="en-US" w:eastAsia="zh-CN" w:bidi="ar"/>
                    </w:rPr>
                    <w:t>易制爆</w:t>
                  </w:r>
                  <w:r>
                    <w:rPr>
                      <w:rFonts w:hint="eastAsia" w:ascii="Times New Roman" w:hAnsi="Times New Roman" w:eastAsia="宋体" w:cs="Times New Roman"/>
                      <w:i w:val="0"/>
                      <w:iCs w:val="0"/>
                      <w:color w:val="auto"/>
                      <w:kern w:val="0"/>
                      <w:sz w:val="21"/>
                      <w:szCs w:val="21"/>
                      <w:u w:val="none"/>
                      <w:vertAlign w:val="baseline"/>
                      <w:lang w:val="en-US" w:eastAsia="zh-CN" w:bidi="ar"/>
                    </w:rPr>
                    <w:t>药品</w:t>
                  </w:r>
                </w:p>
              </w:tc>
              <w:tc>
                <w:tcPr>
                  <w:tcW w:w="947" w:type="pct"/>
                  <w:tcBorders>
                    <w:tl2br w:val="nil"/>
                    <w:tr2bl w:val="nil"/>
                  </w:tcBorders>
                  <w:shd w:val="clear" w:color="auto" w:fill="auto"/>
                  <w:vAlign w:val="center"/>
                </w:tcPr>
                <w:p w14:paraId="4629B9C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依托现有</w:t>
                  </w:r>
                </w:p>
              </w:tc>
            </w:tr>
            <w:tr w14:paraId="3E7DB1B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2" w:hRule="atLeast"/>
              </w:trPr>
              <w:tc>
                <w:tcPr>
                  <w:tcW w:w="496" w:type="pct"/>
                  <w:vMerge w:val="continue"/>
                  <w:tcBorders>
                    <w:tl2br w:val="nil"/>
                    <w:tr2bl w:val="nil"/>
                  </w:tcBorders>
                  <w:shd w:val="clear" w:color="auto" w:fill="auto"/>
                  <w:vAlign w:val="center"/>
                </w:tcPr>
                <w:p w14:paraId="302B4B6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660" w:type="pct"/>
                  <w:tcBorders>
                    <w:tl2br w:val="nil"/>
                    <w:tr2bl w:val="nil"/>
                  </w:tcBorders>
                  <w:shd w:val="clear" w:color="auto" w:fill="auto"/>
                  <w:vAlign w:val="center"/>
                </w:tcPr>
                <w:p w14:paraId="1FDA4E0B">
                  <w:pPr>
                    <w:keepNext w:val="0"/>
                    <w:keepLines w:val="0"/>
                    <w:widowControl/>
                    <w:suppressLineNumbers w:val="0"/>
                    <w:jc w:val="center"/>
                    <w:textAlignment w:val="center"/>
                    <w:rPr>
                      <w:rFonts w:hint="eastAsia" w:ascii="宋体" w:hAnsi="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易制</w:t>
                  </w:r>
                </w:p>
                <w:p w14:paraId="1069022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bidi="ar"/>
                    </w:rPr>
                    <w:t>毒库</w:t>
                  </w:r>
                </w:p>
              </w:tc>
              <w:tc>
                <w:tcPr>
                  <w:tcW w:w="2896" w:type="pct"/>
                  <w:gridSpan w:val="3"/>
                  <w:tcBorders>
                    <w:tl2br w:val="nil"/>
                    <w:tr2bl w:val="nil"/>
                  </w:tcBorders>
                  <w:shd w:val="clear" w:color="auto" w:fill="auto"/>
                  <w:vAlign w:val="center"/>
                </w:tcPr>
                <w:p w14:paraId="4BE9845A">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cs="Times New Roman"/>
                      <w:i w:val="0"/>
                      <w:iCs w:val="0"/>
                      <w:color w:val="auto"/>
                      <w:kern w:val="0"/>
                      <w:sz w:val="21"/>
                      <w:szCs w:val="21"/>
                      <w:u w:val="none"/>
                      <w:lang w:val="en-US" w:eastAsia="zh-CN" w:bidi="ar"/>
                    </w:rPr>
                    <w:t>位于西侧，建筑面积10.35</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cs="Times New Roman"/>
                      <w:i w:val="0"/>
                      <w:iCs w:val="0"/>
                      <w:color w:val="auto"/>
                      <w:kern w:val="0"/>
                      <w:sz w:val="21"/>
                      <w:szCs w:val="21"/>
                      <w:u w:val="none"/>
                      <w:vertAlign w:val="baseline"/>
                      <w:lang w:val="en-US" w:eastAsia="zh-CN" w:bidi="ar"/>
                    </w:rPr>
                    <w:t>，主要存放易制毒药品</w:t>
                  </w:r>
                </w:p>
              </w:tc>
              <w:tc>
                <w:tcPr>
                  <w:tcW w:w="947" w:type="pct"/>
                  <w:tcBorders>
                    <w:tl2br w:val="nil"/>
                    <w:tr2bl w:val="nil"/>
                  </w:tcBorders>
                  <w:shd w:val="clear" w:color="auto" w:fill="auto"/>
                  <w:vAlign w:val="center"/>
                </w:tcPr>
                <w:p w14:paraId="32272D43">
                  <w:pPr>
                    <w:keepNext w:val="0"/>
                    <w:keepLines w:val="0"/>
                    <w:widowControl/>
                    <w:suppressLineNumbers w:val="0"/>
                    <w:jc w:val="center"/>
                    <w:textAlignment w:val="center"/>
                    <w:rPr>
                      <w:rFonts w:hint="eastAsia" w:ascii="宋体" w:hAnsi="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依托</w:t>
                  </w:r>
                  <w:r>
                    <w:rPr>
                      <w:rFonts w:hint="eastAsia" w:ascii="宋体" w:hAnsi="宋体" w:eastAsia="宋体" w:cs="宋体"/>
                      <w:i w:val="0"/>
                      <w:iCs w:val="0"/>
                      <w:color w:val="auto"/>
                      <w:kern w:val="0"/>
                      <w:sz w:val="21"/>
                      <w:szCs w:val="21"/>
                      <w:u w:val="none"/>
                      <w:lang w:val="en-US" w:eastAsia="zh-CN" w:bidi="ar"/>
                    </w:rPr>
                    <w:t>现有</w:t>
                  </w:r>
                </w:p>
                <w:p w14:paraId="4787F79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r>
            <w:tr w14:paraId="122546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1" w:hRule="atLeast"/>
              </w:trPr>
              <w:tc>
                <w:tcPr>
                  <w:tcW w:w="496" w:type="pct"/>
                  <w:vMerge w:val="continue"/>
                  <w:tcBorders>
                    <w:tl2br w:val="nil"/>
                    <w:tr2bl w:val="nil"/>
                  </w:tcBorders>
                  <w:shd w:val="clear" w:color="auto" w:fill="auto"/>
                  <w:vAlign w:val="center"/>
                </w:tcPr>
                <w:p w14:paraId="70F339F9">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054DB1B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储藏室</w:t>
                  </w:r>
                </w:p>
              </w:tc>
              <w:tc>
                <w:tcPr>
                  <w:tcW w:w="2896" w:type="pct"/>
                  <w:gridSpan w:val="3"/>
                  <w:tcBorders>
                    <w:tl2br w:val="nil"/>
                    <w:tr2bl w:val="nil"/>
                  </w:tcBorders>
                  <w:shd w:val="clear" w:color="auto" w:fill="auto"/>
                  <w:vAlign w:val="center"/>
                </w:tcPr>
                <w:p w14:paraId="5566857B">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位于</w:t>
                  </w:r>
                  <w:r>
                    <w:rPr>
                      <w:rFonts w:hint="default" w:ascii="Times New Roman" w:hAnsi="Times New Roman" w:eastAsia="宋体" w:cs="Times New Roman"/>
                      <w:i w:val="0"/>
                      <w:iCs w:val="0"/>
                      <w:color w:val="auto"/>
                      <w:kern w:val="0"/>
                      <w:sz w:val="21"/>
                      <w:szCs w:val="21"/>
                      <w:u w:val="none"/>
                      <w:lang w:val="en-US" w:eastAsia="zh-CN" w:bidi="ar"/>
                    </w:rPr>
                    <w:t>10601</w:t>
                  </w:r>
                  <w:r>
                    <w:rPr>
                      <w:rFonts w:hint="eastAsia" w:ascii="宋体" w:hAnsi="宋体" w:eastAsia="宋体" w:cs="宋体"/>
                      <w:i w:val="0"/>
                      <w:iCs w:val="0"/>
                      <w:color w:val="auto"/>
                      <w:kern w:val="0"/>
                      <w:sz w:val="21"/>
                      <w:szCs w:val="21"/>
                      <w:u w:val="none"/>
                      <w:lang w:val="en-US" w:eastAsia="zh-CN" w:bidi="ar"/>
                    </w:rPr>
                    <w:t>室东侧，建筑面积</w:t>
                  </w:r>
                  <w:r>
                    <w:rPr>
                      <w:rFonts w:hint="default" w:ascii="Times New Roman" w:hAnsi="Times New Roman" w:eastAsia="宋体" w:cs="Times New Roman"/>
                      <w:i w:val="0"/>
                      <w:iCs w:val="0"/>
                      <w:color w:val="auto"/>
                      <w:kern w:val="0"/>
                      <w:sz w:val="21"/>
                      <w:szCs w:val="21"/>
                      <w:u w:val="none"/>
                      <w:lang w:val="en-US" w:eastAsia="zh-CN" w:bidi="ar"/>
                    </w:rPr>
                    <w:t>14.58m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宋体" w:hAnsi="宋体" w:eastAsia="宋体" w:cs="宋体"/>
                      <w:i w:val="0"/>
                      <w:iCs w:val="0"/>
                      <w:color w:val="auto"/>
                      <w:kern w:val="0"/>
                      <w:sz w:val="21"/>
                      <w:szCs w:val="21"/>
                      <w:u w:val="none"/>
                      <w:lang w:val="en-US" w:eastAsia="zh-CN" w:bidi="ar"/>
                    </w:rPr>
                    <w:t>，用于办公资料等用品的储藏；</w:t>
                  </w:r>
                </w:p>
              </w:tc>
              <w:tc>
                <w:tcPr>
                  <w:tcW w:w="947" w:type="pct"/>
                  <w:tcBorders>
                    <w:tl2br w:val="nil"/>
                    <w:tr2bl w:val="nil"/>
                  </w:tcBorders>
                  <w:shd w:val="clear" w:color="auto" w:fill="auto"/>
                  <w:vAlign w:val="center"/>
                </w:tcPr>
                <w:p w14:paraId="4FAACF2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6136C0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496" w:type="pct"/>
                  <w:vMerge w:val="restart"/>
                  <w:tcBorders>
                    <w:tl2br w:val="nil"/>
                    <w:tr2bl w:val="nil"/>
                  </w:tcBorders>
                  <w:shd w:val="clear" w:color="auto" w:fill="auto"/>
                  <w:vAlign w:val="center"/>
                </w:tcPr>
                <w:p w14:paraId="0950889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公用工程</w:t>
                  </w:r>
                </w:p>
              </w:tc>
              <w:tc>
                <w:tcPr>
                  <w:tcW w:w="660" w:type="pct"/>
                  <w:tcBorders>
                    <w:tl2br w:val="nil"/>
                    <w:tr2bl w:val="nil"/>
                  </w:tcBorders>
                  <w:shd w:val="clear" w:color="auto" w:fill="auto"/>
                  <w:vAlign w:val="center"/>
                </w:tcPr>
                <w:p w14:paraId="193F9A2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供电系统</w:t>
                  </w:r>
                </w:p>
              </w:tc>
              <w:tc>
                <w:tcPr>
                  <w:tcW w:w="2896" w:type="pct"/>
                  <w:gridSpan w:val="3"/>
                  <w:tcBorders>
                    <w:tl2br w:val="nil"/>
                    <w:tr2bl w:val="nil"/>
                  </w:tcBorders>
                  <w:shd w:val="clear" w:color="auto" w:fill="auto"/>
                  <w:vAlign w:val="center"/>
                </w:tcPr>
                <w:p w14:paraId="5C35156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依托沣东科技产业园现有供电系统；</w:t>
                  </w:r>
                </w:p>
              </w:tc>
              <w:tc>
                <w:tcPr>
                  <w:tcW w:w="947" w:type="pct"/>
                  <w:tcBorders>
                    <w:tl2br w:val="nil"/>
                    <w:tr2bl w:val="nil"/>
                  </w:tcBorders>
                  <w:shd w:val="clear" w:color="auto" w:fill="auto"/>
                  <w:vAlign w:val="center"/>
                </w:tcPr>
                <w:p w14:paraId="12468583">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依托</w:t>
                  </w:r>
                  <w:r>
                    <w:rPr>
                      <w:rFonts w:hint="eastAsia" w:ascii="宋体" w:hAnsi="宋体" w:cs="宋体"/>
                      <w:i w:val="0"/>
                      <w:iCs w:val="0"/>
                      <w:color w:val="auto"/>
                      <w:kern w:val="0"/>
                      <w:sz w:val="21"/>
                      <w:szCs w:val="21"/>
                      <w:u w:val="none"/>
                      <w:lang w:val="en-US" w:eastAsia="zh-CN" w:bidi="ar"/>
                    </w:rPr>
                    <w:t>现有</w:t>
                  </w:r>
                </w:p>
              </w:tc>
            </w:tr>
            <w:tr w14:paraId="5948A26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6" w:hRule="atLeast"/>
              </w:trPr>
              <w:tc>
                <w:tcPr>
                  <w:tcW w:w="496" w:type="pct"/>
                  <w:vMerge w:val="continue"/>
                  <w:tcBorders>
                    <w:tl2br w:val="nil"/>
                    <w:tr2bl w:val="nil"/>
                  </w:tcBorders>
                  <w:shd w:val="clear" w:color="auto" w:fill="auto"/>
                  <w:vAlign w:val="center"/>
                </w:tcPr>
                <w:p w14:paraId="27A06B82">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60CD301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供水系统</w:t>
                  </w:r>
                </w:p>
              </w:tc>
              <w:tc>
                <w:tcPr>
                  <w:tcW w:w="2896" w:type="pct"/>
                  <w:gridSpan w:val="3"/>
                  <w:tcBorders>
                    <w:tl2br w:val="nil"/>
                    <w:tr2bl w:val="nil"/>
                  </w:tcBorders>
                  <w:shd w:val="clear" w:color="auto" w:fill="auto"/>
                  <w:vAlign w:val="center"/>
                </w:tcPr>
                <w:p w14:paraId="312FDF5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依托沣东科技产业园现有供水系统；</w:t>
                  </w:r>
                </w:p>
              </w:tc>
              <w:tc>
                <w:tcPr>
                  <w:tcW w:w="947" w:type="pct"/>
                  <w:tcBorders>
                    <w:tl2br w:val="nil"/>
                    <w:tr2bl w:val="nil"/>
                  </w:tcBorders>
                  <w:shd w:val="clear" w:color="auto" w:fill="auto"/>
                  <w:vAlign w:val="center"/>
                </w:tcPr>
                <w:p w14:paraId="603A3FA5">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依托</w:t>
                  </w:r>
                  <w:r>
                    <w:rPr>
                      <w:rFonts w:hint="eastAsia" w:ascii="宋体" w:hAnsi="宋体" w:cs="宋体"/>
                      <w:i w:val="0"/>
                      <w:iCs w:val="0"/>
                      <w:color w:val="auto"/>
                      <w:kern w:val="0"/>
                      <w:sz w:val="21"/>
                      <w:szCs w:val="21"/>
                      <w:u w:val="none"/>
                      <w:lang w:val="en-US" w:eastAsia="zh-CN" w:bidi="ar"/>
                    </w:rPr>
                    <w:t>现有</w:t>
                  </w:r>
                </w:p>
              </w:tc>
            </w:tr>
            <w:tr w14:paraId="38523A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085" w:hRule="atLeast"/>
              </w:trPr>
              <w:tc>
                <w:tcPr>
                  <w:tcW w:w="496" w:type="pct"/>
                  <w:vMerge w:val="continue"/>
                  <w:tcBorders>
                    <w:tl2br w:val="nil"/>
                    <w:tr2bl w:val="nil"/>
                  </w:tcBorders>
                  <w:shd w:val="clear" w:color="auto" w:fill="auto"/>
                  <w:vAlign w:val="center"/>
                </w:tcPr>
                <w:p w14:paraId="41137B6A">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3BDC8D6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排水系统</w:t>
                  </w:r>
                </w:p>
              </w:tc>
              <w:tc>
                <w:tcPr>
                  <w:tcW w:w="2896" w:type="pct"/>
                  <w:gridSpan w:val="3"/>
                  <w:tcBorders>
                    <w:tl2br w:val="nil"/>
                    <w:tr2bl w:val="nil"/>
                  </w:tcBorders>
                  <w:shd w:val="clear" w:color="auto" w:fill="auto"/>
                  <w:vAlign w:val="center"/>
                </w:tcPr>
                <w:p w14:paraId="2A53DD07">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本项目实验器具使用有机溶剂清洗产生的清洗废液和实验器具第</w:t>
                  </w:r>
                  <w:r>
                    <w:rPr>
                      <w:rFonts w:hint="eastAsia" w:ascii="宋体" w:hAnsi="宋体" w:cs="宋体"/>
                      <w:i w:val="0"/>
                      <w:iCs w:val="0"/>
                      <w:color w:val="auto"/>
                      <w:kern w:val="0"/>
                      <w:sz w:val="21"/>
                      <w:szCs w:val="21"/>
                      <w:u w:val="none"/>
                      <w:lang w:val="en-US" w:eastAsia="zh-CN" w:bidi="ar"/>
                    </w:rPr>
                    <w:t>一、二</w:t>
                  </w:r>
                  <w:r>
                    <w:rPr>
                      <w:rFonts w:hint="eastAsia" w:ascii="宋体" w:hAnsi="宋体" w:eastAsia="宋体" w:cs="宋体"/>
                      <w:i w:val="0"/>
                      <w:iCs w:val="0"/>
                      <w:color w:val="auto"/>
                      <w:kern w:val="0"/>
                      <w:sz w:val="21"/>
                      <w:szCs w:val="21"/>
                      <w:u w:val="none"/>
                      <w:lang w:val="en-US" w:eastAsia="zh-CN" w:bidi="ar"/>
                    </w:rPr>
                    <w:t>次使用自来水清洗废水作为危险废物暂存于危废贮存库内，定期交由陕西水发环境有限公司收运处置</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本项目废水主要为实验器具的第</w:t>
                  </w:r>
                  <w:r>
                    <w:rPr>
                      <w:rFonts w:hint="eastAsia" w:ascii="宋体" w:hAnsi="宋体" w:cs="宋体"/>
                      <w:i w:val="0"/>
                      <w:iCs w:val="0"/>
                      <w:color w:val="auto"/>
                      <w:kern w:val="0"/>
                      <w:sz w:val="21"/>
                      <w:szCs w:val="21"/>
                      <w:u w:val="none"/>
                      <w:lang w:val="en-US" w:eastAsia="zh-CN" w:bidi="ar"/>
                    </w:rPr>
                    <w:t>三、四</w:t>
                  </w:r>
                  <w:r>
                    <w:rPr>
                      <w:rFonts w:hint="eastAsia" w:ascii="宋体" w:hAnsi="宋体" w:eastAsia="宋体" w:cs="宋体"/>
                      <w:i w:val="0"/>
                      <w:iCs w:val="0"/>
                      <w:color w:val="auto"/>
                      <w:kern w:val="0"/>
                      <w:sz w:val="21"/>
                      <w:szCs w:val="21"/>
                      <w:u w:val="none"/>
                      <w:lang w:val="en-US" w:eastAsia="zh-CN" w:bidi="ar"/>
                    </w:rPr>
                    <w:t>次清洗废水</w:t>
                  </w:r>
                  <w:r>
                    <w:rPr>
                      <w:rFonts w:hint="eastAsia" w:ascii="宋体" w:hAnsi="宋体" w:cs="宋体"/>
                      <w:i w:val="0"/>
                      <w:iCs w:val="0"/>
                      <w:color w:val="auto"/>
                      <w:kern w:val="0"/>
                      <w:sz w:val="21"/>
                      <w:szCs w:val="21"/>
                      <w:u w:val="none"/>
                      <w:lang w:val="en-US" w:eastAsia="zh-CN" w:bidi="ar"/>
                    </w:rPr>
                    <w:t>和</w:t>
                  </w:r>
                  <w:r>
                    <w:rPr>
                      <w:rFonts w:hint="eastAsia" w:ascii="宋体" w:hAnsi="宋体" w:eastAsia="宋体" w:cs="宋体"/>
                      <w:i w:val="0"/>
                      <w:iCs w:val="0"/>
                      <w:color w:val="auto"/>
                      <w:kern w:val="0"/>
                      <w:sz w:val="21"/>
                      <w:szCs w:val="21"/>
                      <w:u w:val="none"/>
                      <w:lang w:val="en-US" w:eastAsia="zh-CN" w:bidi="ar"/>
                    </w:rPr>
                    <w:t>台面、地面的</w:t>
                  </w:r>
                  <w:r>
                    <w:rPr>
                      <w:rFonts w:hint="eastAsia" w:ascii="宋体" w:hAnsi="宋体" w:cs="宋体"/>
                      <w:i w:val="0"/>
                      <w:iCs w:val="0"/>
                      <w:color w:val="auto"/>
                      <w:kern w:val="0"/>
                      <w:sz w:val="21"/>
                      <w:szCs w:val="21"/>
                      <w:u w:val="none"/>
                      <w:lang w:val="en-US" w:eastAsia="zh-CN" w:bidi="ar"/>
                    </w:rPr>
                    <w:t>清洗</w:t>
                  </w:r>
                  <w:r>
                    <w:rPr>
                      <w:rFonts w:hint="eastAsia" w:ascii="宋体" w:hAnsi="宋体" w:eastAsia="宋体" w:cs="宋体"/>
                      <w:i w:val="0"/>
                      <w:iCs w:val="0"/>
                      <w:color w:val="auto"/>
                      <w:kern w:val="0"/>
                      <w:sz w:val="21"/>
                      <w:szCs w:val="21"/>
                      <w:u w:val="none"/>
                      <w:lang w:val="en-US" w:eastAsia="zh-CN" w:bidi="ar"/>
                    </w:rPr>
                    <w:t>废水经现有自建的污水处理</w:t>
                  </w:r>
                  <w:r>
                    <w:rPr>
                      <w:rFonts w:hint="eastAsia" w:ascii="宋体" w:hAnsi="宋体" w:cs="宋体"/>
                      <w:i w:val="0"/>
                      <w:iCs w:val="0"/>
                      <w:color w:val="auto"/>
                      <w:kern w:val="0"/>
                      <w:sz w:val="21"/>
                      <w:szCs w:val="21"/>
                      <w:u w:val="none"/>
                      <w:lang w:val="en-US" w:eastAsia="zh-CN" w:bidi="ar"/>
                    </w:rPr>
                    <w:t>设施（</w:t>
                  </w:r>
                  <w:r>
                    <w:rPr>
                      <w:rFonts w:hint="eastAsia" w:ascii="宋体" w:hAnsi="宋体" w:eastAsia="宋体" w:cs="宋体"/>
                      <w:color w:val="auto"/>
                      <w:kern w:val="0"/>
                      <w:sz w:val="21"/>
                      <w:szCs w:val="21"/>
                      <w:highlight w:val="none"/>
                      <w:u w:val="none"/>
                      <w:lang w:val="en-US" w:eastAsia="zh-CN" w:bidi="ar"/>
                    </w:rPr>
                    <w:t>酸碱中和+絮凝沉淀+光催化反应+微电解反应+电化学氧化+消毒工艺</w:t>
                  </w:r>
                  <w:r>
                    <w:rPr>
                      <w:rFonts w:hint="eastAsia" w:ascii="宋体" w:hAnsi="宋体" w:eastAsia="宋体" w:cs="宋体"/>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预处理后，同生活污水一起排入化粪池（依托伟合沣东科技产业园）内，经市政污水管网进入西安净水处理有限责任公司第六再生水厂进一步处理；</w:t>
                  </w:r>
                </w:p>
              </w:tc>
              <w:tc>
                <w:tcPr>
                  <w:tcW w:w="947" w:type="pct"/>
                  <w:tcBorders>
                    <w:tl2br w:val="nil"/>
                    <w:tr2bl w:val="nil"/>
                  </w:tcBorders>
                  <w:shd w:val="clear" w:color="auto" w:fill="auto"/>
                  <w:vAlign w:val="center"/>
                </w:tcPr>
                <w:p w14:paraId="187F843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2CE25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496" w:type="pct"/>
                  <w:vMerge w:val="continue"/>
                  <w:tcBorders>
                    <w:tl2br w:val="nil"/>
                    <w:tr2bl w:val="nil"/>
                  </w:tcBorders>
                  <w:shd w:val="clear" w:color="auto" w:fill="auto"/>
                  <w:vAlign w:val="center"/>
                </w:tcPr>
                <w:p w14:paraId="51C525E9">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3840221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供暖及制冷</w:t>
                  </w:r>
                </w:p>
              </w:tc>
              <w:tc>
                <w:tcPr>
                  <w:tcW w:w="2896" w:type="pct"/>
                  <w:gridSpan w:val="3"/>
                  <w:tcBorders>
                    <w:tl2br w:val="nil"/>
                    <w:tr2bl w:val="nil"/>
                  </w:tcBorders>
                  <w:shd w:val="clear" w:color="auto" w:fill="auto"/>
                  <w:vAlign w:val="center"/>
                </w:tcPr>
                <w:p w14:paraId="2B19FCA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办公区和实验区制冷、供暖均采用中央空调；</w:t>
                  </w:r>
                </w:p>
              </w:tc>
              <w:tc>
                <w:tcPr>
                  <w:tcW w:w="947" w:type="pct"/>
                  <w:tcBorders>
                    <w:tl2br w:val="nil"/>
                    <w:tr2bl w:val="nil"/>
                  </w:tcBorders>
                  <w:shd w:val="clear" w:color="auto" w:fill="auto"/>
                  <w:vAlign w:val="center"/>
                </w:tcPr>
                <w:p w14:paraId="478E470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771EC1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3" w:hRule="atLeast"/>
              </w:trPr>
              <w:tc>
                <w:tcPr>
                  <w:tcW w:w="496" w:type="pct"/>
                  <w:vMerge w:val="restart"/>
                  <w:tcBorders>
                    <w:tl2br w:val="nil"/>
                    <w:tr2bl w:val="nil"/>
                  </w:tcBorders>
                  <w:shd w:val="clear" w:color="auto" w:fill="auto"/>
                  <w:vAlign w:val="center"/>
                </w:tcPr>
                <w:p w14:paraId="38FEF01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环保工程</w:t>
                  </w:r>
                </w:p>
              </w:tc>
              <w:tc>
                <w:tcPr>
                  <w:tcW w:w="660" w:type="pct"/>
                  <w:tcBorders>
                    <w:tl2br w:val="nil"/>
                    <w:tr2bl w:val="nil"/>
                  </w:tcBorders>
                  <w:shd w:val="clear" w:color="auto" w:fill="auto"/>
                  <w:vAlign w:val="center"/>
                </w:tcPr>
                <w:p w14:paraId="479E122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废气处理</w:t>
                  </w:r>
                </w:p>
              </w:tc>
              <w:tc>
                <w:tcPr>
                  <w:tcW w:w="2896" w:type="pct"/>
                  <w:gridSpan w:val="3"/>
                  <w:tcBorders>
                    <w:tl2br w:val="nil"/>
                    <w:tr2bl w:val="nil"/>
                  </w:tcBorders>
                  <w:shd w:val="clear" w:color="auto" w:fill="auto"/>
                  <w:vAlign w:val="center"/>
                </w:tcPr>
                <w:p w14:paraId="476FC65D">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实验室废气采用通风柜收集，引至楼顶经</w:t>
                  </w:r>
                  <w:r>
                    <w:rPr>
                      <w:rFonts w:hint="eastAsia" w:ascii="宋体" w:hAnsi="宋体" w:cs="宋体"/>
                      <w:i w:val="0"/>
                      <w:iCs w:val="0"/>
                      <w:color w:val="auto"/>
                      <w:kern w:val="0"/>
                      <w:sz w:val="21"/>
                      <w:szCs w:val="21"/>
                      <w:u w:val="none"/>
                      <w:lang w:val="en-US" w:eastAsia="zh-CN" w:bidi="ar"/>
                    </w:rPr>
                    <w:t>SDG+</w:t>
                  </w:r>
                  <w:r>
                    <w:rPr>
                      <w:rFonts w:hint="eastAsia" w:ascii="宋体" w:hAnsi="宋体" w:eastAsia="宋体" w:cs="宋体"/>
                      <w:i w:val="0"/>
                      <w:iCs w:val="0"/>
                      <w:color w:val="auto"/>
                      <w:kern w:val="0"/>
                      <w:sz w:val="21"/>
                      <w:szCs w:val="21"/>
                      <w:u w:val="none"/>
                      <w:lang w:val="en-US" w:eastAsia="zh-CN" w:bidi="ar"/>
                    </w:rPr>
                    <w:t>活性炭吸附装置处理后通过排气筒（排放高度</w:t>
                  </w:r>
                  <w:r>
                    <w:rPr>
                      <w:rFonts w:hint="default" w:ascii="Times New Roman" w:hAnsi="Times New Roman" w:eastAsia="宋体" w:cs="Times New Roman"/>
                      <w:i w:val="0"/>
                      <w:iCs w:val="0"/>
                      <w:color w:val="auto"/>
                      <w:kern w:val="0"/>
                      <w:sz w:val="21"/>
                      <w:szCs w:val="21"/>
                      <w:u w:val="none"/>
                      <w:lang w:val="en-US" w:eastAsia="zh-CN" w:bidi="ar"/>
                    </w:rPr>
                    <w:t>28m</w:t>
                  </w:r>
                  <w:r>
                    <w:rPr>
                      <w:rFonts w:hint="eastAsia" w:ascii="宋体" w:hAnsi="宋体" w:eastAsia="宋体" w:cs="宋体"/>
                      <w:i w:val="0"/>
                      <w:iCs w:val="0"/>
                      <w:color w:val="auto"/>
                      <w:kern w:val="0"/>
                      <w:sz w:val="21"/>
                      <w:szCs w:val="21"/>
                      <w:u w:val="none"/>
                      <w:lang w:val="en-US" w:eastAsia="zh-CN" w:bidi="ar"/>
                    </w:rPr>
                    <w:t>，以地面为基准面）</w:t>
                  </w:r>
                  <w:r>
                    <w:rPr>
                      <w:rFonts w:hint="default" w:ascii="Times New Roman" w:hAnsi="Times New Roman" w:eastAsia="宋体" w:cs="Times New Roman"/>
                      <w:i w:val="0"/>
                      <w:iCs w:val="0"/>
                      <w:color w:val="auto"/>
                      <w:kern w:val="0"/>
                      <w:sz w:val="21"/>
                      <w:szCs w:val="21"/>
                      <w:u w:val="none"/>
                      <w:lang w:val="en-US" w:eastAsia="zh-CN" w:bidi="ar"/>
                    </w:rPr>
                    <w:t>DA001</w:t>
                  </w: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DA002</w:t>
                  </w:r>
                  <w:r>
                    <w:rPr>
                      <w:rFonts w:hint="eastAsia" w:ascii="宋体" w:hAnsi="宋体" w:eastAsia="宋体" w:cs="宋体"/>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DA003</w:t>
                  </w:r>
                  <w:r>
                    <w:rPr>
                      <w:rFonts w:hint="eastAsia" w:ascii="宋体" w:hAnsi="宋体" w:eastAsia="宋体" w:cs="宋体"/>
                      <w:i w:val="0"/>
                      <w:iCs w:val="0"/>
                      <w:color w:val="auto"/>
                      <w:kern w:val="0"/>
                      <w:sz w:val="21"/>
                      <w:szCs w:val="21"/>
                      <w:u w:val="none"/>
                      <w:lang w:val="en-US" w:eastAsia="zh-CN" w:bidi="ar"/>
                    </w:rPr>
                    <w:t>排放；</w:t>
                  </w:r>
                </w:p>
              </w:tc>
              <w:tc>
                <w:tcPr>
                  <w:tcW w:w="947" w:type="pct"/>
                  <w:tcBorders>
                    <w:tl2br w:val="nil"/>
                    <w:tr2bl w:val="nil"/>
                  </w:tcBorders>
                  <w:shd w:val="clear" w:color="auto" w:fill="auto"/>
                  <w:vAlign w:val="center"/>
                </w:tcPr>
                <w:p w14:paraId="5763EDE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07B62D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602" w:hRule="atLeast"/>
              </w:trPr>
              <w:tc>
                <w:tcPr>
                  <w:tcW w:w="496" w:type="pct"/>
                  <w:vMerge w:val="continue"/>
                  <w:tcBorders>
                    <w:tl2br w:val="nil"/>
                    <w:tr2bl w:val="nil"/>
                  </w:tcBorders>
                  <w:shd w:val="clear" w:color="auto" w:fill="auto"/>
                  <w:vAlign w:val="center"/>
                </w:tcPr>
                <w:p w14:paraId="32240E41">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0DFCA45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废水处理</w:t>
                  </w:r>
                </w:p>
              </w:tc>
              <w:tc>
                <w:tcPr>
                  <w:tcW w:w="2896" w:type="pct"/>
                  <w:gridSpan w:val="3"/>
                  <w:tcBorders>
                    <w:tl2br w:val="nil"/>
                    <w:tr2bl w:val="nil"/>
                  </w:tcBorders>
                  <w:shd w:val="clear" w:color="auto" w:fill="auto"/>
                  <w:vAlign w:val="center"/>
                </w:tcPr>
                <w:p w14:paraId="7A19CFDB">
                  <w:pPr>
                    <w:keepNext w:val="0"/>
                    <w:keepLines w:val="0"/>
                    <w:widowControl/>
                    <w:suppressLineNumbers w:val="0"/>
                    <w:ind w:firstLineChars="10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实验器具的</w:t>
                  </w:r>
                  <w:r>
                    <w:rPr>
                      <w:rFonts w:hint="eastAsia" w:ascii="宋体" w:hAnsi="宋体" w:cs="宋体"/>
                      <w:i w:val="0"/>
                      <w:iCs w:val="0"/>
                      <w:color w:val="auto"/>
                      <w:kern w:val="0"/>
                      <w:sz w:val="21"/>
                      <w:szCs w:val="21"/>
                      <w:u w:val="none"/>
                      <w:lang w:val="en-US" w:eastAsia="zh-CN" w:bidi="ar"/>
                    </w:rPr>
                    <w:t>第一、二次清洗废水作为危废暂存于危废暂存库，定期交于陕西水发环境有限公司处置。实验器皿的</w:t>
                  </w:r>
                  <w:r>
                    <w:rPr>
                      <w:rFonts w:hint="eastAsia" w:ascii="宋体" w:hAnsi="宋体" w:eastAsia="宋体" w:cs="宋体"/>
                      <w:i w:val="0"/>
                      <w:iCs w:val="0"/>
                      <w:color w:val="auto"/>
                      <w:kern w:val="0"/>
                      <w:sz w:val="21"/>
                      <w:szCs w:val="21"/>
                      <w:u w:val="none"/>
                      <w:lang w:val="en-US" w:eastAsia="zh-CN" w:bidi="ar"/>
                    </w:rPr>
                    <w:t>第</w:t>
                  </w:r>
                  <w:r>
                    <w:rPr>
                      <w:rFonts w:hint="eastAsia" w:ascii="宋体" w:hAnsi="宋体" w:cs="宋体"/>
                      <w:i w:val="0"/>
                      <w:iCs w:val="0"/>
                      <w:color w:val="auto"/>
                      <w:kern w:val="0"/>
                      <w:sz w:val="21"/>
                      <w:szCs w:val="21"/>
                      <w:u w:val="none"/>
                      <w:lang w:val="en-US" w:eastAsia="zh-CN" w:bidi="ar"/>
                    </w:rPr>
                    <w:t>三、四</w:t>
                  </w:r>
                  <w:r>
                    <w:rPr>
                      <w:rFonts w:hint="eastAsia" w:ascii="宋体" w:hAnsi="宋体" w:eastAsia="宋体" w:cs="宋体"/>
                      <w:i w:val="0"/>
                      <w:iCs w:val="0"/>
                      <w:color w:val="auto"/>
                      <w:kern w:val="0"/>
                      <w:sz w:val="21"/>
                      <w:szCs w:val="21"/>
                      <w:u w:val="none"/>
                      <w:lang w:val="en-US" w:eastAsia="zh-CN" w:bidi="ar"/>
                    </w:rPr>
                    <w:t>次清洗废水</w:t>
                  </w:r>
                  <w:r>
                    <w:rPr>
                      <w:rFonts w:hint="eastAsia" w:ascii="宋体" w:hAnsi="宋体" w:cs="宋体"/>
                      <w:i w:val="0"/>
                      <w:iCs w:val="0"/>
                      <w:color w:val="auto"/>
                      <w:kern w:val="0"/>
                      <w:sz w:val="21"/>
                      <w:szCs w:val="21"/>
                      <w:u w:val="none"/>
                      <w:lang w:val="en-US" w:eastAsia="zh-CN" w:bidi="ar"/>
                    </w:rPr>
                    <w:t>和</w:t>
                  </w:r>
                  <w:r>
                    <w:rPr>
                      <w:rFonts w:hint="eastAsia" w:ascii="宋体" w:hAnsi="宋体" w:eastAsia="宋体" w:cs="宋体"/>
                      <w:i w:val="0"/>
                      <w:iCs w:val="0"/>
                      <w:color w:val="auto"/>
                      <w:kern w:val="0"/>
                      <w:sz w:val="21"/>
                      <w:szCs w:val="21"/>
                      <w:u w:val="none"/>
                      <w:lang w:val="en-US" w:eastAsia="zh-CN" w:bidi="ar"/>
                    </w:rPr>
                    <w:t>台面、地面</w:t>
                  </w:r>
                  <w:r>
                    <w:rPr>
                      <w:rFonts w:hint="eastAsia" w:ascii="宋体" w:hAnsi="宋体" w:cs="宋体"/>
                      <w:i w:val="0"/>
                      <w:iCs w:val="0"/>
                      <w:color w:val="auto"/>
                      <w:kern w:val="0"/>
                      <w:sz w:val="21"/>
                      <w:szCs w:val="21"/>
                      <w:u w:val="none"/>
                      <w:lang w:val="en-US" w:eastAsia="zh-CN" w:bidi="ar"/>
                    </w:rPr>
                    <w:t>清洗</w:t>
                  </w:r>
                  <w:r>
                    <w:rPr>
                      <w:rFonts w:hint="eastAsia" w:ascii="宋体" w:hAnsi="宋体" w:eastAsia="宋体" w:cs="宋体"/>
                      <w:i w:val="0"/>
                      <w:iCs w:val="0"/>
                      <w:color w:val="auto"/>
                      <w:kern w:val="0"/>
                      <w:sz w:val="21"/>
                      <w:szCs w:val="21"/>
                      <w:u w:val="none"/>
                      <w:lang w:val="en-US" w:eastAsia="zh-CN" w:bidi="ar"/>
                    </w:rPr>
                    <w:t>废水经现有自建的污水处理</w:t>
                  </w:r>
                  <w:r>
                    <w:rPr>
                      <w:rFonts w:hint="eastAsia" w:ascii="宋体" w:hAnsi="宋体" w:cs="宋体"/>
                      <w:i w:val="0"/>
                      <w:iCs w:val="0"/>
                      <w:color w:val="auto"/>
                      <w:kern w:val="0"/>
                      <w:sz w:val="21"/>
                      <w:szCs w:val="21"/>
                      <w:u w:val="none"/>
                      <w:lang w:val="en-US" w:eastAsia="zh-CN" w:bidi="ar"/>
                    </w:rPr>
                    <w:t>设施（</w:t>
                  </w:r>
                  <w:r>
                    <w:rPr>
                      <w:rFonts w:hint="eastAsia" w:ascii="宋体" w:hAnsi="宋体" w:eastAsia="宋体" w:cs="宋体"/>
                      <w:color w:val="auto"/>
                      <w:kern w:val="0"/>
                      <w:sz w:val="21"/>
                      <w:szCs w:val="21"/>
                      <w:highlight w:val="none"/>
                      <w:u w:val="none"/>
                      <w:lang w:val="en-US" w:eastAsia="zh-CN" w:bidi="ar"/>
                    </w:rPr>
                    <w:t>酸碱中和+絮凝沉淀+光催化反应+微电解反应+电化学氧化+消毒工艺</w:t>
                  </w:r>
                  <w:r>
                    <w:rPr>
                      <w:rFonts w:hint="eastAsia" w:ascii="宋体" w:hAnsi="宋体" w:eastAsia="宋体" w:cs="宋体"/>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进行预处理，与</w:t>
                  </w:r>
                  <w:r>
                    <w:rPr>
                      <w:rFonts w:hint="eastAsia" w:ascii="宋体" w:hAnsi="宋体" w:cs="宋体"/>
                      <w:i w:val="0"/>
                      <w:iCs w:val="0"/>
                      <w:color w:val="auto"/>
                      <w:kern w:val="0"/>
                      <w:sz w:val="21"/>
                      <w:szCs w:val="21"/>
                      <w:u w:val="none"/>
                      <w:lang w:val="en-US" w:eastAsia="zh-CN" w:bidi="ar"/>
                    </w:rPr>
                    <w:t>现有</w:t>
                  </w:r>
                  <w:r>
                    <w:rPr>
                      <w:rFonts w:hint="eastAsia" w:ascii="宋体" w:hAnsi="宋体" w:eastAsia="宋体" w:cs="宋体"/>
                      <w:i w:val="0"/>
                      <w:iCs w:val="0"/>
                      <w:color w:val="auto"/>
                      <w:kern w:val="0"/>
                      <w:sz w:val="21"/>
                      <w:szCs w:val="21"/>
                      <w:u w:val="none"/>
                      <w:lang w:val="en-US" w:eastAsia="zh-CN" w:bidi="ar"/>
                    </w:rPr>
                    <w:t>生活污水一起排入化粪池（依托伟合沣东科技产业园）内，经处理达标后排入市政污水管网，最终进入西安净水处理有限责任公司第六再生水厂进一步处理；</w:t>
                  </w:r>
                </w:p>
              </w:tc>
              <w:tc>
                <w:tcPr>
                  <w:tcW w:w="947" w:type="pct"/>
                  <w:tcBorders>
                    <w:tl2br w:val="nil"/>
                    <w:tr2bl w:val="nil"/>
                  </w:tcBorders>
                  <w:shd w:val="clear" w:color="auto" w:fill="auto"/>
                  <w:vAlign w:val="center"/>
                </w:tcPr>
                <w:p w14:paraId="4934A36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5542CC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7" w:hRule="atLeast"/>
              </w:trPr>
              <w:tc>
                <w:tcPr>
                  <w:tcW w:w="496" w:type="pct"/>
                  <w:vMerge w:val="continue"/>
                  <w:tcBorders>
                    <w:tl2br w:val="nil"/>
                    <w:tr2bl w:val="nil"/>
                  </w:tcBorders>
                  <w:shd w:val="clear" w:color="auto" w:fill="auto"/>
                  <w:vAlign w:val="center"/>
                </w:tcPr>
                <w:p w14:paraId="3D2F89AD">
                  <w:pPr>
                    <w:jc w:val="center"/>
                    <w:rPr>
                      <w:rFonts w:hint="eastAsia" w:ascii="宋体" w:hAnsi="宋体" w:eastAsia="宋体" w:cs="宋体"/>
                      <w:i w:val="0"/>
                      <w:iCs w:val="0"/>
                      <w:color w:val="auto"/>
                      <w:sz w:val="21"/>
                      <w:szCs w:val="21"/>
                      <w:u w:val="none"/>
                    </w:rPr>
                  </w:pPr>
                </w:p>
              </w:tc>
              <w:tc>
                <w:tcPr>
                  <w:tcW w:w="660" w:type="pct"/>
                  <w:tcBorders>
                    <w:tl2br w:val="nil"/>
                    <w:tr2bl w:val="nil"/>
                  </w:tcBorders>
                  <w:shd w:val="clear" w:color="auto" w:fill="auto"/>
                  <w:vAlign w:val="center"/>
                </w:tcPr>
                <w:p w14:paraId="291AD03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噪声</w:t>
                  </w:r>
                </w:p>
              </w:tc>
              <w:tc>
                <w:tcPr>
                  <w:tcW w:w="2896" w:type="pct"/>
                  <w:gridSpan w:val="3"/>
                  <w:tcBorders>
                    <w:tl2br w:val="nil"/>
                    <w:tr2bl w:val="nil"/>
                  </w:tcBorders>
                  <w:shd w:val="clear" w:color="auto" w:fill="auto"/>
                  <w:vAlign w:val="center"/>
                </w:tcPr>
                <w:p w14:paraId="4A23F7E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选用低噪设备，并采取隔声等措施；</w:t>
                  </w:r>
                </w:p>
              </w:tc>
              <w:tc>
                <w:tcPr>
                  <w:tcW w:w="947" w:type="pct"/>
                  <w:tcBorders>
                    <w:tl2br w:val="nil"/>
                    <w:tr2bl w:val="nil"/>
                  </w:tcBorders>
                  <w:shd w:val="clear" w:color="auto" w:fill="auto"/>
                  <w:vAlign w:val="center"/>
                </w:tcPr>
                <w:p w14:paraId="7341202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57DC0A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7" w:hRule="atLeast"/>
              </w:trPr>
              <w:tc>
                <w:tcPr>
                  <w:tcW w:w="496" w:type="pct"/>
                  <w:vMerge w:val="continue"/>
                  <w:tcBorders>
                    <w:tl2br w:val="nil"/>
                    <w:tr2bl w:val="nil"/>
                  </w:tcBorders>
                  <w:shd w:val="clear" w:color="auto" w:fill="auto"/>
                  <w:vAlign w:val="center"/>
                </w:tcPr>
                <w:p w14:paraId="7E103DEF">
                  <w:pPr>
                    <w:jc w:val="center"/>
                    <w:rPr>
                      <w:rFonts w:hint="eastAsia" w:ascii="宋体" w:hAnsi="宋体" w:eastAsia="宋体" w:cs="宋体"/>
                      <w:i w:val="0"/>
                      <w:iCs w:val="0"/>
                      <w:color w:val="auto"/>
                      <w:sz w:val="21"/>
                      <w:szCs w:val="21"/>
                      <w:u w:val="none"/>
                    </w:rPr>
                  </w:pPr>
                </w:p>
              </w:tc>
              <w:tc>
                <w:tcPr>
                  <w:tcW w:w="660" w:type="pct"/>
                  <w:vMerge w:val="restart"/>
                  <w:tcBorders>
                    <w:tl2br w:val="nil"/>
                    <w:tr2bl w:val="nil"/>
                  </w:tcBorders>
                  <w:shd w:val="clear" w:color="auto" w:fill="auto"/>
                  <w:vAlign w:val="center"/>
                </w:tcPr>
                <w:p w14:paraId="2541FA5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固废</w:t>
                  </w:r>
                </w:p>
              </w:tc>
              <w:tc>
                <w:tcPr>
                  <w:tcW w:w="285" w:type="pct"/>
                  <w:vMerge w:val="restart"/>
                  <w:tcBorders>
                    <w:tl2br w:val="nil"/>
                    <w:tr2bl w:val="nil"/>
                  </w:tcBorders>
                  <w:shd w:val="clear" w:color="auto" w:fill="auto"/>
                  <w:vAlign w:val="center"/>
                </w:tcPr>
                <w:p w14:paraId="2F764F0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一般固废</w:t>
                  </w:r>
                </w:p>
              </w:tc>
              <w:tc>
                <w:tcPr>
                  <w:tcW w:w="2610" w:type="pct"/>
                  <w:gridSpan w:val="2"/>
                  <w:vMerge w:val="restart"/>
                  <w:tcBorders>
                    <w:tl2br w:val="nil"/>
                    <w:tr2bl w:val="nil"/>
                  </w:tcBorders>
                  <w:shd w:val="clear" w:color="auto" w:fill="auto"/>
                  <w:vAlign w:val="center"/>
                </w:tcPr>
                <w:p w14:paraId="613192A1">
                  <w:pPr>
                    <w:keepNext w:val="0"/>
                    <w:keepLines w:val="0"/>
                    <w:widowControl/>
                    <w:suppressLineNumbers w:val="0"/>
                    <w:jc w:val="both"/>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采购回来的试剂及办公会产生废包装材料（废纸箱等）集中收集后外售至废品回收站</w:t>
                  </w:r>
                  <w:r>
                    <w:rPr>
                      <w:rFonts w:hint="eastAsia" w:ascii="宋体" w:hAnsi="宋体" w:cs="宋体"/>
                      <w:i w:val="0"/>
                      <w:iCs w:val="0"/>
                      <w:color w:val="auto"/>
                      <w:kern w:val="0"/>
                      <w:sz w:val="21"/>
                      <w:szCs w:val="21"/>
                      <w:u w:val="none"/>
                      <w:lang w:val="en-US" w:eastAsia="zh-CN" w:bidi="ar"/>
                    </w:rPr>
                    <w:t>；</w:t>
                  </w:r>
                </w:p>
              </w:tc>
              <w:tc>
                <w:tcPr>
                  <w:tcW w:w="947" w:type="pct"/>
                  <w:vMerge w:val="restart"/>
                  <w:tcBorders>
                    <w:tl2br w:val="nil"/>
                    <w:tr2bl w:val="nil"/>
                  </w:tcBorders>
                  <w:shd w:val="clear" w:color="auto" w:fill="auto"/>
                  <w:vAlign w:val="center"/>
                </w:tcPr>
                <w:p w14:paraId="19FD92F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580769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496" w:type="pct"/>
                  <w:vMerge w:val="continue"/>
                  <w:tcBorders>
                    <w:tl2br w:val="nil"/>
                    <w:tr2bl w:val="nil"/>
                  </w:tcBorders>
                  <w:shd w:val="clear" w:color="auto" w:fill="auto"/>
                  <w:vAlign w:val="center"/>
                </w:tcPr>
                <w:p w14:paraId="5A07141F">
                  <w:pPr>
                    <w:jc w:val="center"/>
                    <w:rPr>
                      <w:rFonts w:hint="eastAsia" w:ascii="宋体" w:hAnsi="宋体" w:eastAsia="宋体" w:cs="宋体"/>
                      <w:i w:val="0"/>
                      <w:iCs w:val="0"/>
                      <w:color w:val="auto"/>
                      <w:sz w:val="21"/>
                      <w:szCs w:val="21"/>
                      <w:u w:val="none"/>
                    </w:rPr>
                  </w:pPr>
                </w:p>
              </w:tc>
              <w:tc>
                <w:tcPr>
                  <w:tcW w:w="660" w:type="pct"/>
                  <w:vMerge w:val="continue"/>
                  <w:tcBorders>
                    <w:tl2br w:val="nil"/>
                    <w:tr2bl w:val="nil"/>
                  </w:tcBorders>
                  <w:shd w:val="clear" w:color="auto" w:fill="auto"/>
                  <w:vAlign w:val="center"/>
                </w:tcPr>
                <w:p w14:paraId="0233FE47">
                  <w:pPr>
                    <w:jc w:val="center"/>
                    <w:rPr>
                      <w:rFonts w:hint="eastAsia" w:ascii="宋体" w:hAnsi="宋体" w:eastAsia="宋体" w:cs="宋体"/>
                      <w:i w:val="0"/>
                      <w:iCs w:val="0"/>
                      <w:color w:val="auto"/>
                      <w:sz w:val="21"/>
                      <w:szCs w:val="21"/>
                      <w:u w:val="none"/>
                    </w:rPr>
                  </w:pPr>
                </w:p>
              </w:tc>
              <w:tc>
                <w:tcPr>
                  <w:tcW w:w="285" w:type="pct"/>
                  <w:vMerge w:val="continue"/>
                  <w:tcBorders>
                    <w:tl2br w:val="nil"/>
                    <w:tr2bl w:val="nil"/>
                  </w:tcBorders>
                  <w:shd w:val="clear" w:color="auto" w:fill="auto"/>
                  <w:vAlign w:val="center"/>
                </w:tcPr>
                <w:p w14:paraId="2DEB468C">
                  <w:pPr>
                    <w:jc w:val="center"/>
                    <w:rPr>
                      <w:rFonts w:hint="eastAsia" w:ascii="宋体" w:hAnsi="宋体" w:eastAsia="宋体" w:cs="宋体"/>
                      <w:i w:val="0"/>
                      <w:iCs w:val="0"/>
                      <w:color w:val="auto"/>
                      <w:sz w:val="21"/>
                      <w:szCs w:val="21"/>
                      <w:u w:val="none"/>
                    </w:rPr>
                  </w:pPr>
                </w:p>
              </w:tc>
              <w:tc>
                <w:tcPr>
                  <w:tcW w:w="2610" w:type="pct"/>
                  <w:gridSpan w:val="2"/>
                  <w:vMerge w:val="continue"/>
                  <w:tcBorders>
                    <w:tl2br w:val="nil"/>
                    <w:tr2bl w:val="nil"/>
                  </w:tcBorders>
                  <w:shd w:val="clear" w:color="auto" w:fill="auto"/>
                  <w:vAlign w:val="center"/>
                </w:tcPr>
                <w:p w14:paraId="72839FD1">
                  <w:pPr>
                    <w:jc w:val="center"/>
                    <w:rPr>
                      <w:rFonts w:hint="eastAsia" w:ascii="宋体" w:hAnsi="宋体" w:eastAsia="宋体" w:cs="宋体"/>
                      <w:i w:val="0"/>
                      <w:iCs w:val="0"/>
                      <w:color w:val="auto"/>
                      <w:sz w:val="21"/>
                      <w:szCs w:val="21"/>
                      <w:u w:val="none"/>
                    </w:rPr>
                  </w:pPr>
                </w:p>
              </w:tc>
              <w:tc>
                <w:tcPr>
                  <w:tcW w:w="947" w:type="pct"/>
                  <w:vMerge w:val="continue"/>
                  <w:tcBorders>
                    <w:tl2br w:val="nil"/>
                    <w:tr2bl w:val="nil"/>
                  </w:tcBorders>
                  <w:shd w:val="clear" w:color="auto" w:fill="auto"/>
                  <w:vAlign w:val="center"/>
                </w:tcPr>
                <w:p w14:paraId="09002575">
                  <w:pPr>
                    <w:jc w:val="center"/>
                    <w:rPr>
                      <w:rFonts w:hint="eastAsia" w:ascii="宋体" w:hAnsi="宋体" w:eastAsia="宋体" w:cs="宋体"/>
                      <w:i w:val="0"/>
                      <w:iCs w:val="0"/>
                      <w:color w:val="auto"/>
                      <w:sz w:val="21"/>
                      <w:szCs w:val="21"/>
                      <w:u w:val="none"/>
                    </w:rPr>
                  </w:pPr>
                </w:p>
              </w:tc>
            </w:tr>
            <w:tr w14:paraId="4EB4CD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45" w:hRule="atLeast"/>
              </w:trPr>
              <w:tc>
                <w:tcPr>
                  <w:tcW w:w="496" w:type="pct"/>
                  <w:vMerge w:val="continue"/>
                  <w:tcBorders>
                    <w:tl2br w:val="nil"/>
                    <w:tr2bl w:val="nil"/>
                  </w:tcBorders>
                  <w:shd w:val="clear" w:color="auto" w:fill="auto"/>
                  <w:vAlign w:val="center"/>
                </w:tcPr>
                <w:p w14:paraId="28ECB618">
                  <w:pPr>
                    <w:jc w:val="center"/>
                    <w:rPr>
                      <w:rFonts w:hint="eastAsia" w:ascii="宋体" w:hAnsi="宋体" w:eastAsia="宋体" w:cs="宋体"/>
                      <w:i w:val="0"/>
                      <w:iCs w:val="0"/>
                      <w:color w:val="auto"/>
                      <w:sz w:val="21"/>
                      <w:szCs w:val="21"/>
                      <w:u w:val="none"/>
                    </w:rPr>
                  </w:pPr>
                </w:p>
              </w:tc>
              <w:tc>
                <w:tcPr>
                  <w:tcW w:w="660" w:type="pct"/>
                  <w:vMerge w:val="continue"/>
                  <w:tcBorders>
                    <w:tl2br w:val="nil"/>
                    <w:tr2bl w:val="nil"/>
                  </w:tcBorders>
                  <w:shd w:val="clear" w:color="auto" w:fill="auto"/>
                  <w:vAlign w:val="center"/>
                </w:tcPr>
                <w:p w14:paraId="7CA36D92">
                  <w:pPr>
                    <w:jc w:val="center"/>
                    <w:rPr>
                      <w:rFonts w:hint="eastAsia" w:ascii="宋体" w:hAnsi="宋体" w:eastAsia="宋体" w:cs="宋体"/>
                      <w:i w:val="0"/>
                      <w:iCs w:val="0"/>
                      <w:color w:val="auto"/>
                      <w:sz w:val="21"/>
                      <w:szCs w:val="21"/>
                      <w:u w:val="none"/>
                    </w:rPr>
                  </w:pPr>
                </w:p>
              </w:tc>
              <w:tc>
                <w:tcPr>
                  <w:tcW w:w="285" w:type="pct"/>
                  <w:tcBorders>
                    <w:tl2br w:val="nil"/>
                    <w:tr2bl w:val="nil"/>
                  </w:tcBorders>
                  <w:shd w:val="clear" w:color="auto" w:fill="auto"/>
                  <w:vAlign w:val="center"/>
                </w:tcPr>
                <w:p w14:paraId="3DC88F5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危险废物</w:t>
                  </w:r>
                </w:p>
              </w:tc>
              <w:tc>
                <w:tcPr>
                  <w:tcW w:w="2610" w:type="pct"/>
                  <w:gridSpan w:val="2"/>
                  <w:tcBorders>
                    <w:tl2br w:val="nil"/>
                    <w:tr2bl w:val="nil"/>
                  </w:tcBorders>
                  <w:shd w:val="clear" w:color="auto" w:fill="auto"/>
                  <w:vAlign w:val="center"/>
                </w:tcPr>
                <w:p w14:paraId="0E1E6C21">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实验废液、</w:t>
                  </w:r>
                  <w:r>
                    <w:rPr>
                      <w:rFonts w:hint="eastAsia" w:ascii="宋体" w:hAnsi="宋体" w:cs="宋体"/>
                      <w:i w:val="0"/>
                      <w:iCs w:val="0"/>
                      <w:color w:val="auto"/>
                      <w:kern w:val="0"/>
                      <w:sz w:val="21"/>
                      <w:szCs w:val="21"/>
                      <w:u w:val="none"/>
                      <w:lang w:val="en-US" w:eastAsia="zh-CN" w:bidi="ar"/>
                    </w:rPr>
                    <w:t>实验废弃物、废化学试剂、</w:t>
                  </w:r>
                  <w:r>
                    <w:rPr>
                      <w:rFonts w:hint="eastAsia"/>
                      <w:color w:val="auto"/>
                      <w:sz w:val="21"/>
                      <w:szCs w:val="21"/>
                      <w:highlight w:val="none"/>
                      <w:lang w:val="en-US" w:eastAsia="zh-CN"/>
                    </w:rPr>
                    <w:t>沾染化学试剂的废一次性实验物品</w:t>
                  </w:r>
                  <w:r>
                    <w:rPr>
                      <w:rFonts w:hint="eastAsia" w:ascii="宋体" w:hAnsi="宋体" w:eastAsia="宋体" w:cs="宋体"/>
                      <w:i w:val="0"/>
                      <w:iCs w:val="0"/>
                      <w:color w:val="auto"/>
                      <w:kern w:val="0"/>
                      <w:sz w:val="21"/>
                      <w:szCs w:val="21"/>
                      <w:u w:val="none"/>
                      <w:lang w:val="en-US" w:eastAsia="zh-CN" w:bidi="ar"/>
                    </w:rPr>
                    <w:t>、废活性炭、</w:t>
                  </w:r>
                  <w:r>
                    <w:rPr>
                      <w:rFonts w:hint="eastAsia" w:ascii="宋体" w:hAnsi="宋体" w:cs="宋体"/>
                      <w:i w:val="0"/>
                      <w:iCs w:val="0"/>
                      <w:color w:val="auto"/>
                      <w:kern w:val="0"/>
                      <w:sz w:val="21"/>
                      <w:szCs w:val="21"/>
                      <w:u w:val="none"/>
                      <w:lang w:val="en-US" w:eastAsia="zh-CN" w:bidi="ar"/>
                    </w:rPr>
                    <w:t>废SDG、</w:t>
                  </w:r>
                  <w:r>
                    <w:rPr>
                      <w:rFonts w:hint="eastAsia" w:ascii="宋体" w:hAnsi="宋体" w:eastAsia="宋体" w:cs="宋体"/>
                      <w:i w:val="0"/>
                      <w:iCs w:val="0"/>
                      <w:color w:val="auto"/>
                      <w:kern w:val="0"/>
                      <w:sz w:val="21"/>
                      <w:szCs w:val="21"/>
                      <w:u w:val="none"/>
                      <w:lang w:val="en-US" w:eastAsia="zh-CN" w:bidi="ar"/>
                    </w:rPr>
                    <w:t>废水处理污泥，分类收集后暂存于现有的危废贮存库（</w:t>
                  </w:r>
                  <w:r>
                    <w:rPr>
                      <w:rFonts w:hint="default" w:ascii="Times New Roman" w:hAnsi="Times New Roman" w:eastAsia="宋体" w:cs="Times New Roman"/>
                      <w:i w:val="0"/>
                      <w:iCs w:val="0"/>
                      <w:color w:val="auto"/>
                      <w:kern w:val="0"/>
                      <w:sz w:val="21"/>
                      <w:szCs w:val="21"/>
                      <w:u w:val="none"/>
                      <w:lang w:val="en-US" w:eastAsia="zh-CN" w:bidi="ar"/>
                    </w:rPr>
                    <w:t>33.12m</w:t>
                  </w:r>
                  <w:r>
                    <w:rPr>
                      <w:rFonts w:hint="default" w:ascii="Times New Roman" w:hAnsi="Times New Roman" w:eastAsia="宋体" w:cs="Times New Roman"/>
                      <w:i w:val="0"/>
                      <w:iCs w:val="0"/>
                      <w:color w:val="auto"/>
                      <w:kern w:val="0"/>
                      <w:sz w:val="21"/>
                      <w:szCs w:val="21"/>
                      <w:u w:val="none"/>
                      <w:vertAlign w:val="superscript"/>
                      <w:lang w:val="en-US" w:eastAsia="zh-CN" w:bidi="ar"/>
                    </w:rPr>
                    <w:t>2</w:t>
                  </w:r>
                  <w:r>
                    <w:rPr>
                      <w:rFonts w:hint="eastAsia" w:ascii="宋体" w:hAnsi="宋体" w:eastAsia="宋体" w:cs="宋体"/>
                      <w:i w:val="0"/>
                      <w:iCs w:val="0"/>
                      <w:color w:val="auto"/>
                      <w:kern w:val="0"/>
                      <w:sz w:val="21"/>
                      <w:szCs w:val="21"/>
                      <w:u w:val="none"/>
                      <w:lang w:val="en-US" w:eastAsia="zh-CN" w:bidi="ar"/>
                    </w:rPr>
                    <w:t>），定期交由</w:t>
                  </w:r>
                  <w:r>
                    <w:rPr>
                      <w:rFonts w:hint="eastAsia" w:ascii="宋体" w:hAnsi="宋体" w:cs="宋体"/>
                      <w:i w:val="0"/>
                      <w:iCs w:val="0"/>
                      <w:color w:val="auto"/>
                      <w:kern w:val="0"/>
                      <w:sz w:val="21"/>
                      <w:szCs w:val="21"/>
                      <w:u w:val="none"/>
                      <w:lang w:val="en-US" w:eastAsia="zh-CN" w:bidi="ar"/>
                    </w:rPr>
                    <w:t>陕西水发环境有限公司</w:t>
                  </w:r>
                  <w:r>
                    <w:rPr>
                      <w:rFonts w:hint="eastAsia" w:ascii="宋体" w:hAnsi="宋体" w:eastAsia="宋体" w:cs="宋体"/>
                      <w:i w:val="0"/>
                      <w:iCs w:val="0"/>
                      <w:color w:val="auto"/>
                      <w:kern w:val="0"/>
                      <w:sz w:val="21"/>
                      <w:szCs w:val="21"/>
                      <w:u w:val="none"/>
                      <w:lang w:val="en-US" w:eastAsia="zh-CN" w:bidi="ar"/>
                    </w:rPr>
                    <w:t>处理；</w:t>
                  </w:r>
                </w:p>
              </w:tc>
              <w:tc>
                <w:tcPr>
                  <w:tcW w:w="947" w:type="pct"/>
                  <w:tcBorders>
                    <w:tl2br w:val="nil"/>
                    <w:tr2bl w:val="nil"/>
                  </w:tcBorders>
                  <w:shd w:val="clear" w:color="auto" w:fill="auto"/>
                  <w:vAlign w:val="center"/>
                </w:tcPr>
                <w:p w14:paraId="430DAC1C">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r w14:paraId="35A1D6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0" w:hRule="atLeast"/>
              </w:trPr>
              <w:tc>
                <w:tcPr>
                  <w:tcW w:w="496" w:type="pct"/>
                  <w:vMerge w:val="continue"/>
                  <w:tcBorders>
                    <w:tl2br w:val="nil"/>
                    <w:tr2bl w:val="nil"/>
                  </w:tcBorders>
                  <w:shd w:val="clear" w:color="auto" w:fill="auto"/>
                  <w:vAlign w:val="center"/>
                </w:tcPr>
                <w:p w14:paraId="2DBC4217">
                  <w:pPr>
                    <w:jc w:val="center"/>
                    <w:rPr>
                      <w:rFonts w:hint="eastAsia" w:ascii="宋体" w:hAnsi="宋体" w:eastAsia="宋体" w:cs="宋体"/>
                      <w:i w:val="0"/>
                      <w:iCs w:val="0"/>
                      <w:color w:val="auto"/>
                      <w:sz w:val="21"/>
                      <w:szCs w:val="21"/>
                      <w:u w:val="none"/>
                    </w:rPr>
                  </w:pPr>
                </w:p>
              </w:tc>
              <w:tc>
                <w:tcPr>
                  <w:tcW w:w="660" w:type="pct"/>
                  <w:vMerge w:val="continue"/>
                  <w:tcBorders>
                    <w:tl2br w:val="nil"/>
                    <w:tr2bl w:val="nil"/>
                  </w:tcBorders>
                  <w:shd w:val="clear" w:color="auto" w:fill="auto"/>
                  <w:vAlign w:val="center"/>
                </w:tcPr>
                <w:p w14:paraId="055AA5EE">
                  <w:pPr>
                    <w:jc w:val="center"/>
                    <w:rPr>
                      <w:rFonts w:hint="eastAsia" w:ascii="宋体" w:hAnsi="宋体" w:eastAsia="宋体" w:cs="宋体"/>
                      <w:i w:val="0"/>
                      <w:iCs w:val="0"/>
                      <w:color w:val="auto"/>
                      <w:sz w:val="21"/>
                      <w:szCs w:val="21"/>
                      <w:u w:val="none"/>
                    </w:rPr>
                  </w:pPr>
                </w:p>
              </w:tc>
              <w:tc>
                <w:tcPr>
                  <w:tcW w:w="285" w:type="pct"/>
                  <w:tcBorders>
                    <w:tl2br w:val="nil"/>
                    <w:tr2bl w:val="nil"/>
                  </w:tcBorders>
                  <w:shd w:val="clear" w:color="auto" w:fill="auto"/>
                  <w:vAlign w:val="center"/>
                </w:tcPr>
                <w:p w14:paraId="739E4FF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生活垃圾</w:t>
                  </w:r>
                </w:p>
              </w:tc>
              <w:tc>
                <w:tcPr>
                  <w:tcW w:w="2610" w:type="pct"/>
                  <w:gridSpan w:val="2"/>
                  <w:tcBorders>
                    <w:tl2br w:val="nil"/>
                    <w:tr2bl w:val="nil"/>
                  </w:tcBorders>
                  <w:shd w:val="clear" w:color="auto" w:fill="auto"/>
                  <w:vAlign w:val="center"/>
                </w:tcPr>
                <w:p w14:paraId="6C438625">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生活垃圾经统一收集后由环卫部门清运。</w:t>
                  </w:r>
                </w:p>
              </w:tc>
              <w:tc>
                <w:tcPr>
                  <w:tcW w:w="947" w:type="pct"/>
                  <w:tcBorders>
                    <w:tl2br w:val="nil"/>
                    <w:tr2bl w:val="nil"/>
                  </w:tcBorders>
                  <w:shd w:val="clear" w:color="auto" w:fill="auto"/>
                  <w:vAlign w:val="center"/>
                </w:tcPr>
                <w:p w14:paraId="2A05B574">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依托现有</w:t>
                  </w:r>
                </w:p>
              </w:tc>
            </w:tr>
          </w:tbl>
          <w:p w14:paraId="569C2AA2">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b/>
                <w:bCs/>
                <w:color w:val="auto"/>
                <w:sz w:val="24"/>
                <w:szCs w:val="24"/>
                <w:highlight w:val="none"/>
              </w:rPr>
            </w:pPr>
          </w:p>
          <w:p w14:paraId="2A781D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s="Times New Roman"/>
                <w:b/>
                <w:bCs/>
                <w:color w:val="auto"/>
                <w:sz w:val="24"/>
                <w:highlight w:val="none"/>
                <w:lang w:val="en-US" w:eastAsia="zh-CN"/>
              </w:rPr>
            </w:pPr>
            <w:r>
              <w:rPr>
                <w:rFonts w:hint="eastAsia" w:cs="Times New Roman"/>
                <w:b/>
                <w:bCs/>
                <w:color w:val="auto"/>
                <w:kern w:val="2"/>
                <w:sz w:val="24"/>
                <w:szCs w:val="24"/>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sz w:val="24"/>
                <w:highlight w:val="none"/>
                <w:lang w:val="en-US" w:eastAsia="zh-CN"/>
              </w:rPr>
              <w:t>原辅材料及能源消耗用量</w:t>
            </w:r>
          </w:p>
          <w:p w14:paraId="3B31E4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bCs/>
                <w:color w:val="auto"/>
                <w:sz w:val="24"/>
                <w:highlight w:val="none"/>
                <w:lang w:val="en-US" w:eastAsia="zh-CN"/>
              </w:rPr>
            </w:pPr>
            <w:r>
              <w:rPr>
                <w:rFonts w:hint="eastAsia" w:cs="Times New Roman"/>
                <w:b w:val="0"/>
                <w:bCs w:val="0"/>
                <w:color w:val="auto"/>
                <w:sz w:val="24"/>
                <w:highlight w:val="none"/>
                <w:lang w:val="en-US" w:eastAsia="zh-CN"/>
              </w:rPr>
              <w:t>由于实验原辅材料种类随客户订单要求变动，大多数为有机试剂但用量很小。</w:t>
            </w:r>
            <w:r>
              <w:rPr>
                <w:rFonts w:hint="eastAsia" w:ascii="Times New Roman" w:hAnsi="Times New Roman" w:eastAsia="宋体" w:cs="Times New Roman"/>
                <w:b w:val="0"/>
                <w:bCs w:val="0"/>
                <w:color w:val="auto"/>
                <w:sz w:val="24"/>
                <w:highlight w:val="none"/>
                <w:lang w:val="en-US" w:eastAsia="zh-CN"/>
              </w:rPr>
              <w:t>根据</w:t>
            </w:r>
            <w:r>
              <w:rPr>
                <w:rFonts w:hint="eastAsia" w:cs="Times New Roman"/>
                <w:b w:val="0"/>
                <w:bCs w:val="0"/>
                <w:color w:val="auto"/>
                <w:sz w:val="24"/>
                <w:highlight w:val="none"/>
                <w:lang w:val="en-US" w:eastAsia="zh-CN"/>
              </w:rPr>
              <w:t>建设单位提供的资料</w:t>
            </w:r>
            <w:r>
              <w:rPr>
                <w:rFonts w:hint="eastAsia" w:ascii="Times New Roman" w:hAnsi="Times New Roman" w:eastAsia="宋体" w:cs="Times New Roman"/>
                <w:b w:val="0"/>
                <w:bCs w:val="0"/>
                <w:color w:val="auto"/>
                <w:sz w:val="24"/>
                <w:highlight w:val="none"/>
                <w:lang w:val="en-US" w:eastAsia="zh-CN"/>
              </w:rPr>
              <w:t>，</w:t>
            </w:r>
            <w:r>
              <w:rPr>
                <w:rFonts w:hint="eastAsia" w:cs="Times New Roman"/>
                <w:b w:val="0"/>
                <w:bCs w:val="0"/>
                <w:color w:val="auto"/>
                <w:sz w:val="24"/>
                <w:highlight w:val="none"/>
                <w:lang w:val="en-US" w:eastAsia="zh-CN"/>
              </w:rPr>
              <w:t>项目建成后</w:t>
            </w:r>
            <w:r>
              <w:rPr>
                <w:rFonts w:hint="eastAsia" w:ascii="Times New Roman" w:hAnsi="Times New Roman" w:eastAsia="宋体" w:cs="Times New Roman"/>
                <w:b w:val="0"/>
                <w:bCs w:val="0"/>
                <w:color w:val="auto"/>
                <w:sz w:val="24"/>
                <w:highlight w:val="none"/>
                <w:lang w:val="en-US" w:eastAsia="zh-CN"/>
              </w:rPr>
              <w:t>主要原</w:t>
            </w:r>
            <w:r>
              <w:rPr>
                <w:rFonts w:hint="eastAsia" w:cs="Times New Roman"/>
                <w:b w:val="0"/>
                <w:bCs w:val="0"/>
                <w:color w:val="auto"/>
                <w:sz w:val="24"/>
                <w:highlight w:val="none"/>
                <w:lang w:val="en-US" w:eastAsia="zh-CN"/>
              </w:rPr>
              <w:t>辅</w:t>
            </w:r>
            <w:r>
              <w:rPr>
                <w:rFonts w:hint="eastAsia" w:ascii="Times New Roman" w:hAnsi="Times New Roman" w:eastAsia="宋体" w:cs="Times New Roman"/>
                <w:b w:val="0"/>
                <w:bCs w:val="0"/>
                <w:color w:val="auto"/>
                <w:sz w:val="24"/>
                <w:highlight w:val="none"/>
                <w:lang w:val="en-US" w:eastAsia="zh-CN"/>
              </w:rPr>
              <w:t>材料用量见表2-2。</w:t>
            </w:r>
          </w:p>
          <w:p w14:paraId="6FA4680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2" w:firstLineChars="200"/>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表2-2  主要原材料消耗一览表</w:t>
            </w:r>
          </w:p>
          <w:tbl>
            <w:tblPr>
              <w:tblStyle w:val="30"/>
              <w:tblW w:w="7900" w:type="dxa"/>
              <w:tblInd w:w="85"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3"/>
              <w:gridCol w:w="1070"/>
              <w:gridCol w:w="660"/>
              <w:gridCol w:w="840"/>
              <w:gridCol w:w="1035"/>
              <w:gridCol w:w="825"/>
              <w:gridCol w:w="1110"/>
              <w:gridCol w:w="1140"/>
              <w:gridCol w:w="1210"/>
              <w:gridCol w:w="10"/>
            </w:tblGrid>
            <w:tr w14:paraId="31257C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1421" w:hRule="atLeast"/>
              </w:trPr>
              <w:tc>
                <w:tcPr>
                  <w:tcW w:w="1073" w:type="dxa"/>
                  <w:gridSpan w:val="2"/>
                  <w:tcBorders>
                    <w:tl2br w:val="nil"/>
                    <w:tr2bl w:val="nil"/>
                  </w:tcBorders>
                  <w:shd w:val="clear" w:color="auto" w:fill="auto"/>
                  <w:vAlign w:val="center"/>
                </w:tcPr>
                <w:p w14:paraId="4F000A1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660" w:type="dxa"/>
                  <w:tcBorders>
                    <w:tl2br w:val="nil"/>
                    <w:tr2bl w:val="nil"/>
                  </w:tcBorders>
                  <w:shd w:val="clear" w:color="auto" w:fill="auto"/>
                  <w:noWrap/>
                  <w:vAlign w:val="center"/>
                </w:tcPr>
                <w:p w14:paraId="10AC561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40" w:type="dxa"/>
                  <w:tcBorders>
                    <w:tl2br w:val="nil"/>
                    <w:tr2bl w:val="nil"/>
                  </w:tcBorders>
                  <w:shd w:val="clear" w:color="auto" w:fill="auto"/>
                  <w:vAlign w:val="center"/>
                </w:tcPr>
                <w:p w14:paraId="6106BB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扩建前用量（kg）</w:t>
                  </w:r>
                </w:p>
              </w:tc>
              <w:tc>
                <w:tcPr>
                  <w:tcW w:w="1035" w:type="dxa"/>
                  <w:tcBorders>
                    <w:tl2br w:val="nil"/>
                    <w:tr2bl w:val="nil"/>
                  </w:tcBorders>
                  <w:shd w:val="clear" w:color="auto" w:fill="auto"/>
                  <w:vAlign w:val="center"/>
                </w:tcPr>
                <w:p w14:paraId="282A010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扩建后用量（</w:t>
                  </w:r>
                  <w:r>
                    <w:rPr>
                      <w:rFonts w:hint="default" w:ascii="Times New Roman" w:hAnsi="Times New Roman" w:eastAsia="宋体" w:cs="Times New Roman"/>
                      <w:b/>
                      <w:bCs/>
                      <w:i w:val="0"/>
                      <w:iCs w:val="0"/>
                      <w:color w:val="000000"/>
                      <w:kern w:val="0"/>
                      <w:sz w:val="22"/>
                      <w:szCs w:val="22"/>
                      <w:u w:val="none"/>
                      <w:lang w:val="en-US" w:eastAsia="zh-CN" w:bidi="ar"/>
                    </w:rPr>
                    <w:t>kg</w:t>
                  </w:r>
                  <w:r>
                    <w:rPr>
                      <w:rFonts w:hint="eastAsia" w:ascii="宋体" w:hAnsi="宋体" w:eastAsia="宋体" w:cs="宋体"/>
                      <w:b/>
                      <w:bCs/>
                      <w:i w:val="0"/>
                      <w:iCs w:val="0"/>
                      <w:color w:val="000000"/>
                      <w:kern w:val="0"/>
                      <w:sz w:val="22"/>
                      <w:szCs w:val="22"/>
                      <w:u w:val="none"/>
                      <w:lang w:val="en-US" w:eastAsia="zh-CN" w:bidi="ar"/>
                    </w:rPr>
                    <w:t>）</w:t>
                  </w:r>
                </w:p>
              </w:tc>
              <w:tc>
                <w:tcPr>
                  <w:tcW w:w="825" w:type="dxa"/>
                  <w:tcBorders>
                    <w:tl2br w:val="nil"/>
                    <w:tr2bl w:val="nil"/>
                  </w:tcBorders>
                  <w:shd w:val="clear" w:color="auto" w:fill="auto"/>
                  <w:vAlign w:val="center"/>
                </w:tcPr>
                <w:p w14:paraId="4B68F8B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变化量（kg）</w:t>
                  </w:r>
                </w:p>
              </w:tc>
              <w:tc>
                <w:tcPr>
                  <w:tcW w:w="1110" w:type="dxa"/>
                  <w:tcBorders>
                    <w:tl2br w:val="nil"/>
                    <w:tr2bl w:val="nil"/>
                  </w:tcBorders>
                  <w:shd w:val="clear" w:color="auto" w:fill="auto"/>
                  <w:vAlign w:val="center"/>
                </w:tcPr>
                <w:p w14:paraId="519EC2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最大存储量（</w:t>
                  </w:r>
                  <w:r>
                    <w:rPr>
                      <w:rFonts w:hint="default" w:ascii="Times New Roman" w:hAnsi="Times New Roman" w:eastAsia="宋体" w:cs="Times New Roman"/>
                      <w:b/>
                      <w:bCs/>
                      <w:i w:val="0"/>
                      <w:iCs w:val="0"/>
                      <w:color w:val="000000"/>
                      <w:kern w:val="0"/>
                      <w:sz w:val="22"/>
                      <w:szCs w:val="22"/>
                      <w:u w:val="none"/>
                      <w:lang w:val="en-US" w:eastAsia="zh-CN" w:bidi="ar"/>
                    </w:rPr>
                    <w:t>kg</w:t>
                  </w:r>
                  <w:r>
                    <w:rPr>
                      <w:rFonts w:hint="eastAsia" w:ascii="宋体" w:hAnsi="宋体" w:eastAsia="宋体" w:cs="宋体"/>
                      <w:b/>
                      <w:bCs/>
                      <w:i w:val="0"/>
                      <w:iCs w:val="0"/>
                      <w:color w:val="000000"/>
                      <w:kern w:val="0"/>
                      <w:sz w:val="22"/>
                      <w:szCs w:val="22"/>
                      <w:u w:val="none"/>
                      <w:lang w:val="en-US" w:eastAsia="zh-CN" w:bidi="ar"/>
                    </w:rPr>
                    <w:t>）</w:t>
                  </w:r>
                </w:p>
              </w:tc>
              <w:tc>
                <w:tcPr>
                  <w:tcW w:w="1140" w:type="dxa"/>
                  <w:tcBorders>
                    <w:tl2br w:val="nil"/>
                    <w:tr2bl w:val="nil"/>
                  </w:tcBorders>
                  <w:shd w:val="clear" w:color="auto" w:fill="auto"/>
                  <w:noWrap/>
                  <w:vAlign w:val="center"/>
                </w:tcPr>
                <w:p w14:paraId="2EA5C8C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包装规格</w:t>
                  </w:r>
                </w:p>
              </w:tc>
              <w:tc>
                <w:tcPr>
                  <w:tcW w:w="1210" w:type="dxa"/>
                  <w:tcBorders>
                    <w:tl2br w:val="nil"/>
                    <w:tr2bl w:val="nil"/>
                  </w:tcBorders>
                  <w:shd w:val="clear" w:color="auto" w:fill="auto"/>
                  <w:noWrap/>
                  <w:vAlign w:val="center"/>
                </w:tcPr>
                <w:p w14:paraId="0225B5A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000CB0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5025B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丙二酸二甲酯</w:t>
                  </w:r>
                </w:p>
              </w:tc>
              <w:tc>
                <w:tcPr>
                  <w:tcW w:w="660" w:type="dxa"/>
                  <w:tcBorders>
                    <w:tl2br w:val="nil"/>
                    <w:tr2bl w:val="nil"/>
                  </w:tcBorders>
                  <w:shd w:val="clear" w:color="auto" w:fill="auto"/>
                  <w:noWrap/>
                  <w:vAlign w:val="center"/>
                </w:tcPr>
                <w:p w14:paraId="4C7A295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w:t>
                  </w:r>
                </w:p>
              </w:tc>
              <w:tc>
                <w:tcPr>
                  <w:tcW w:w="840" w:type="dxa"/>
                  <w:tcBorders>
                    <w:tl2br w:val="nil"/>
                    <w:tr2bl w:val="nil"/>
                  </w:tcBorders>
                  <w:shd w:val="clear" w:color="auto" w:fill="auto"/>
                  <w:noWrap/>
                  <w:vAlign w:val="center"/>
                </w:tcPr>
                <w:p w14:paraId="1281C74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47A4E55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3ED6AA7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w:t>
                  </w:r>
                </w:p>
              </w:tc>
              <w:tc>
                <w:tcPr>
                  <w:tcW w:w="1110" w:type="dxa"/>
                  <w:tcBorders>
                    <w:tl2br w:val="nil"/>
                    <w:tr2bl w:val="nil"/>
                  </w:tcBorders>
                  <w:shd w:val="clear" w:color="auto" w:fill="auto"/>
                  <w:noWrap/>
                  <w:vAlign w:val="center"/>
                </w:tcPr>
                <w:p w14:paraId="1802136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306C6D7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restart"/>
                  <w:tcBorders>
                    <w:tl2br w:val="nil"/>
                    <w:tr2bl w:val="nil"/>
                  </w:tcBorders>
                  <w:shd w:val="clear" w:color="auto" w:fill="auto"/>
                  <w:vAlign w:val="center"/>
                </w:tcPr>
                <w:p w14:paraId="64CA1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主要原料，用于化学合成生存目标产物，存储于试剂间</w:t>
                  </w:r>
                </w:p>
              </w:tc>
            </w:tr>
            <w:tr w14:paraId="056352F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7AC6D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联硼酸频哪醇酯</w:t>
                  </w:r>
                </w:p>
              </w:tc>
              <w:tc>
                <w:tcPr>
                  <w:tcW w:w="660" w:type="dxa"/>
                  <w:tcBorders>
                    <w:tl2br w:val="nil"/>
                    <w:tr2bl w:val="nil"/>
                  </w:tcBorders>
                  <w:shd w:val="clear" w:color="auto" w:fill="auto"/>
                  <w:noWrap/>
                  <w:vAlign w:val="center"/>
                </w:tcPr>
                <w:p w14:paraId="76DFF44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60E70B4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199EC6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825" w:type="dxa"/>
                  <w:tcBorders>
                    <w:tl2br w:val="nil"/>
                    <w:tr2bl w:val="nil"/>
                  </w:tcBorders>
                  <w:shd w:val="clear" w:color="auto" w:fill="auto"/>
                  <w:noWrap/>
                  <w:vAlign w:val="center"/>
                </w:tcPr>
                <w:p w14:paraId="7BC7CC8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20</w:t>
                  </w:r>
                </w:p>
              </w:tc>
              <w:tc>
                <w:tcPr>
                  <w:tcW w:w="1110" w:type="dxa"/>
                  <w:tcBorders>
                    <w:tl2br w:val="nil"/>
                    <w:tr2bl w:val="nil"/>
                  </w:tcBorders>
                  <w:shd w:val="clear" w:color="auto" w:fill="auto"/>
                  <w:noWrap/>
                  <w:vAlign w:val="center"/>
                </w:tcPr>
                <w:p w14:paraId="6202F5B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140" w:type="dxa"/>
                  <w:tcBorders>
                    <w:tl2br w:val="nil"/>
                    <w:tr2bl w:val="nil"/>
                  </w:tcBorders>
                  <w:shd w:val="clear" w:color="auto" w:fill="auto"/>
                  <w:noWrap/>
                  <w:vAlign w:val="center"/>
                </w:tcPr>
                <w:p w14:paraId="4F25B0A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3C74685D">
                  <w:pPr>
                    <w:jc w:val="center"/>
                    <w:rPr>
                      <w:rFonts w:hint="eastAsia" w:ascii="宋体" w:hAnsi="宋体" w:eastAsia="宋体" w:cs="宋体"/>
                      <w:i w:val="0"/>
                      <w:iCs w:val="0"/>
                      <w:color w:val="000000"/>
                      <w:sz w:val="22"/>
                      <w:szCs w:val="22"/>
                      <w:u w:val="none"/>
                    </w:rPr>
                  </w:pPr>
                </w:p>
              </w:tc>
            </w:tr>
            <w:tr w14:paraId="315B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67EC35C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双三氟甲基苯腈</w:t>
                  </w:r>
                </w:p>
              </w:tc>
              <w:tc>
                <w:tcPr>
                  <w:tcW w:w="660" w:type="dxa"/>
                  <w:tcBorders>
                    <w:tl2br w:val="nil"/>
                    <w:tr2bl w:val="nil"/>
                  </w:tcBorders>
                  <w:shd w:val="clear" w:color="auto" w:fill="auto"/>
                  <w:noWrap/>
                  <w:vAlign w:val="center"/>
                </w:tcPr>
                <w:p w14:paraId="7BD1091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12926E1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w:t>
                  </w:r>
                </w:p>
              </w:tc>
              <w:tc>
                <w:tcPr>
                  <w:tcW w:w="1035" w:type="dxa"/>
                  <w:tcBorders>
                    <w:tl2br w:val="nil"/>
                    <w:tr2bl w:val="nil"/>
                  </w:tcBorders>
                  <w:shd w:val="clear" w:color="auto" w:fill="auto"/>
                  <w:noWrap/>
                  <w:vAlign w:val="center"/>
                </w:tcPr>
                <w:p w14:paraId="30F0E4F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825" w:type="dxa"/>
                  <w:tcBorders>
                    <w:tl2br w:val="nil"/>
                    <w:tr2bl w:val="nil"/>
                  </w:tcBorders>
                  <w:shd w:val="clear" w:color="auto" w:fill="auto"/>
                  <w:noWrap/>
                  <w:vAlign w:val="center"/>
                </w:tcPr>
                <w:p w14:paraId="403EEC5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19.4</w:t>
                  </w:r>
                </w:p>
              </w:tc>
              <w:tc>
                <w:tcPr>
                  <w:tcW w:w="1110" w:type="dxa"/>
                  <w:tcBorders>
                    <w:tl2br w:val="nil"/>
                    <w:tr2bl w:val="nil"/>
                  </w:tcBorders>
                  <w:shd w:val="clear" w:color="auto" w:fill="auto"/>
                  <w:noWrap/>
                  <w:vAlign w:val="center"/>
                </w:tcPr>
                <w:p w14:paraId="179EE04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140" w:type="dxa"/>
                  <w:tcBorders>
                    <w:tl2br w:val="nil"/>
                    <w:tr2bl w:val="nil"/>
                  </w:tcBorders>
                  <w:shd w:val="clear" w:color="auto" w:fill="auto"/>
                  <w:noWrap/>
                  <w:vAlign w:val="center"/>
                </w:tcPr>
                <w:p w14:paraId="685BAA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759D039">
                  <w:pPr>
                    <w:jc w:val="center"/>
                    <w:rPr>
                      <w:rFonts w:hint="eastAsia" w:ascii="宋体" w:hAnsi="宋体" w:eastAsia="宋体" w:cs="宋体"/>
                      <w:i w:val="0"/>
                      <w:iCs w:val="0"/>
                      <w:color w:val="000000"/>
                      <w:sz w:val="22"/>
                      <w:szCs w:val="22"/>
                      <w:u w:val="none"/>
                    </w:rPr>
                  </w:pPr>
                </w:p>
              </w:tc>
            </w:tr>
            <w:tr w14:paraId="25C890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437F5EE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4-</w:t>
                  </w:r>
                  <w:r>
                    <w:rPr>
                      <w:rFonts w:hint="eastAsia" w:ascii="宋体" w:hAnsi="宋体" w:eastAsia="宋体" w:cs="宋体"/>
                      <w:i w:val="0"/>
                      <w:iCs w:val="0"/>
                      <w:color w:val="000000"/>
                      <w:kern w:val="0"/>
                      <w:sz w:val="22"/>
                      <w:szCs w:val="22"/>
                      <w:u w:val="none"/>
                      <w:lang w:val="en-US" w:eastAsia="zh-CN" w:bidi="ar"/>
                    </w:rPr>
                    <w:t>二氯</w:t>
                  </w:r>
                  <w:r>
                    <w:rPr>
                      <w:rFonts w:hint="default" w:ascii="Times New Roman" w:hAnsi="Times New Roman" w:eastAsia="宋体" w:cs="Times New Roman"/>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硝基嘧啶</w:t>
                  </w:r>
                </w:p>
              </w:tc>
              <w:tc>
                <w:tcPr>
                  <w:tcW w:w="660" w:type="dxa"/>
                  <w:tcBorders>
                    <w:tl2br w:val="nil"/>
                    <w:tr2bl w:val="nil"/>
                  </w:tcBorders>
                  <w:shd w:val="clear" w:color="auto" w:fill="auto"/>
                  <w:noWrap/>
                  <w:vAlign w:val="center"/>
                </w:tcPr>
                <w:p w14:paraId="5236DE0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5A91F3C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2934C8B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10EC8A8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w:t>
                  </w:r>
                </w:p>
              </w:tc>
              <w:tc>
                <w:tcPr>
                  <w:tcW w:w="1110" w:type="dxa"/>
                  <w:tcBorders>
                    <w:tl2br w:val="nil"/>
                    <w:tr2bl w:val="nil"/>
                  </w:tcBorders>
                  <w:shd w:val="clear" w:color="auto" w:fill="auto"/>
                  <w:noWrap/>
                  <w:vAlign w:val="center"/>
                </w:tcPr>
                <w:p w14:paraId="20F09C7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7B6D8E2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00B4EA17">
                  <w:pPr>
                    <w:jc w:val="center"/>
                    <w:rPr>
                      <w:rFonts w:hint="eastAsia" w:ascii="宋体" w:hAnsi="宋体" w:eastAsia="宋体" w:cs="宋体"/>
                      <w:i w:val="0"/>
                      <w:iCs w:val="0"/>
                      <w:color w:val="000000"/>
                      <w:sz w:val="22"/>
                      <w:szCs w:val="22"/>
                      <w:u w:val="none"/>
                    </w:rPr>
                  </w:pPr>
                </w:p>
              </w:tc>
            </w:tr>
            <w:tr w14:paraId="0817EA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4558030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溴</w:t>
                  </w:r>
                  <w:r>
                    <w:rPr>
                      <w:rFonts w:hint="default" w:ascii="Times New Roman" w:hAnsi="Times New Roman" w:eastAsia="宋体" w:cs="Times New Roman"/>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甲氧基苯甲醛</w:t>
                  </w:r>
                </w:p>
              </w:tc>
              <w:tc>
                <w:tcPr>
                  <w:tcW w:w="660" w:type="dxa"/>
                  <w:tcBorders>
                    <w:tl2br w:val="nil"/>
                    <w:tr2bl w:val="nil"/>
                  </w:tcBorders>
                  <w:shd w:val="clear" w:color="auto" w:fill="auto"/>
                  <w:noWrap/>
                  <w:vAlign w:val="center"/>
                </w:tcPr>
                <w:p w14:paraId="7EE5C00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3A55F20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547F3A1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740FB58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w:t>
                  </w:r>
                </w:p>
              </w:tc>
              <w:tc>
                <w:tcPr>
                  <w:tcW w:w="1110" w:type="dxa"/>
                  <w:tcBorders>
                    <w:tl2br w:val="nil"/>
                    <w:tr2bl w:val="nil"/>
                  </w:tcBorders>
                  <w:shd w:val="clear" w:color="auto" w:fill="auto"/>
                  <w:noWrap/>
                  <w:vAlign w:val="center"/>
                </w:tcPr>
                <w:p w14:paraId="6CA10C4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18E536B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5F32B536">
                  <w:pPr>
                    <w:jc w:val="center"/>
                    <w:rPr>
                      <w:rFonts w:hint="eastAsia" w:ascii="宋体" w:hAnsi="宋体" w:eastAsia="宋体" w:cs="宋体"/>
                      <w:i w:val="0"/>
                      <w:iCs w:val="0"/>
                      <w:color w:val="000000"/>
                      <w:sz w:val="22"/>
                      <w:szCs w:val="22"/>
                      <w:u w:val="none"/>
                    </w:rPr>
                  </w:pPr>
                </w:p>
              </w:tc>
            </w:tr>
            <w:tr w14:paraId="4C0D36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67C9A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五氟苯酚</w:t>
                  </w:r>
                </w:p>
              </w:tc>
              <w:tc>
                <w:tcPr>
                  <w:tcW w:w="660" w:type="dxa"/>
                  <w:tcBorders>
                    <w:tl2br w:val="nil"/>
                    <w:tr2bl w:val="nil"/>
                  </w:tcBorders>
                  <w:shd w:val="clear" w:color="auto" w:fill="auto"/>
                  <w:noWrap/>
                  <w:vAlign w:val="center"/>
                </w:tcPr>
                <w:p w14:paraId="52C466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4A74794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9E8244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2F3F0BA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noWrap/>
                  <w:vAlign w:val="center"/>
                </w:tcPr>
                <w:p w14:paraId="78F755C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noWrap/>
                  <w:vAlign w:val="center"/>
                </w:tcPr>
                <w:p w14:paraId="7AAF71D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2F326DBD">
                  <w:pPr>
                    <w:jc w:val="center"/>
                    <w:rPr>
                      <w:rFonts w:hint="eastAsia" w:ascii="宋体" w:hAnsi="宋体" w:eastAsia="宋体" w:cs="宋体"/>
                      <w:i w:val="0"/>
                      <w:iCs w:val="0"/>
                      <w:color w:val="000000"/>
                      <w:sz w:val="22"/>
                      <w:szCs w:val="22"/>
                      <w:u w:val="none"/>
                    </w:rPr>
                  </w:pPr>
                </w:p>
              </w:tc>
            </w:tr>
            <w:tr w14:paraId="61901A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8D36A7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溴丁烷</w:t>
                  </w:r>
                </w:p>
              </w:tc>
              <w:tc>
                <w:tcPr>
                  <w:tcW w:w="660" w:type="dxa"/>
                  <w:tcBorders>
                    <w:tl2br w:val="nil"/>
                    <w:tr2bl w:val="nil"/>
                  </w:tcBorders>
                  <w:shd w:val="clear" w:color="auto" w:fill="auto"/>
                  <w:vAlign w:val="center"/>
                </w:tcPr>
                <w:p w14:paraId="3EB73E1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15ED902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4D8B38B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2140F6C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vAlign w:val="center"/>
                </w:tcPr>
                <w:p w14:paraId="259A9C6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3BB42E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2A271114">
                  <w:pPr>
                    <w:jc w:val="center"/>
                    <w:rPr>
                      <w:rFonts w:hint="eastAsia" w:ascii="宋体" w:hAnsi="宋体" w:eastAsia="宋体" w:cs="宋体"/>
                      <w:i w:val="0"/>
                      <w:iCs w:val="0"/>
                      <w:color w:val="000000"/>
                      <w:sz w:val="22"/>
                      <w:szCs w:val="22"/>
                      <w:u w:val="none"/>
                    </w:rPr>
                  </w:pPr>
                </w:p>
              </w:tc>
            </w:tr>
            <w:tr w14:paraId="433645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35492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异丁醛</w:t>
                  </w:r>
                </w:p>
              </w:tc>
              <w:tc>
                <w:tcPr>
                  <w:tcW w:w="660" w:type="dxa"/>
                  <w:tcBorders>
                    <w:tl2br w:val="nil"/>
                    <w:tr2bl w:val="nil"/>
                  </w:tcBorders>
                  <w:shd w:val="clear" w:color="auto" w:fill="auto"/>
                  <w:vAlign w:val="center"/>
                </w:tcPr>
                <w:p w14:paraId="3EB3B82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0DEB8D9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4E76EFB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463EA03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vAlign w:val="center"/>
                </w:tcPr>
                <w:p w14:paraId="69F012D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581B15E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63455B6F">
                  <w:pPr>
                    <w:jc w:val="center"/>
                    <w:rPr>
                      <w:rFonts w:hint="eastAsia" w:ascii="宋体" w:hAnsi="宋体" w:eastAsia="宋体" w:cs="宋体"/>
                      <w:i w:val="0"/>
                      <w:iCs w:val="0"/>
                      <w:color w:val="000000"/>
                      <w:sz w:val="22"/>
                      <w:szCs w:val="22"/>
                      <w:u w:val="none"/>
                    </w:rPr>
                  </w:pPr>
                </w:p>
              </w:tc>
            </w:tr>
            <w:tr w14:paraId="3855D0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264DA00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脱氧胞苷</w:t>
                  </w:r>
                </w:p>
              </w:tc>
              <w:tc>
                <w:tcPr>
                  <w:tcW w:w="660" w:type="dxa"/>
                  <w:tcBorders>
                    <w:tl2br w:val="nil"/>
                    <w:tr2bl w:val="nil"/>
                  </w:tcBorders>
                  <w:shd w:val="clear" w:color="auto" w:fill="auto"/>
                  <w:vAlign w:val="center"/>
                </w:tcPr>
                <w:p w14:paraId="1C4E723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264BEB9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7A52B4D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05BBFB0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vAlign w:val="center"/>
                </w:tcPr>
                <w:p w14:paraId="23377CB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702915B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6FA5B435">
                  <w:pPr>
                    <w:jc w:val="center"/>
                    <w:rPr>
                      <w:rFonts w:hint="eastAsia" w:ascii="宋体" w:hAnsi="宋体" w:eastAsia="宋体" w:cs="宋体"/>
                      <w:i w:val="0"/>
                      <w:iCs w:val="0"/>
                      <w:color w:val="000000"/>
                      <w:sz w:val="22"/>
                      <w:szCs w:val="22"/>
                      <w:u w:val="none"/>
                    </w:rPr>
                  </w:pPr>
                </w:p>
              </w:tc>
            </w:tr>
            <w:tr w14:paraId="36007C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3E580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对硝基苯基氯甲酸酯</w:t>
                  </w:r>
                </w:p>
              </w:tc>
              <w:tc>
                <w:tcPr>
                  <w:tcW w:w="660" w:type="dxa"/>
                  <w:tcBorders>
                    <w:tl2br w:val="nil"/>
                    <w:tr2bl w:val="nil"/>
                  </w:tcBorders>
                  <w:shd w:val="clear" w:color="auto" w:fill="auto"/>
                  <w:vAlign w:val="center"/>
                </w:tcPr>
                <w:p w14:paraId="368DDB3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0E38107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41C6378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02C4CE4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vAlign w:val="center"/>
                </w:tcPr>
                <w:p w14:paraId="5809F46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067914C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9E0D13C">
                  <w:pPr>
                    <w:jc w:val="center"/>
                    <w:rPr>
                      <w:rFonts w:hint="eastAsia" w:ascii="宋体" w:hAnsi="宋体" w:eastAsia="宋体" w:cs="宋体"/>
                      <w:i w:val="0"/>
                      <w:iCs w:val="0"/>
                      <w:color w:val="000000"/>
                      <w:sz w:val="22"/>
                      <w:szCs w:val="22"/>
                      <w:u w:val="none"/>
                    </w:rPr>
                  </w:pPr>
                </w:p>
              </w:tc>
            </w:tr>
            <w:tr w14:paraId="561C04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1401" w:hRule="atLeast"/>
              </w:trPr>
              <w:tc>
                <w:tcPr>
                  <w:tcW w:w="1073" w:type="dxa"/>
                  <w:gridSpan w:val="2"/>
                  <w:tcBorders>
                    <w:tl2br w:val="nil"/>
                    <w:tr2bl w:val="nil"/>
                  </w:tcBorders>
                  <w:shd w:val="clear" w:color="auto" w:fill="auto"/>
                  <w:vAlign w:val="center"/>
                </w:tcPr>
                <w:p w14:paraId="02232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反式</w:t>
                  </w:r>
                  <w:r>
                    <w:rPr>
                      <w:rFonts w:hint="default" w:ascii="Times New Roman" w:hAnsi="Times New Roman" w:eastAsia="宋体" w:cs="Times New Roman"/>
                      <w:i w:val="0"/>
                      <w:iCs w:val="0"/>
                      <w:color w:val="000000"/>
                      <w:kern w:val="0"/>
                      <w:sz w:val="22"/>
                      <w:szCs w:val="22"/>
                      <w:u w:val="none"/>
                      <w:lang w:val="en-US" w:eastAsia="zh-CN" w:bidi="ar"/>
                    </w:rPr>
                    <w:t>-4-</w:t>
                  </w:r>
                  <w:r>
                    <w:rPr>
                      <w:rFonts w:hint="eastAsia" w:ascii="宋体" w:hAnsi="宋体" w:eastAsia="宋体" w:cs="宋体"/>
                      <w:i w:val="0"/>
                      <w:iCs w:val="0"/>
                      <w:color w:val="000000"/>
                      <w:kern w:val="0"/>
                      <w:sz w:val="22"/>
                      <w:szCs w:val="22"/>
                      <w:u w:val="none"/>
                      <w:lang w:val="en-US" w:eastAsia="zh-CN" w:bidi="ar"/>
                    </w:rPr>
                    <w:t>羟基</w:t>
                  </w:r>
                  <w:r>
                    <w:rPr>
                      <w:rFonts w:hint="default" w:ascii="Times New Roman" w:hAnsi="Times New Roman" w:eastAsia="宋体" w:cs="Times New Roman"/>
                      <w:i w:val="0"/>
                      <w:iCs w:val="0"/>
                      <w:color w:val="000000"/>
                      <w:kern w:val="0"/>
                      <w:sz w:val="22"/>
                      <w:szCs w:val="22"/>
                      <w:u w:val="none"/>
                      <w:lang w:val="en-US" w:eastAsia="zh-CN" w:bidi="ar"/>
                    </w:rPr>
                    <w:t>-L-</w:t>
                  </w:r>
                  <w:r>
                    <w:rPr>
                      <w:rFonts w:hint="eastAsia" w:ascii="宋体" w:hAnsi="宋体" w:eastAsia="宋体" w:cs="宋体"/>
                      <w:i w:val="0"/>
                      <w:iCs w:val="0"/>
                      <w:color w:val="000000"/>
                      <w:kern w:val="0"/>
                      <w:sz w:val="22"/>
                      <w:szCs w:val="22"/>
                      <w:u w:val="none"/>
                      <w:lang w:val="en-US" w:eastAsia="zh-CN" w:bidi="ar"/>
                    </w:rPr>
                    <w:t>脯氨酸甲酯盐酸盐</w:t>
                  </w:r>
                </w:p>
              </w:tc>
              <w:tc>
                <w:tcPr>
                  <w:tcW w:w="660" w:type="dxa"/>
                  <w:tcBorders>
                    <w:tl2br w:val="nil"/>
                    <w:tr2bl w:val="nil"/>
                  </w:tcBorders>
                  <w:shd w:val="clear" w:color="auto" w:fill="auto"/>
                  <w:vAlign w:val="center"/>
                </w:tcPr>
                <w:p w14:paraId="00E35F2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021BB73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5036043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825" w:type="dxa"/>
                  <w:tcBorders>
                    <w:tl2br w:val="nil"/>
                    <w:tr2bl w:val="nil"/>
                  </w:tcBorders>
                  <w:shd w:val="clear" w:color="auto" w:fill="auto"/>
                  <w:noWrap/>
                  <w:vAlign w:val="center"/>
                </w:tcPr>
                <w:p w14:paraId="62AFB3E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w:t>
                  </w:r>
                </w:p>
              </w:tc>
              <w:tc>
                <w:tcPr>
                  <w:tcW w:w="1110" w:type="dxa"/>
                  <w:tcBorders>
                    <w:tl2br w:val="nil"/>
                    <w:tr2bl w:val="nil"/>
                  </w:tcBorders>
                  <w:shd w:val="clear" w:color="auto" w:fill="auto"/>
                  <w:vAlign w:val="center"/>
                </w:tcPr>
                <w:p w14:paraId="6E4615F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7B43900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53442161">
                  <w:pPr>
                    <w:jc w:val="center"/>
                    <w:rPr>
                      <w:rFonts w:hint="eastAsia" w:ascii="宋体" w:hAnsi="宋体" w:eastAsia="宋体" w:cs="宋体"/>
                      <w:i w:val="0"/>
                      <w:iCs w:val="0"/>
                      <w:color w:val="000000"/>
                      <w:sz w:val="22"/>
                      <w:szCs w:val="22"/>
                      <w:u w:val="none"/>
                    </w:rPr>
                  </w:pPr>
                </w:p>
              </w:tc>
            </w:tr>
            <w:tr w14:paraId="6E772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1123" w:hRule="atLeast"/>
              </w:trPr>
              <w:tc>
                <w:tcPr>
                  <w:tcW w:w="1073" w:type="dxa"/>
                  <w:gridSpan w:val="2"/>
                  <w:tcBorders>
                    <w:tl2br w:val="nil"/>
                    <w:tr2bl w:val="nil"/>
                  </w:tcBorders>
                  <w:shd w:val="clear" w:color="auto" w:fill="auto"/>
                  <w:vAlign w:val="center"/>
                </w:tcPr>
                <w:p w14:paraId="7462B2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三甲硅烷基三氟甲磺酸酯</w:t>
                  </w:r>
                </w:p>
              </w:tc>
              <w:tc>
                <w:tcPr>
                  <w:tcW w:w="660" w:type="dxa"/>
                  <w:tcBorders>
                    <w:tl2br w:val="nil"/>
                    <w:tr2bl w:val="nil"/>
                  </w:tcBorders>
                  <w:shd w:val="clear" w:color="auto" w:fill="auto"/>
                  <w:vAlign w:val="center"/>
                </w:tcPr>
                <w:p w14:paraId="79E04EC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3653B15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19BFD10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825" w:type="dxa"/>
                  <w:tcBorders>
                    <w:tl2br w:val="nil"/>
                    <w:tr2bl w:val="nil"/>
                  </w:tcBorders>
                  <w:shd w:val="clear" w:color="auto" w:fill="auto"/>
                  <w:noWrap/>
                  <w:vAlign w:val="center"/>
                </w:tcPr>
                <w:p w14:paraId="3BBE6DD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w:t>
                  </w:r>
                </w:p>
              </w:tc>
              <w:tc>
                <w:tcPr>
                  <w:tcW w:w="1110" w:type="dxa"/>
                  <w:tcBorders>
                    <w:tl2br w:val="nil"/>
                    <w:tr2bl w:val="nil"/>
                  </w:tcBorders>
                  <w:shd w:val="clear" w:color="auto" w:fill="auto"/>
                  <w:vAlign w:val="center"/>
                </w:tcPr>
                <w:p w14:paraId="19A19DE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60809BD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E9A89E7">
                  <w:pPr>
                    <w:jc w:val="center"/>
                    <w:rPr>
                      <w:rFonts w:hint="eastAsia" w:ascii="宋体" w:hAnsi="宋体" w:eastAsia="宋体" w:cs="宋体"/>
                      <w:i w:val="0"/>
                      <w:iCs w:val="0"/>
                      <w:color w:val="000000"/>
                      <w:sz w:val="22"/>
                      <w:szCs w:val="22"/>
                      <w:u w:val="none"/>
                    </w:rPr>
                  </w:pPr>
                </w:p>
              </w:tc>
            </w:tr>
            <w:tr w14:paraId="7E77D2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1091" w:hRule="atLeast"/>
              </w:trPr>
              <w:tc>
                <w:tcPr>
                  <w:tcW w:w="1073" w:type="dxa"/>
                  <w:gridSpan w:val="2"/>
                  <w:tcBorders>
                    <w:tl2br w:val="nil"/>
                    <w:tr2bl w:val="nil"/>
                  </w:tcBorders>
                  <w:shd w:val="clear" w:color="auto" w:fill="auto"/>
                  <w:vAlign w:val="center"/>
                </w:tcPr>
                <w:p w14:paraId="22C2B9E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(2S,4R)-4-</w:t>
                  </w:r>
                  <w:r>
                    <w:rPr>
                      <w:rFonts w:hint="eastAsia" w:ascii="宋体" w:hAnsi="宋体" w:eastAsia="宋体" w:cs="宋体"/>
                      <w:i w:val="0"/>
                      <w:iCs w:val="0"/>
                      <w:color w:val="000000"/>
                      <w:kern w:val="0"/>
                      <w:sz w:val="22"/>
                      <w:szCs w:val="22"/>
                      <w:u w:val="none"/>
                      <w:lang w:val="en-US" w:eastAsia="zh-CN" w:bidi="ar"/>
                    </w:rPr>
                    <w:t>羟基吡咯烷</w:t>
                  </w:r>
                  <w:r>
                    <w:rPr>
                      <w:rFonts w:hint="default" w:ascii="Times New Roman" w:hAnsi="Times New Roman" w:eastAsia="宋体" w:cs="Times New Roman"/>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羧酸</w:t>
                  </w:r>
                </w:p>
              </w:tc>
              <w:tc>
                <w:tcPr>
                  <w:tcW w:w="660" w:type="dxa"/>
                  <w:tcBorders>
                    <w:tl2br w:val="nil"/>
                    <w:tr2bl w:val="nil"/>
                  </w:tcBorders>
                  <w:shd w:val="clear" w:color="auto" w:fill="auto"/>
                  <w:vAlign w:val="center"/>
                </w:tcPr>
                <w:p w14:paraId="03984D7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4697678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23C4EC1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825" w:type="dxa"/>
                  <w:tcBorders>
                    <w:tl2br w:val="nil"/>
                    <w:tr2bl w:val="nil"/>
                  </w:tcBorders>
                  <w:shd w:val="clear" w:color="auto" w:fill="auto"/>
                  <w:noWrap/>
                  <w:vAlign w:val="center"/>
                </w:tcPr>
                <w:p w14:paraId="4ADF9B7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w:t>
                  </w:r>
                </w:p>
              </w:tc>
              <w:tc>
                <w:tcPr>
                  <w:tcW w:w="1110" w:type="dxa"/>
                  <w:tcBorders>
                    <w:tl2br w:val="nil"/>
                    <w:tr2bl w:val="nil"/>
                  </w:tcBorders>
                  <w:shd w:val="clear" w:color="auto" w:fill="auto"/>
                  <w:vAlign w:val="center"/>
                </w:tcPr>
                <w:p w14:paraId="1F1E75D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08A9C7C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E7FA34D">
                  <w:pPr>
                    <w:jc w:val="center"/>
                    <w:rPr>
                      <w:rFonts w:hint="eastAsia" w:ascii="宋体" w:hAnsi="宋体" w:eastAsia="宋体" w:cs="宋体"/>
                      <w:i w:val="0"/>
                      <w:iCs w:val="0"/>
                      <w:color w:val="000000"/>
                      <w:sz w:val="22"/>
                      <w:szCs w:val="22"/>
                      <w:u w:val="none"/>
                    </w:rPr>
                  </w:pPr>
                </w:p>
              </w:tc>
            </w:tr>
            <w:tr w14:paraId="712968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1123" w:hRule="atLeast"/>
              </w:trPr>
              <w:tc>
                <w:tcPr>
                  <w:tcW w:w="1073" w:type="dxa"/>
                  <w:gridSpan w:val="2"/>
                  <w:tcBorders>
                    <w:tl2br w:val="nil"/>
                    <w:tr2bl w:val="nil"/>
                  </w:tcBorders>
                  <w:shd w:val="clear" w:color="auto" w:fill="auto"/>
                  <w:vAlign w:val="center"/>
                </w:tcPr>
                <w:p w14:paraId="0A56D34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r>
                    <w:rPr>
                      <w:rFonts w:hint="eastAsia" w:ascii="宋体" w:hAnsi="宋体" w:eastAsia="宋体" w:cs="宋体"/>
                      <w:i w:val="0"/>
                      <w:iCs w:val="0"/>
                      <w:color w:val="000000"/>
                      <w:kern w:val="0"/>
                      <w:sz w:val="22"/>
                      <w:szCs w:val="22"/>
                      <w:u w:val="none"/>
                      <w:lang w:val="en-US" w:eastAsia="zh-CN" w:bidi="ar"/>
                    </w:rPr>
                    <w:t>溴</w:t>
                  </w:r>
                  <w:r>
                    <w:rPr>
                      <w:rFonts w:hint="default" w:ascii="Times New Roman" w:hAnsi="Times New Roman" w:eastAsia="宋体" w:cs="Times New Roman"/>
                      <w:i w:val="0"/>
                      <w:iCs w:val="0"/>
                      <w:color w:val="000000"/>
                      <w:kern w:val="0"/>
                      <w:sz w:val="22"/>
                      <w:szCs w:val="22"/>
                      <w:u w:val="none"/>
                      <w:lang w:val="en-US" w:eastAsia="zh-CN" w:bidi="ar"/>
                    </w:rPr>
                    <w:t>-2,6-</w:t>
                  </w:r>
                  <w:r>
                    <w:rPr>
                      <w:rFonts w:hint="eastAsia" w:ascii="宋体" w:hAnsi="宋体" w:eastAsia="宋体" w:cs="宋体"/>
                      <w:i w:val="0"/>
                      <w:iCs w:val="0"/>
                      <w:color w:val="000000"/>
                      <w:kern w:val="0"/>
                      <w:sz w:val="22"/>
                      <w:szCs w:val="22"/>
                      <w:u w:val="none"/>
                      <w:lang w:val="en-US" w:eastAsia="zh-CN" w:bidi="ar"/>
                    </w:rPr>
                    <w:t>二甲基苯酚</w:t>
                  </w:r>
                </w:p>
              </w:tc>
              <w:tc>
                <w:tcPr>
                  <w:tcW w:w="660" w:type="dxa"/>
                  <w:tcBorders>
                    <w:tl2br w:val="nil"/>
                    <w:tr2bl w:val="nil"/>
                  </w:tcBorders>
                  <w:shd w:val="clear" w:color="auto" w:fill="auto"/>
                  <w:vAlign w:val="center"/>
                </w:tcPr>
                <w:p w14:paraId="5556912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06337C8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7E46BB6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825" w:type="dxa"/>
                  <w:tcBorders>
                    <w:tl2br w:val="nil"/>
                    <w:tr2bl w:val="nil"/>
                  </w:tcBorders>
                  <w:shd w:val="clear" w:color="auto" w:fill="auto"/>
                  <w:noWrap/>
                  <w:vAlign w:val="center"/>
                </w:tcPr>
                <w:p w14:paraId="6BE477B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w:t>
                  </w:r>
                </w:p>
              </w:tc>
              <w:tc>
                <w:tcPr>
                  <w:tcW w:w="1110" w:type="dxa"/>
                  <w:tcBorders>
                    <w:tl2br w:val="nil"/>
                    <w:tr2bl w:val="nil"/>
                  </w:tcBorders>
                  <w:shd w:val="clear" w:color="auto" w:fill="auto"/>
                  <w:vAlign w:val="center"/>
                </w:tcPr>
                <w:p w14:paraId="336D29F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6339057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B03B11C">
                  <w:pPr>
                    <w:jc w:val="center"/>
                    <w:rPr>
                      <w:rFonts w:hint="eastAsia" w:ascii="宋体" w:hAnsi="宋体" w:eastAsia="宋体" w:cs="宋体"/>
                      <w:i w:val="0"/>
                      <w:iCs w:val="0"/>
                      <w:color w:val="000000"/>
                      <w:sz w:val="22"/>
                      <w:szCs w:val="22"/>
                      <w:u w:val="none"/>
                    </w:rPr>
                  </w:pPr>
                </w:p>
              </w:tc>
            </w:tr>
            <w:tr w14:paraId="6A8B117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701D74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棕榈酸</w:t>
                  </w:r>
                </w:p>
              </w:tc>
              <w:tc>
                <w:tcPr>
                  <w:tcW w:w="660" w:type="dxa"/>
                  <w:tcBorders>
                    <w:tl2br w:val="nil"/>
                    <w:tr2bl w:val="nil"/>
                  </w:tcBorders>
                  <w:shd w:val="clear" w:color="auto" w:fill="auto"/>
                  <w:vAlign w:val="center"/>
                </w:tcPr>
                <w:p w14:paraId="335E98C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4717030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50B4427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0C9E746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vAlign w:val="center"/>
                </w:tcPr>
                <w:p w14:paraId="226159D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vAlign w:val="center"/>
                </w:tcPr>
                <w:p w14:paraId="6833C75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130E61E">
                  <w:pPr>
                    <w:jc w:val="center"/>
                    <w:rPr>
                      <w:rFonts w:hint="eastAsia" w:ascii="宋体" w:hAnsi="宋体" w:eastAsia="宋体" w:cs="宋体"/>
                      <w:i w:val="0"/>
                      <w:iCs w:val="0"/>
                      <w:color w:val="000000"/>
                      <w:sz w:val="22"/>
                      <w:szCs w:val="22"/>
                      <w:u w:val="none"/>
                    </w:rPr>
                  </w:pPr>
                </w:p>
              </w:tc>
            </w:tr>
            <w:tr w14:paraId="7581BE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84" w:hRule="atLeast"/>
              </w:trPr>
              <w:tc>
                <w:tcPr>
                  <w:tcW w:w="1073" w:type="dxa"/>
                  <w:gridSpan w:val="2"/>
                  <w:tcBorders>
                    <w:tl2br w:val="nil"/>
                    <w:tr2bl w:val="nil"/>
                  </w:tcBorders>
                  <w:shd w:val="clear" w:color="auto" w:fill="auto"/>
                  <w:vAlign w:val="center"/>
                </w:tcPr>
                <w:p w14:paraId="00B1849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(R)-(+)-1-(1-</w:t>
                  </w:r>
                  <w:r>
                    <w:rPr>
                      <w:rFonts w:hint="eastAsia" w:ascii="宋体" w:hAnsi="宋体" w:eastAsia="宋体" w:cs="宋体"/>
                      <w:i w:val="0"/>
                      <w:iCs w:val="0"/>
                      <w:color w:val="000000"/>
                      <w:kern w:val="0"/>
                      <w:sz w:val="22"/>
                      <w:szCs w:val="22"/>
                      <w:u w:val="none"/>
                      <w:lang w:val="en-US" w:eastAsia="zh-CN" w:bidi="ar"/>
                    </w:rPr>
                    <w:t>萘基</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乙胺</w:t>
                  </w:r>
                </w:p>
              </w:tc>
              <w:tc>
                <w:tcPr>
                  <w:tcW w:w="660" w:type="dxa"/>
                  <w:tcBorders>
                    <w:tl2br w:val="nil"/>
                    <w:tr2bl w:val="nil"/>
                  </w:tcBorders>
                  <w:shd w:val="clear" w:color="auto" w:fill="auto"/>
                  <w:vAlign w:val="center"/>
                </w:tcPr>
                <w:p w14:paraId="6980C01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vAlign w:val="center"/>
                </w:tcPr>
                <w:p w14:paraId="6414E76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vAlign w:val="center"/>
                </w:tcPr>
                <w:p w14:paraId="134820D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825" w:type="dxa"/>
                  <w:tcBorders>
                    <w:tl2br w:val="nil"/>
                    <w:tr2bl w:val="nil"/>
                  </w:tcBorders>
                  <w:shd w:val="clear" w:color="auto" w:fill="auto"/>
                  <w:noWrap/>
                  <w:vAlign w:val="center"/>
                </w:tcPr>
                <w:p w14:paraId="7A33588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w:t>
                  </w:r>
                </w:p>
              </w:tc>
              <w:tc>
                <w:tcPr>
                  <w:tcW w:w="1110" w:type="dxa"/>
                  <w:tcBorders>
                    <w:tl2br w:val="nil"/>
                    <w:tr2bl w:val="nil"/>
                  </w:tcBorders>
                  <w:shd w:val="clear" w:color="auto" w:fill="auto"/>
                  <w:vAlign w:val="center"/>
                </w:tcPr>
                <w:p w14:paraId="65E3EE1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vAlign w:val="center"/>
                </w:tcPr>
                <w:p w14:paraId="3678692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243966D">
                  <w:pPr>
                    <w:jc w:val="center"/>
                    <w:rPr>
                      <w:rFonts w:hint="eastAsia" w:ascii="宋体" w:hAnsi="宋体" w:eastAsia="宋体" w:cs="宋体"/>
                      <w:i w:val="0"/>
                      <w:iCs w:val="0"/>
                      <w:color w:val="000000"/>
                      <w:sz w:val="22"/>
                      <w:szCs w:val="22"/>
                      <w:u w:val="none"/>
                    </w:rPr>
                  </w:pPr>
                </w:p>
              </w:tc>
            </w:tr>
            <w:tr w14:paraId="39A399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58B79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乙醇</w:t>
                  </w:r>
                </w:p>
              </w:tc>
              <w:tc>
                <w:tcPr>
                  <w:tcW w:w="660" w:type="dxa"/>
                  <w:tcBorders>
                    <w:tl2br w:val="nil"/>
                    <w:tr2bl w:val="nil"/>
                  </w:tcBorders>
                  <w:shd w:val="clear" w:color="auto" w:fill="auto"/>
                  <w:noWrap/>
                  <w:vAlign w:val="center"/>
                </w:tcPr>
                <w:p w14:paraId="7D063EF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6D96A3D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1035" w:type="dxa"/>
                  <w:tcBorders>
                    <w:tl2br w:val="nil"/>
                    <w:tr2bl w:val="nil"/>
                  </w:tcBorders>
                  <w:shd w:val="clear" w:color="auto" w:fill="auto"/>
                  <w:noWrap/>
                  <w:vAlign w:val="center"/>
                </w:tcPr>
                <w:p w14:paraId="05696D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1200</w:t>
                  </w:r>
                </w:p>
              </w:tc>
              <w:tc>
                <w:tcPr>
                  <w:tcW w:w="825" w:type="dxa"/>
                  <w:tcBorders>
                    <w:tl2br w:val="nil"/>
                    <w:tr2bl w:val="nil"/>
                  </w:tcBorders>
                  <w:shd w:val="clear" w:color="auto" w:fill="auto"/>
                  <w:noWrap/>
                  <w:vAlign w:val="center"/>
                </w:tcPr>
                <w:p w14:paraId="14BCC79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900</w:t>
                  </w:r>
                </w:p>
              </w:tc>
              <w:tc>
                <w:tcPr>
                  <w:tcW w:w="1110" w:type="dxa"/>
                  <w:tcBorders>
                    <w:tl2br w:val="nil"/>
                    <w:tr2bl w:val="nil"/>
                  </w:tcBorders>
                  <w:shd w:val="clear" w:color="auto" w:fill="auto"/>
                  <w:noWrap/>
                  <w:vAlign w:val="center"/>
                </w:tcPr>
                <w:p w14:paraId="6335F14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140" w:type="dxa"/>
                  <w:tcBorders>
                    <w:tl2br w:val="nil"/>
                    <w:tr2bl w:val="nil"/>
                  </w:tcBorders>
                  <w:shd w:val="clear" w:color="auto" w:fill="auto"/>
                  <w:noWrap/>
                  <w:vAlign w:val="center"/>
                </w:tcPr>
                <w:p w14:paraId="435112C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25kg/</w:t>
                  </w:r>
                  <w:r>
                    <w:rPr>
                      <w:rFonts w:hint="eastAsia" w:ascii="宋体" w:hAnsi="宋体" w:eastAsia="宋体" w:cs="宋体"/>
                      <w:i w:val="0"/>
                      <w:iCs w:val="0"/>
                      <w:color w:val="000000"/>
                      <w:kern w:val="0"/>
                      <w:sz w:val="22"/>
                      <w:szCs w:val="22"/>
                      <w:u w:val="none"/>
                      <w:lang w:val="en-US" w:eastAsia="zh-CN" w:bidi="ar"/>
                    </w:rPr>
                    <w:t>桶</w:t>
                  </w:r>
                </w:p>
              </w:tc>
              <w:tc>
                <w:tcPr>
                  <w:tcW w:w="1210" w:type="dxa"/>
                  <w:vMerge w:val="restart"/>
                  <w:tcBorders>
                    <w:tl2br w:val="nil"/>
                    <w:tr2bl w:val="nil"/>
                  </w:tcBorders>
                  <w:shd w:val="clear" w:color="auto" w:fill="auto"/>
                  <w:vAlign w:val="center"/>
                </w:tcPr>
                <w:p w14:paraId="096E3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辅助材料，溶剂辅助化学合成，不参与反应，存储于试剂间</w:t>
                  </w:r>
                </w:p>
              </w:tc>
            </w:tr>
            <w:tr w14:paraId="6EEB8A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750B9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石油醚</w:t>
                  </w:r>
                </w:p>
              </w:tc>
              <w:tc>
                <w:tcPr>
                  <w:tcW w:w="660" w:type="dxa"/>
                  <w:tcBorders>
                    <w:tl2br w:val="nil"/>
                    <w:tr2bl w:val="nil"/>
                  </w:tcBorders>
                  <w:shd w:val="clear" w:color="auto" w:fill="auto"/>
                  <w:noWrap/>
                  <w:vAlign w:val="center"/>
                </w:tcPr>
                <w:p w14:paraId="42D739F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77B1E43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0F14F2E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1200</w:t>
                  </w:r>
                </w:p>
              </w:tc>
              <w:tc>
                <w:tcPr>
                  <w:tcW w:w="825" w:type="dxa"/>
                  <w:tcBorders>
                    <w:tl2br w:val="nil"/>
                    <w:tr2bl w:val="nil"/>
                  </w:tcBorders>
                  <w:shd w:val="clear" w:color="auto" w:fill="auto"/>
                  <w:noWrap/>
                  <w:vAlign w:val="center"/>
                </w:tcPr>
                <w:p w14:paraId="7031880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1200</w:t>
                  </w:r>
                </w:p>
              </w:tc>
              <w:tc>
                <w:tcPr>
                  <w:tcW w:w="1110" w:type="dxa"/>
                  <w:tcBorders>
                    <w:tl2br w:val="nil"/>
                    <w:tr2bl w:val="nil"/>
                  </w:tcBorders>
                  <w:shd w:val="clear" w:color="auto" w:fill="auto"/>
                  <w:noWrap/>
                  <w:vAlign w:val="center"/>
                </w:tcPr>
                <w:p w14:paraId="6AD3D39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140" w:type="dxa"/>
                  <w:tcBorders>
                    <w:tl2br w:val="nil"/>
                    <w:tr2bl w:val="nil"/>
                  </w:tcBorders>
                  <w:shd w:val="clear" w:color="auto" w:fill="auto"/>
                  <w:noWrap/>
                  <w:vAlign w:val="center"/>
                </w:tcPr>
                <w:p w14:paraId="7BEBFC2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25kg/</w:t>
                  </w:r>
                  <w:r>
                    <w:rPr>
                      <w:rFonts w:hint="eastAsia" w:ascii="宋体" w:hAnsi="宋体" w:eastAsia="宋体" w:cs="宋体"/>
                      <w:i w:val="0"/>
                      <w:iCs w:val="0"/>
                      <w:color w:val="000000"/>
                      <w:kern w:val="0"/>
                      <w:sz w:val="22"/>
                      <w:szCs w:val="22"/>
                      <w:u w:val="none"/>
                      <w:lang w:val="en-US" w:eastAsia="zh-CN" w:bidi="ar"/>
                    </w:rPr>
                    <w:t>桶</w:t>
                  </w:r>
                </w:p>
              </w:tc>
              <w:tc>
                <w:tcPr>
                  <w:tcW w:w="1210" w:type="dxa"/>
                  <w:vMerge w:val="continue"/>
                  <w:tcBorders>
                    <w:tl2br w:val="nil"/>
                    <w:tr2bl w:val="nil"/>
                  </w:tcBorders>
                  <w:shd w:val="clear" w:color="auto" w:fill="auto"/>
                  <w:vAlign w:val="center"/>
                </w:tcPr>
                <w:p w14:paraId="031D87A5">
                  <w:pPr>
                    <w:jc w:val="center"/>
                    <w:rPr>
                      <w:rFonts w:hint="eastAsia" w:ascii="宋体" w:hAnsi="宋体" w:eastAsia="宋体" w:cs="宋体"/>
                      <w:i w:val="0"/>
                      <w:iCs w:val="0"/>
                      <w:color w:val="000000"/>
                      <w:sz w:val="22"/>
                      <w:szCs w:val="22"/>
                      <w:u w:val="none"/>
                    </w:rPr>
                  </w:pPr>
                </w:p>
              </w:tc>
            </w:tr>
            <w:tr w14:paraId="730F7E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1267C8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正己烷</w:t>
                  </w:r>
                </w:p>
              </w:tc>
              <w:tc>
                <w:tcPr>
                  <w:tcW w:w="660" w:type="dxa"/>
                  <w:tcBorders>
                    <w:tl2br w:val="nil"/>
                    <w:tr2bl w:val="nil"/>
                  </w:tcBorders>
                  <w:shd w:val="clear" w:color="auto" w:fill="auto"/>
                  <w:noWrap/>
                  <w:vAlign w:val="center"/>
                </w:tcPr>
                <w:p w14:paraId="67BE099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7AD755E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D30921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1200</w:t>
                  </w:r>
                </w:p>
              </w:tc>
              <w:tc>
                <w:tcPr>
                  <w:tcW w:w="825" w:type="dxa"/>
                  <w:tcBorders>
                    <w:tl2br w:val="nil"/>
                    <w:tr2bl w:val="nil"/>
                  </w:tcBorders>
                  <w:shd w:val="clear" w:color="auto" w:fill="auto"/>
                  <w:noWrap/>
                  <w:vAlign w:val="center"/>
                </w:tcPr>
                <w:p w14:paraId="5FCBEBC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1200</w:t>
                  </w:r>
                </w:p>
              </w:tc>
              <w:tc>
                <w:tcPr>
                  <w:tcW w:w="1110" w:type="dxa"/>
                  <w:tcBorders>
                    <w:tl2br w:val="nil"/>
                    <w:tr2bl w:val="nil"/>
                  </w:tcBorders>
                  <w:shd w:val="clear" w:color="auto" w:fill="auto"/>
                  <w:noWrap/>
                  <w:vAlign w:val="center"/>
                </w:tcPr>
                <w:p w14:paraId="171D379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140" w:type="dxa"/>
                  <w:tcBorders>
                    <w:tl2br w:val="nil"/>
                    <w:tr2bl w:val="nil"/>
                  </w:tcBorders>
                  <w:shd w:val="clear" w:color="auto" w:fill="auto"/>
                  <w:noWrap/>
                  <w:vAlign w:val="center"/>
                </w:tcPr>
                <w:p w14:paraId="74ADF6D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25kg/</w:t>
                  </w:r>
                  <w:r>
                    <w:rPr>
                      <w:rFonts w:hint="eastAsia" w:ascii="宋体" w:hAnsi="宋体" w:eastAsia="宋体" w:cs="宋体"/>
                      <w:i w:val="0"/>
                      <w:iCs w:val="0"/>
                      <w:color w:val="000000"/>
                      <w:kern w:val="0"/>
                      <w:sz w:val="22"/>
                      <w:szCs w:val="22"/>
                      <w:u w:val="none"/>
                      <w:lang w:val="en-US" w:eastAsia="zh-CN" w:bidi="ar"/>
                    </w:rPr>
                    <w:t>桶</w:t>
                  </w:r>
                </w:p>
              </w:tc>
              <w:tc>
                <w:tcPr>
                  <w:tcW w:w="1210" w:type="dxa"/>
                  <w:vMerge w:val="continue"/>
                  <w:tcBorders>
                    <w:tl2br w:val="nil"/>
                    <w:tr2bl w:val="nil"/>
                  </w:tcBorders>
                  <w:shd w:val="clear" w:color="auto" w:fill="auto"/>
                  <w:vAlign w:val="center"/>
                </w:tcPr>
                <w:p w14:paraId="0A84692E">
                  <w:pPr>
                    <w:jc w:val="center"/>
                    <w:rPr>
                      <w:rFonts w:hint="eastAsia" w:ascii="宋体" w:hAnsi="宋体" w:eastAsia="宋体" w:cs="宋体"/>
                      <w:i w:val="0"/>
                      <w:iCs w:val="0"/>
                      <w:color w:val="000000"/>
                      <w:sz w:val="22"/>
                      <w:szCs w:val="22"/>
                      <w:u w:val="none"/>
                    </w:rPr>
                  </w:pPr>
                </w:p>
              </w:tc>
            </w:tr>
            <w:tr w14:paraId="2EB6CE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9E25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乙酸乙酯</w:t>
                  </w:r>
                </w:p>
              </w:tc>
              <w:tc>
                <w:tcPr>
                  <w:tcW w:w="660" w:type="dxa"/>
                  <w:tcBorders>
                    <w:tl2br w:val="nil"/>
                    <w:tr2bl w:val="nil"/>
                  </w:tcBorders>
                  <w:shd w:val="clear" w:color="auto" w:fill="auto"/>
                  <w:noWrap/>
                  <w:vAlign w:val="center"/>
                </w:tcPr>
                <w:p w14:paraId="5B3CDBB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23007C2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4C2614E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1200</w:t>
                  </w:r>
                </w:p>
              </w:tc>
              <w:tc>
                <w:tcPr>
                  <w:tcW w:w="825" w:type="dxa"/>
                  <w:tcBorders>
                    <w:tl2br w:val="nil"/>
                    <w:tr2bl w:val="nil"/>
                  </w:tcBorders>
                  <w:shd w:val="clear" w:color="auto" w:fill="auto"/>
                  <w:noWrap/>
                  <w:vAlign w:val="center"/>
                </w:tcPr>
                <w:p w14:paraId="2B5FADF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1200</w:t>
                  </w:r>
                </w:p>
              </w:tc>
              <w:tc>
                <w:tcPr>
                  <w:tcW w:w="1110" w:type="dxa"/>
                  <w:tcBorders>
                    <w:tl2br w:val="nil"/>
                    <w:tr2bl w:val="nil"/>
                  </w:tcBorders>
                  <w:shd w:val="clear" w:color="auto" w:fill="auto"/>
                  <w:noWrap/>
                  <w:vAlign w:val="center"/>
                </w:tcPr>
                <w:p w14:paraId="69ED88D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140" w:type="dxa"/>
                  <w:tcBorders>
                    <w:tl2br w:val="nil"/>
                    <w:tr2bl w:val="nil"/>
                  </w:tcBorders>
                  <w:shd w:val="clear" w:color="auto" w:fill="auto"/>
                  <w:noWrap/>
                  <w:vAlign w:val="center"/>
                </w:tcPr>
                <w:p w14:paraId="1D2F1F0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25kg/</w:t>
                  </w:r>
                  <w:r>
                    <w:rPr>
                      <w:rFonts w:hint="eastAsia" w:ascii="宋体" w:hAnsi="宋体" w:eastAsia="宋体" w:cs="宋体"/>
                      <w:i w:val="0"/>
                      <w:iCs w:val="0"/>
                      <w:color w:val="000000"/>
                      <w:kern w:val="0"/>
                      <w:sz w:val="22"/>
                      <w:szCs w:val="22"/>
                      <w:u w:val="none"/>
                      <w:lang w:val="en-US" w:eastAsia="zh-CN" w:bidi="ar"/>
                    </w:rPr>
                    <w:t>桶</w:t>
                  </w:r>
                </w:p>
              </w:tc>
              <w:tc>
                <w:tcPr>
                  <w:tcW w:w="1210" w:type="dxa"/>
                  <w:vMerge w:val="continue"/>
                  <w:tcBorders>
                    <w:tl2br w:val="nil"/>
                    <w:tr2bl w:val="nil"/>
                  </w:tcBorders>
                  <w:shd w:val="clear" w:color="auto" w:fill="auto"/>
                  <w:vAlign w:val="center"/>
                </w:tcPr>
                <w:p w14:paraId="1CF25AB0">
                  <w:pPr>
                    <w:jc w:val="center"/>
                    <w:rPr>
                      <w:rFonts w:hint="eastAsia" w:ascii="宋体" w:hAnsi="宋体" w:eastAsia="宋体" w:cs="宋体"/>
                      <w:i w:val="0"/>
                      <w:iCs w:val="0"/>
                      <w:color w:val="000000"/>
                      <w:sz w:val="22"/>
                      <w:szCs w:val="22"/>
                      <w:u w:val="none"/>
                    </w:rPr>
                  </w:pPr>
                </w:p>
              </w:tc>
            </w:tr>
            <w:tr w14:paraId="65D05B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206FF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二氯甲烷</w:t>
                  </w:r>
                </w:p>
              </w:tc>
              <w:tc>
                <w:tcPr>
                  <w:tcW w:w="660" w:type="dxa"/>
                  <w:tcBorders>
                    <w:tl2br w:val="nil"/>
                    <w:tr2bl w:val="nil"/>
                  </w:tcBorders>
                  <w:shd w:val="clear" w:color="auto" w:fill="auto"/>
                  <w:noWrap/>
                  <w:vAlign w:val="center"/>
                </w:tcPr>
                <w:p w14:paraId="2EAA9D9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49B9429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1B4560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1200</w:t>
                  </w:r>
                </w:p>
              </w:tc>
              <w:tc>
                <w:tcPr>
                  <w:tcW w:w="825" w:type="dxa"/>
                  <w:tcBorders>
                    <w:tl2br w:val="nil"/>
                    <w:tr2bl w:val="nil"/>
                  </w:tcBorders>
                  <w:shd w:val="clear" w:color="auto" w:fill="auto"/>
                  <w:noWrap/>
                  <w:vAlign w:val="center"/>
                </w:tcPr>
                <w:p w14:paraId="5AA7E74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1200</w:t>
                  </w:r>
                </w:p>
              </w:tc>
              <w:tc>
                <w:tcPr>
                  <w:tcW w:w="1110" w:type="dxa"/>
                  <w:tcBorders>
                    <w:tl2br w:val="nil"/>
                    <w:tr2bl w:val="nil"/>
                  </w:tcBorders>
                  <w:shd w:val="clear" w:color="auto" w:fill="auto"/>
                  <w:noWrap/>
                  <w:vAlign w:val="center"/>
                </w:tcPr>
                <w:p w14:paraId="5C318DF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1140" w:type="dxa"/>
                  <w:tcBorders>
                    <w:tl2br w:val="nil"/>
                    <w:tr2bl w:val="nil"/>
                  </w:tcBorders>
                  <w:shd w:val="clear" w:color="auto" w:fill="auto"/>
                  <w:noWrap/>
                  <w:vAlign w:val="center"/>
                </w:tcPr>
                <w:p w14:paraId="1B5ED06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25kg/</w:t>
                  </w:r>
                  <w:r>
                    <w:rPr>
                      <w:rFonts w:hint="eastAsia" w:ascii="宋体" w:hAnsi="宋体" w:eastAsia="宋体" w:cs="宋体"/>
                      <w:i w:val="0"/>
                      <w:iCs w:val="0"/>
                      <w:color w:val="000000"/>
                      <w:kern w:val="0"/>
                      <w:sz w:val="22"/>
                      <w:szCs w:val="22"/>
                      <w:u w:val="none"/>
                      <w:lang w:val="en-US" w:eastAsia="zh-CN" w:bidi="ar"/>
                    </w:rPr>
                    <w:t>桶</w:t>
                  </w:r>
                </w:p>
              </w:tc>
              <w:tc>
                <w:tcPr>
                  <w:tcW w:w="1210" w:type="dxa"/>
                  <w:vMerge w:val="continue"/>
                  <w:tcBorders>
                    <w:tl2br w:val="nil"/>
                    <w:tr2bl w:val="nil"/>
                  </w:tcBorders>
                  <w:shd w:val="clear" w:color="auto" w:fill="auto"/>
                  <w:vAlign w:val="center"/>
                </w:tcPr>
                <w:p w14:paraId="051110B5">
                  <w:pPr>
                    <w:jc w:val="center"/>
                    <w:rPr>
                      <w:rFonts w:hint="eastAsia" w:ascii="宋体" w:hAnsi="宋体" w:eastAsia="宋体" w:cs="宋体"/>
                      <w:i w:val="0"/>
                      <w:iCs w:val="0"/>
                      <w:color w:val="000000"/>
                      <w:sz w:val="22"/>
                      <w:szCs w:val="22"/>
                      <w:u w:val="none"/>
                    </w:rPr>
                  </w:pPr>
                </w:p>
              </w:tc>
            </w:tr>
            <w:tr w14:paraId="7E87A7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F2A99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四氢呋喃</w:t>
                  </w:r>
                </w:p>
              </w:tc>
              <w:tc>
                <w:tcPr>
                  <w:tcW w:w="660" w:type="dxa"/>
                  <w:tcBorders>
                    <w:tl2br w:val="nil"/>
                    <w:tr2bl w:val="nil"/>
                  </w:tcBorders>
                  <w:shd w:val="clear" w:color="auto" w:fill="auto"/>
                  <w:noWrap/>
                  <w:vAlign w:val="center"/>
                </w:tcPr>
                <w:p w14:paraId="660FCCB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73EB58D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035" w:type="dxa"/>
                  <w:tcBorders>
                    <w:tl2br w:val="nil"/>
                    <w:tr2bl w:val="nil"/>
                  </w:tcBorders>
                  <w:shd w:val="clear" w:color="auto" w:fill="auto"/>
                  <w:noWrap/>
                  <w:vAlign w:val="center"/>
                </w:tcPr>
                <w:p w14:paraId="28665B9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400</w:t>
                  </w:r>
                </w:p>
              </w:tc>
              <w:tc>
                <w:tcPr>
                  <w:tcW w:w="825" w:type="dxa"/>
                  <w:tcBorders>
                    <w:tl2br w:val="nil"/>
                    <w:tr2bl w:val="nil"/>
                  </w:tcBorders>
                  <w:shd w:val="clear" w:color="auto" w:fill="auto"/>
                  <w:noWrap/>
                  <w:vAlign w:val="center"/>
                </w:tcPr>
                <w:p w14:paraId="4D30FA3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370</w:t>
                  </w:r>
                </w:p>
              </w:tc>
              <w:tc>
                <w:tcPr>
                  <w:tcW w:w="1110" w:type="dxa"/>
                  <w:tcBorders>
                    <w:tl2br w:val="nil"/>
                    <w:tr2bl w:val="nil"/>
                  </w:tcBorders>
                  <w:shd w:val="clear" w:color="auto" w:fill="auto"/>
                  <w:noWrap/>
                  <w:vAlign w:val="center"/>
                </w:tcPr>
                <w:p w14:paraId="31CF7F5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40" w:type="dxa"/>
                  <w:tcBorders>
                    <w:tl2br w:val="nil"/>
                    <w:tr2bl w:val="nil"/>
                  </w:tcBorders>
                  <w:shd w:val="clear" w:color="auto" w:fill="auto"/>
                  <w:noWrap/>
                  <w:vAlign w:val="center"/>
                </w:tcPr>
                <w:p w14:paraId="5EAFAD7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3106D9FC">
                  <w:pPr>
                    <w:jc w:val="center"/>
                    <w:rPr>
                      <w:rFonts w:hint="eastAsia" w:ascii="宋体" w:hAnsi="宋体" w:eastAsia="宋体" w:cs="宋体"/>
                      <w:i w:val="0"/>
                      <w:iCs w:val="0"/>
                      <w:color w:val="000000"/>
                      <w:sz w:val="22"/>
                      <w:szCs w:val="22"/>
                      <w:u w:val="none"/>
                    </w:rPr>
                  </w:pPr>
                </w:p>
              </w:tc>
            </w:tr>
            <w:tr w14:paraId="126819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560C80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乙二醇二甲醚</w:t>
                  </w:r>
                </w:p>
              </w:tc>
              <w:tc>
                <w:tcPr>
                  <w:tcW w:w="660" w:type="dxa"/>
                  <w:tcBorders>
                    <w:tl2br w:val="nil"/>
                    <w:tr2bl w:val="nil"/>
                  </w:tcBorders>
                  <w:shd w:val="clear" w:color="auto" w:fill="auto"/>
                  <w:noWrap/>
                  <w:vAlign w:val="center"/>
                </w:tcPr>
                <w:p w14:paraId="73DACD0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w:t>
                  </w:r>
                </w:p>
              </w:tc>
              <w:tc>
                <w:tcPr>
                  <w:tcW w:w="840" w:type="dxa"/>
                  <w:tcBorders>
                    <w:tl2br w:val="nil"/>
                    <w:tr2bl w:val="nil"/>
                  </w:tcBorders>
                  <w:shd w:val="clear" w:color="auto" w:fill="auto"/>
                  <w:noWrap/>
                  <w:vAlign w:val="center"/>
                </w:tcPr>
                <w:p w14:paraId="57C141D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924627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6A08E83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w:t>
                  </w:r>
                </w:p>
              </w:tc>
              <w:tc>
                <w:tcPr>
                  <w:tcW w:w="1110" w:type="dxa"/>
                  <w:tcBorders>
                    <w:tl2br w:val="nil"/>
                    <w:tr2bl w:val="nil"/>
                  </w:tcBorders>
                  <w:shd w:val="clear" w:color="auto" w:fill="auto"/>
                  <w:noWrap/>
                  <w:vAlign w:val="center"/>
                </w:tcPr>
                <w:p w14:paraId="0B9AA8F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5AD722F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restart"/>
                  <w:tcBorders>
                    <w:tl2br w:val="nil"/>
                    <w:tr2bl w:val="nil"/>
                  </w:tcBorders>
                  <w:shd w:val="clear" w:color="auto" w:fill="auto"/>
                  <w:vAlign w:val="center"/>
                </w:tcPr>
                <w:p w14:paraId="6FA29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辅助材料，过滤介质，不参与反应，存储于试剂间</w:t>
                  </w:r>
                </w:p>
              </w:tc>
            </w:tr>
            <w:tr w14:paraId="2D48A1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083793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无水硫酸钠</w:t>
                  </w:r>
                </w:p>
              </w:tc>
              <w:tc>
                <w:tcPr>
                  <w:tcW w:w="660" w:type="dxa"/>
                  <w:tcBorders>
                    <w:tl2br w:val="nil"/>
                    <w:tr2bl w:val="nil"/>
                  </w:tcBorders>
                  <w:shd w:val="clear" w:color="auto" w:fill="auto"/>
                  <w:noWrap/>
                  <w:vAlign w:val="center"/>
                </w:tcPr>
                <w:p w14:paraId="386CEAB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2963580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588171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825" w:type="dxa"/>
                  <w:tcBorders>
                    <w:tl2br w:val="nil"/>
                    <w:tr2bl w:val="nil"/>
                  </w:tcBorders>
                  <w:shd w:val="clear" w:color="auto" w:fill="auto"/>
                  <w:noWrap/>
                  <w:vAlign w:val="center"/>
                </w:tcPr>
                <w:p w14:paraId="47055A7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300</w:t>
                  </w:r>
                </w:p>
              </w:tc>
              <w:tc>
                <w:tcPr>
                  <w:tcW w:w="1110" w:type="dxa"/>
                  <w:tcBorders>
                    <w:tl2br w:val="nil"/>
                    <w:tr2bl w:val="nil"/>
                  </w:tcBorders>
                  <w:shd w:val="clear" w:color="auto" w:fill="auto"/>
                  <w:noWrap/>
                  <w:vAlign w:val="center"/>
                </w:tcPr>
                <w:p w14:paraId="406E577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140" w:type="dxa"/>
                  <w:tcBorders>
                    <w:tl2br w:val="nil"/>
                    <w:tr2bl w:val="nil"/>
                  </w:tcBorders>
                  <w:shd w:val="clear" w:color="auto" w:fill="auto"/>
                  <w:noWrap/>
                  <w:vAlign w:val="center"/>
                </w:tcPr>
                <w:p w14:paraId="0CCFBDD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691C9A86">
                  <w:pPr>
                    <w:jc w:val="center"/>
                    <w:rPr>
                      <w:rFonts w:hint="eastAsia" w:ascii="宋体" w:hAnsi="宋体" w:eastAsia="宋体" w:cs="宋体"/>
                      <w:i w:val="0"/>
                      <w:iCs w:val="0"/>
                      <w:color w:val="000000"/>
                      <w:sz w:val="22"/>
                      <w:szCs w:val="22"/>
                      <w:u w:val="none"/>
                    </w:rPr>
                  </w:pPr>
                </w:p>
              </w:tc>
            </w:tr>
            <w:tr w14:paraId="1FD9FD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23FA2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硅胶</w:t>
                  </w:r>
                </w:p>
              </w:tc>
              <w:tc>
                <w:tcPr>
                  <w:tcW w:w="660" w:type="dxa"/>
                  <w:tcBorders>
                    <w:tl2br w:val="nil"/>
                    <w:tr2bl w:val="nil"/>
                  </w:tcBorders>
                  <w:shd w:val="clear" w:color="auto" w:fill="auto"/>
                  <w:noWrap/>
                  <w:vAlign w:val="center"/>
                </w:tcPr>
                <w:p w14:paraId="78D5E2B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139AAC6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48D27E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825" w:type="dxa"/>
                  <w:tcBorders>
                    <w:tl2br w:val="nil"/>
                    <w:tr2bl w:val="nil"/>
                  </w:tcBorders>
                  <w:shd w:val="clear" w:color="auto" w:fill="auto"/>
                  <w:noWrap/>
                  <w:vAlign w:val="center"/>
                </w:tcPr>
                <w:p w14:paraId="2D9B766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300</w:t>
                  </w:r>
                </w:p>
              </w:tc>
              <w:tc>
                <w:tcPr>
                  <w:tcW w:w="1110" w:type="dxa"/>
                  <w:tcBorders>
                    <w:tl2br w:val="nil"/>
                    <w:tr2bl w:val="nil"/>
                  </w:tcBorders>
                  <w:shd w:val="clear" w:color="auto" w:fill="auto"/>
                  <w:noWrap/>
                  <w:vAlign w:val="center"/>
                </w:tcPr>
                <w:p w14:paraId="08A34B5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140" w:type="dxa"/>
                  <w:tcBorders>
                    <w:tl2br w:val="nil"/>
                    <w:tr2bl w:val="nil"/>
                  </w:tcBorders>
                  <w:shd w:val="clear" w:color="auto" w:fill="auto"/>
                  <w:noWrap/>
                  <w:vAlign w:val="center"/>
                </w:tcPr>
                <w:p w14:paraId="69A4A8B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519B25B">
                  <w:pPr>
                    <w:jc w:val="center"/>
                    <w:rPr>
                      <w:rFonts w:hint="eastAsia" w:ascii="宋体" w:hAnsi="宋体" w:eastAsia="宋体" w:cs="宋体"/>
                      <w:i w:val="0"/>
                      <w:iCs w:val="0"/>
                      <w:color w:val="000000"/>
                      <w:sz w:val="22"/>
                      <w:szCs w:val="22"/>
                      <w:u w:val="none"/>
                    </w:rPr>
                  </w:pPr>
                </w:p>
              </w:tc>
            </w:tr>
            <w:tr w14:paraId="6F3FCF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37" w:hRule="atLeast"/>
              </w:trPr>
              <w:tc>
                <w:tcPr>
                  <w:tcW w:w="1073" w:type="dxa"/>
                  <w:gridSpan w:val="2"/>
                  <w:tcBorders>
                    <w:tl2br w:val="nil"/>
                    <w:tr2bl w:val="nil"/>
                  </w:tcBorders>
                  <w:shd w:val="clear" w:color="auto" w:fill="auto"/>
                  <w:vAlign w:val="center"/>
                </w:tcPr>
                <w:p w14:paraId="2CEFE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硅藻土</w:t>
                  </w:r>
                </w:p>
              </w:tc>
              <w:tc>
                <w:tcPr>
                  <w:tcW w:w="660" w:type="dxa"/>
                  <w:tcBorders>
                    <w:tl2br w:val="nil"/>
                    <w:tr2bl w:val="nil"/>
                  </w:tcBorders>
                  <w:shd w:val="clear" w:color="auto" w:fill="auto"/>
                  <w:noWrap/>
                  <w:vAlign w:val="center"/>
                </w:tcPr>
                <w:p w14:paraId="0666F93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38EE617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18DEECC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825" w:type="dxa"/>
                  <w:tcBorders>
                    <w:tl2br w:val="nil"/>
                    <w:tr2bl w:val="nil"/>
                  </w:tcBorders>
                  <w:shd w:val="clear" w:color="auto" w:fill="auto"/>
                  <w:noWrap/>
                  <w:vAlign w:val="center"/>
                </w:tcPr>
                <w:p w14:paraId="3ADFA6A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200</w:t>
                  </w:r>
                </w:p>
              </w:tc>
              <w:tc>
                <w:tcPr>
                  <w:tcW w:w="1110" w:type="dxa"/>
                  <w:tcBorders>
                    <w:tl2br w:val="nil"/>
                    <w:tr2bl w:val="nil"/>
                  </w:tcBorders>
                  <w:shd w:val="clear" w:color="auto" w:fill="auto"/>
                  <w:noWrap/>
                  <w:vAlign w:val="center"/>
                </w:tcPr>
                <w:p w14:paraId="64EEDBD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40" w:type="dxa"/>
                  <w:tcBorders>
                    <w:tl2br w:val="nil"/>
                    <w:tr2bl w:val="nil"/>
                  </w:tcBorders>
                  <w:shd w:val="clear" w:color="auto" w:fill="auto"/>
                  <w:noWrap/>
                  <w:vAlign w:val="center"/>
                </w:tcPr>
                <w:p w14:paraId="4E1A65A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restart"/>
                  <w:tcBorders>
                    <w:tl2br w:val="nil"/>
                    <w:tr2bl w:val="nil"/>
                  </w:tcBorders>
                  <w:shd w:val="clear" w:color="auto" w:fill="auto"/>
                  <w:vAlign w:val="center"/>
                </w:tcPr>
                <w:p w14:paraId="0E4327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辅助材料，碱类物质辅助化学合成，不参与反应，存储于试剂间</w:t>
                  </w:r>
                </w:p>
              </w:tc>
            </w:tr>
            <w:tr w14:paraId="68D35F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80C1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氢氧化钠</w:t>
                  </w:r>
                </w:p>
              </w:tc>
              <w:tc>
                <w:tcPr>
                  <w:tcW w:w="660" w:type="dxa"/>
                  <w:tcBorders>
                    <w:tl2br w:val="nil"/>
                    <w:tr2bl w:val="nil"/>
                  </w:tcBorders>
                  <w:shd w:val="clear" w:color="auto" w:fill="auto"/>
                  <w:noWrap/>
                  <w:vAlign w:val="center"/>
                </w:tcPr>
                <w:p w14:paraId="552BD70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4C9001E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150</w:t>
                  </w:r>
                </w:p>
              </w:tc>
              <w:tc>
                <w:tcPr>
                  <w:tcW w:w="1035" w:type="dxa"/>
                  <w:tcBorders>
                    <w:tl2br w:val="nil"/>
                    <w:tr2bl w:val="nil"/>
                  </w:tcBorders>
                  <w:shd w:val="clear" w:color="auto" w:fill="auto"/>
                  <w:noWrap/>
                  <w:vAlign w:val="center"/>
                </w:tcPr>
                <w:p w14:paraId="0E1B7F5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825" w:type="dxa"/>
                  <w:tcBorders>
                    <w:tl2br w:val="nil"/>
                    <w:tr2bl w:val="nil"/>
                  </w:tcBorders>
                  <w:shd w:val="clear" w:color="auto" w:fill="auto"/>
                  <w:noWrap/>
                  <w:vAlign w:val="center"/>
                </w:tcPr>
                <w:p w14:paraId="0042292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10" w:type="dxa"/>
                  <w:tcBorders>
                    <w:tl2br w:val="nil"/>
                    <w:tr2bl w:val="nil"/>
                  </w:tcBorders>
                  <w:shd w:val="clear" w:color="auto" w:fill="auto"/>
                  <w:noWrap/>
                  <w:vAlign w:val="center"/>
                </w:tcPr>
                <w:p w14:paraId="601D0FA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2D96425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CC0EFAA">
                  <w:pPr>
                    <w:jc w:val="center"/>
                    <w:rPr>
                      <w:rFonts w:hint="eastAsia" w:ascii="宋体" w:hAnsi="宋体" w:eastAsia="宋体" w:cs="宋体"/>
                      <w:i w:val="0"/>
                      <w:iCs w:val="0"/>
                      <w:color w:val="000000"/>
                      <w:sz w:val="22"/>
                      <w:szCs w:val="22"/>
                      <w:u w:val="none"/>
                    </w:rPr>
                  </w:pPr>
                </w:p>
              </w:tc>
            </w:tr>
            <w:tr w14:paraId="5291C78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4B52A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碳酸钾</w:t>
                  </w:r>
                </w:p>
              </w:tc>
              <w:tc>
                <w:tcPr>
                  <w:tcW w:w="660" w:type="dxa"/>
                  <w:tcBorders>
                    <w:tl2br w:val="nil"/>
                    <w:tr2bl w:val="nil"/>
                  </w:tcBorders>
                  <w:shd w:val="clear" w:color="auto" w:fill="auto"/>
                  <w:noWrap/>
                  <w:vAlign w:val="center"/>
                </w:tcPr>
                <w:p w14:paraId="7737FB7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0280F74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99B307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825" w:type="dxa"/>
                  <w:tcBorders>
                    <w:tl2br w:val="nil"/>
                    <w:tr2bl w:val="nil"/>
                  </w:tcBorders>
                  <w:shd w:val="clear" w:color="auto" w:fill="auto"/>
                  <w:noWrap/>
                  <w:vAlign w:val="center"/>
                </w:tcPr>
                <w:p w14:paraId="4AE1115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50</w:t>
                  </w:r>
                </w:p>
              </w:tc>
              <w:tc>
                <w:tcPr>
                  <w:tcW w:w="1110" w:type="dxa"/>
                  <w:tcBorders>
                    <w:tl2br w:val="nil"/>
                    <w:tr2bl w:val="nil"/>
                  </w:tcBorders>
                  <w:shd w:val="clear" w:color="auto" w:fill="auto"/>
                  <w:noWrap/>
                  <w:vAlign w:val="center"/>
                </w:tcPr>
                <w:p w14:paraId="73B01F9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40" w:type="dxa"/>
                  <w:tcBorders>
                    <w:tl2br w:val="nil"/>
                    <w:tr2bl w:val="nil"/>
                  </w:tcBorders>
                  <w:shd w:val="clear" w:color="auto" w:fill="auto"/>
                  <w:noWrap/>
                  <w:vAlign w:val="center"/>
                </w:tcPr>
                <w:p w14:paraId="1E61FDB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5BA704C2">
                  <w:pPr>
                    <w:jc w:val="center"/>
                    <w:rPr>
                      <w:rFonts w:hint="eastAsia" w:ascii="宋体" w:hAnsi="宋体" w:eastAsia="宋体" w:cs="宋体"/>
                      <w:i w:val="0"/>
                      <w:iCs w:val="0"/>
                      <w:color w:val="000000"/>
                      <w:sz w:val="22"/>
                      <w:szCs w:val="22"/>
                      <w:u w:val="none"/>
                    </w:rPr>
                  </w:pPr>
                </w:p>
              </w:tc>
            </w:tr>
            <w:tr w14:paraId="62B101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5B2A09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磷酸钾</w:t>
                  </w:r>
                </w:p>
              </w:tc>
              <w:tc>
                <w:tcPr>
                  <w:tcW w:w="660" w:type="dxa"/>
                  <w:tcBorders>
                    <w:tl2br w:val="nil"/>
                    <w:tr2bl w:val="nil"/>
                  </w:tcBorders>
                  <w:shd w:val="clear" w:color="auto" w:fill="auto"/>
                  <w:noWrap/>
                  <w:vAlign w:val="center"/>
                </w:tcPr>
                <w:p w14:paraId="3EF906E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30F008D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54BE05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5EECA10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w:t>
                  </w:r>
                </w:p>
              </w:tc>
              <w:tc>
                <w:tcPr>
                  <w:tcW w:w="1110" w:type="dxa"/>
                  <w:tcBorders>
                    <w:tl2br w:val="nil"/>
                    <w:tr2bl w:val="nil"/>
                  </w:tcBorders>
                  <w:shd w:val="clear" w:color="auto" w:fill="auto"/>
                  <w:noWrap/>
                  <w:vAlign w:val="center"/>
                </w:tcPr>
                <w:p w14:paraId="740E2B3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5F8BED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0057CB0">
                  <w:pPr>
                    <w:jc w:val="center"/>
                    <w:rPr>
                      <w:rFonts w:hint="eastAsia" w:ascii="宋体" w:hAnsi="宋体" w:eastAsia="宋体" w:cs="宋体"/>
                      <w:i w:val="0"/>
                      <w:iCs w:val="0"/>
                      <w:color w:val="000000"/>
                      <w:sz w:val="22"/>
                      <w:szCs w:val="22"/>
                      <w:u w:val="none"/>
                    </w:rPr>
                  </w:pPr>
                </w:p>
              </w:tc>
            </w:tr>
            <w:tr w14:paraId="658CBB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6E047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叔丁醇钠</w:t>
                  </w:r>
                </w:p>
              </w:tc>
              <w:tc>
                <w:tcPr>
                  <w:tcW w:w="660" w:type="dxa"/>
                  <w:tcBorders>
                    <w:tl2br w:val="nil"/>
                    <w:tr2bl w:val="nil"/>
                  </w:tcBorders>
                  <w:shd w:val="clear" w:color="auto" w:fill="auto"/>
                  <w:noWrap/>
                  <w:vAlign w:val="center"/>
                </w:tcPr>
                <w:p w14:paraId="1E72AD2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3F19EA5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06B313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2776664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noWrap/>
                  <w:vAlign w:val="center"/>
                </w:tcPr>
                <w:p w14:paraId="5A40BDB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noWrap/>
                  <w:vAlign w:val="center"/>
                </w:tcPr>
                <w:p w14:paraId="5AFE704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3735FC6D">
                  <w:pPr>
                    <w:jc w:val="center"/>
                    <w:rPr>
                      <w:rFonts w:hint="eastAsia" w:ascii="宋体" w:hAnsi="宋体" w:eastAsia="宋体" w:cs="宋体"/>
                      <w:i w:val="0"/>
                      <w:iCs w:val="0"/>
                      <w:color w:val="000000"/>
                      <w:sz w:val="22"/>
                      <w:szCs w:val="22"/>
                      <w:u w:val="none"/>
                    </w:rPr>
                  </w:pPr>
                </w:p>
              </w:tc>
            </w:tr>
            <w:tr w14:paraId="10053D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4463C2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三乙胺</w:t>
                  </w:r>
                </w:p>
              </w:tc>
              <w:tc>
                <w:tcPr>
                  <w:tcW w:w="660" w:type="dxa"/>
                  <w:tcBorders>
                    <w:tl2br w:val="nil"/>
                    <w:tr2bl w:val="nil"/>
                  </w:tcBorders>
                  <w:shd w:val="clear" w:color="auto" w:fill="auto"/>
                  <w:noWrap/>
                  <w:vAlign w:val="center"/>
                </w:tcPr>
                <w:p w14:paraId="227956C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54AF844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05E9223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4C3180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noWrap/>
                  <w:vAlign w:val="center"/>
                </w:tcPr>
                <w:p w14:paraId="10264D9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56E9548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60A6D74F">
                  <w:pPr>
                    <w:jc w:val="center"/>
                    <w:rPr>
                      <w:rFonts w:hint="eastAsia" w:ascii="宋体" w:hAnsi="宋体" w:eastAsia="宋体" w:cs="宋体"/>
                      <w:i w:val="0"/>
                      <w:iCs w:val="0"/>
                      <w:color w:val="000000"/>
                      <w:sz w:val="22"/>
                      <w:szCs w:val="22"/>
                      <w:u w:val="none"/>
                    </w:rPr>
                  </w:pPr>
                </w:p>
              </w:tc>
            </w:tr>
            <w:tr w14:paraId="6135B1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13" w:hRule="atLeast"/>
              </w:trPr>
              <w:tc>
                <w:tcPr>
                  <w:tcW w:w="1073" w:type="dxa"/>
                  <w:gridSpan w:val="2"/>
                  <w:tcBorders>
                    <w:tl2br w:val="nil"/>
                    <w:tr2bl w:val="nil"/>
                  </w:tcBorders>
                  <w:shd w:val="clear" w:color="auto" w:fill="auto"/>
                  <w:vAlign w:val="center"/>
                </w:tcPr>
                <w:p w14:paraId="7D46DDA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(R)-3-</w:t>
                  </w:r>
                  <w:r>
                    <w:rPr>
                      <w:rFonts w:hint="eastAsia" w:ascii="宋体" w:hAnsi="宋体" w:eastAsia="宋体" w:cs="宋体"/>
                      <w:i w:val="0"/>
                      <w:iCs w:val="0"/>
                      <w:color w:val="000000"/>
                      <w:kern w:val="0"/>
                      <w:sz w:val="22"/>
                      <w:szCs w:val="22"/>
                      <w:u w:val="none"/>
                      <w:lang w:val="en-US" w:eastAsia="zh-CN" w:bidi="ar"/>
                    </w:rPr>
                    <w:t>甲基吗啉</w:t>
                  </w:r>
                </w:p>
              </w:tc>
              <w:tc>
                <w:tcPr>
                  <w:tcW w:w="660" w:type="dxa"/>
                  <w:tcBorders>
                    <w:tl2br w:val="nil"/>
                    <w:tr2bl w:val="nil"/>
                  </w:tcBorders>
                  <w:shd w:val="clear" w:color="auto" w:fill="auto"/>
                  <w:noWrap/>
                  <w:vAlign w:val="center"/>
                </w:tcPr>
                <w:p w14:paraId="4CEF95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058147C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65BEDC6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13B4C51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noWrap/>
                  <w:vAlign w:val="center"/>
                </w:tcPr>
                <w:p w14:paraId="0D8B3D8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372378F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7025053">
                  <w:pPr>
                    <w:jc w:val="center"/>
                    <w:rPr>
                      <w:rFonts w:hint="eastAsia" w:ascii="宋体" w:hAnsi="宋体" w:eastAsia="宋体" w:cs="宋体"/>
                      <w:i w:val="0"/>
                      <w:iCs w:val="0"/>
                      <w:color w:val="000000"/>
                      <w:sz w:val="22"/>
                      <w:szCs w:val="22"/>
                      <w:u w:val="none"/>
                    </w:rPr>
                  </w:pPr>
                </w:p>
              </w:tc>
            </w:tr>
            <w:tr w14:paraId="5B1DF5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1905D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三甲硅基</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氨基锂</w:t>
                  </w:r>
                </w:p>
              </w:tc>
              <w:tc>
                <w:tcPr>
                  <w:tcW w:w="660" w:type="dxa"/>
                  <w:tcBorders>
                    <w:tl2br w:val="nil"/>
                    <w:tr2bl w:val="nil"/>
                  </w:tcBorders>
                  <w:shd w:val="clear" w:color="auto" w:fill="auto"/>
                  <w:noWrap/>
                  <w:vAlign w:val="center"/>
                </w:tcPr>
                <w:p w14:paraId="3F8F4F6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w:t>
                  </w:r>
                </w:p>
              </w:tc>
              <w:tc>
                <w:tcPr>
                  <w:tcW w:w="840" w:type="dxa"/>
                  <w:tcBorders>
                    <w:tl2br w:val="nil"/>
                    <w:tr2bl w:val="nil"/>
                  </w:tcBorders>
                  <w:shd w:val="clear" w:color="auto" w:fill="auto"/>
                  <w:noWrap/>
                  <w:vAlign w:val="center"/>
                </w:tcPr>
                <w:p w14:paraId="379458A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60B23D7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825" w:type="dxa"/>
                  <w:tcBorders>
                    <w:tl2br w:val="nil"/>
                    <w:tr2bl w:val="nil"/>
                  </w:tcBorders>
                  <w:shd w:val="clear" w:color="auto" w:fill="auto"/>
                  <w:noWrap/>
                  <w:vAlign w:val="center"/>
                </w:tcPr>
                <w:p w14:paraId="3696AEC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20</w:t>
                  </w:r>
                </w:p>
              </w:tc>
              <w:tc>
                <w:tcPr>
                  <w:tcW w:w="1110" w:type="dxa"/>
                  <w:tcBorders>
                    <w:tl2br w:val="nil"/>
                    <w:tr2bl w:val="nil"/>
                  </w:tcBorders>
                  <w:shd w:val="clear" w:color="auto" w:fill="auto"/>
                  <w:noWrap/>
                  <w:vAlign w:val="center"/>
                </w:tcPr>
                <w:p w14:paraId="3B702A9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140" w:type="dxa"/>
                  <w:tcBorders>
                    <w:tl2br w:val="nil"/>
                    <w:tr2bl w:val="nil"/>
                  </w:tcBorders>
                  <w:shd w:val="clear" w:color="auto" w:fill="auto"/>
                  <w:noWrap/>
                  <w:vAlign w:val="center"/>
                </w:tcPr>
                <w:p w14:paraId="1FA15B5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5A2C24BC">
                  <w:pPr>
                    <w:jc w:val="center"/>
                    <w:rPr>
                      <w:rFonts w:hint="eastAsia" w:ascii="宋体" w:hAnsi="宋体" w:eastAsia="宋体" w:cs="宋体"/>
                      <w:i w:val="0"/>
                      <w:iCs w:val="0"/>
                      <w:color w:val="000000"/>
                      <w:sz w:val="22"/>
                      <w:szCs w:val="22"/>
                      <w:u w:val="none"/>
                    </w:rPr>
                  </w:pPr>
                </w:p>
              </w:tc>
            </w:tr>
            <w:tr w14:paraId="00BDE5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70A62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w:t>
                  </w:r>
                </w:p>
              </w:tc>
              <w:tc>
                <w:tcPr>
                  <w:tcW w:w="660" w:type="dxa"/>
                  <w:tcBorders>
                    <w:tl2br w:val="nil"/>
                    <w:tr2bl w:val="nil"/>
                  </w:tcBorders>
                  <w:shd w:val="clear" w:color="auto" w:fill="auto"/>
                  <w:noWrap/>
                  <w:vAlign w:val="center"/>
                </w:tcPr>
                <w:p w14:paraId="37FAA0E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6F7F8F5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248B8F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825" w:type="dxa"/>
                  <w:tcBorders>
                    <w:tl2br w:val="nil"/>
                    <w:tr2bl w:val="nil"/>
                  </w:tcBorders>
                  <w:shd w:val="clear" w:color="auto" w:fill="auto"/>
                  <w:noWrap/>
                  <w:vAlign w:val="center"/>
                </w:tcPr>
                <w:p w14:paraId="435CFA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200</w:t>
                  </w:r>
                </w:p>
              </w:tc>
              <w:tc>
                <w:tcPr>
                  <w:tcW w:w="1110" w:type="dxa"/>
                  <w:tcBorders>
                    <w:tl2br w:val="nil"/>
                    <w:tr2bl w:val="nil"/>
                  </w:tcBorders>
                  <w:shd w:val="clear" w:color="auto" w:fill="auto"/>
                  <w:noWrap/>
                  <w:vAlign w:val="center"/>
                </w:tcPr>
                <w:p w14:paraId="0264806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1140" w:type="dxa"/>
                  <w:tcBorders>
                    <w:tl2br w:val="nil"/>
                    <w:tr2bl w:val="nil"/>
                  </w:tcBorders>
                  <w:shd w:val="clear" w:color="auto" w:fill="auto"/>
                  <w:noWrap/>
                  <w:vAlign w:val="center"/>
                </w:tcPr>
                <w:p w14:paraId="008B669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1kg/</w:t>
                  </w:r>
                  <w:r>
                    <w:rPr>
                      <w:rFonts w:hint="eastAsia" w:ascii="宋体" w:hAnsi="宋体" w:eastAsia="宋体" w:cs="宋体"/>
                      <w:i w:val="0"/>
                      <w:iCs w:val="0"/>
                      <w:color w:val="000000"/>
                      <w:kern w:val="0"/>
                      <w:sz w:val="22"/>
                      <w:szCs w:val="22"/>
                      <w:u w:val="none"/>
                      <w:lang w:val="en-US" w:eastAsia="zh-CN" w:bidi="ar"/>
                    </w:rPr>
                    <w:t>瓶</w:t>
                  </w:r>
                </w:p>
              </w:tc>
              <w:tc>
                <w:tcPr>
                  <w:tcW w:w="1210" w:type="dxa"/>
                  <w:vMerge w:val="restart"/>
                  <w:tcBorders>
                    <w:tl2br w:val="nil"/>
                    <w:tr2bl w:val="nil"/>
                  </w:tcBorders>
                  <w:shd w:val="clear" w:color="auto" w:fill="auto"/>
                  <w:vAlign w:val="center"/>
                </w:tcPr>
                <w:p w14:paraId="7EAF69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辅助材料，盐类物质辅助化学合成，不参与反应，</w:t>
                  </w:r>
                  <w:r>
                    <w:rPr>
                      <w:rFonts w:hint="eastAsia" w:ascii="宋体" w:hAnsi="宋体" w:cs="宋体"/>
                      <w:i w:val="0"/>
                      <w:iCs w:val="0"/>
                      <w:color w:val="000000"/>
                      <w:kern w:val="0"/>
                      <w:sz w:val="22"/>
                      <w:szCs w:val="22"/>
                      <w:u w:val="none"/>
                      <w:lang w:val="en-US" w:eastAsia="zh-CN" w:bidi="ar"/>
                    </w:rPr>
                    <w:t>盐</w:t>
                  </w:r>
                  <w:r>
                    <w:rPr>
                      <w:rFonts w:hint="eastAsia" w:ascii="宋体" w:hAnsi="宋体" w:cs="宋体"/>
                      <w:color w:val="000000"/>
                      <w:kern w:val="0"/>
                      <w:sz w:val="22"/>
                      <w:szCs w:val="22"/>
                      <w:u w:val="none"/>
                      <w:lang w:bidi="ar"/>
                    </w:rPr>
                    <w:t>酸存放于易制毒室，硝酸存放易制爆室</w:t>
                  </w:r>
                  <w:r>
                    <w:rPr>
                      <w:rFonts w:hint="eastAsia" w:ascii="宋体" w:hAnsi="宋体" w:cs="宋体"/>
                      <w:color w:val="000000"/>
                      <w:kern w:val="0"/>
                      <w:sz w:val="22"/>
                      <w:szCs w:val="22"/>
                      <w:u w:val="none"/>
                      <w:lang w:eastAsia="zh-CN" w:bidi="ar"/>
                    </w:rPr>
                    <w:t>。</w:t>
                  </w:r>
                  <w:r>
                    <w:rPr>
                      <w:rFonts w:hint="eastAsia" w:ascii="宋体" w:hAnsi="宋体" w:cs="宋体"/>
                      <w:color w:val="000000"/>
                      <w:kern w:val="0"/>
                      <w:sz w:val="22"/>
                      <w:szCs w:val="22"/>
                      <w:u w:val="none"/>
                      <w:lang w:val="en-US" w:eastAsia="zh-CN" w:bidi="ar"/>
                    </w:rPr>
                    <w:t>其他</w:t>
                  </w:r>
                  <w:r>
                    <w:rPr>
                      <w:rFonts w:hint="eastAsia" w:ascii="宋体" w:hAnsi="宋体" w:eastAsia="宋体" w:cs="宋体"/>
                      <w:i w:val="0"/>
                      <w:iCs w:val="0"/>
                      <w:color w:val="000000"/>
                      <w:kern w:val="0"/>
                      <w:sz w:val="22"/>
                      <w:szCs w:val="22"/>
                      <w:u w:val="none"/>
                      <w:lang w:val="en-US" w:eastAsia="zh-CN" w:bidi="ar"/>
                    </w:rPr>
                    <w:t>存储于试剂间</w:t>
                  </w:r>
                  <w:r>
                    <w:rPr>
                      <w:rFonts w:hint="eastAsia" w:ascii="宋体" w:hAnsi="宋体" w:cs="宋体"/>
                      <w:i w:val="0"/>
                      <w:iCs w:val="0"/>
                      <w:color w:val="000000"/>
                      <w:kern w:val="0"/>
                      <w:sz w:val="22"/>
                      <w:szCs w:val="22"/>
                      <w:u w:val="none"/>
                      <w:lang w:val="en-US" w:eastAsia="zh-CN" w:bidi="ar"/>
                    </w:rPr>
                    <w:t>。</w:t>
                  </w:r>
                </w:p>
              </w:tc>
            </w:tr>
            <w:tr w14:paraId="4BBFC1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4FFE27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四丁基氟化铵</w:t>
                  </w:r>
                </w:p>
              </w:tc>
              <w:tc>
                <w:tcPr>
                  <w:tcW w:w="660" w:type="dxa"/>
                  <w:tcBorders>
                    <w:tl2br w:val="nil"/>
                    <w:tr2bl w:val="nil"/>
                  </w:tcBorders>
                  <w:shd w:val="clear" w:color="auto" w:fill="auto"/>
                  <w:noWrap/>
                  <w:vAlign w:val="center"/>
                </w:tcPr>
                <w:p w14:paraId="4E6F3FE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674904B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C30D70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4B3C85F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noWrap/>
                  <w:vAlign w:val="center"/>
                </w:tcPr>
                <w:p w14:paraId="4594AB3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1FBE238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04809793">
                  <w:pPr>
                    <w:jc w:val="center"/>
                    <w:rPr>
                      <w:rFonts w:hint="eastAsia" w:ascii="宋体" w:hAnsi="宋体" w:eastAsia="宋体" w:cs="宋体"/>
                      <w:i w:val="0"/>
                      <w:iCs w:val="0"/>
                      <w:color w:val="000000"/>
                      <w:sz w:val="22"/>
                      <w:szCs w:val="22"/>
                      <w:u w:val="none"/>
                    </w:rPr>
                  </w:pPr>
                </w:p>
              </w:tc>
            </w:tr>
            <w:tr w14:paraId="073232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47FC3F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甲胺盐酸盐</w:t>
                  </w:r>
                </w:p>
              </w:tc>
              <w:tc>
                <w:tcPr>
                  <w:tcW w:w="660" w:type="dxa"/>
                  <w:tcBorders>
                    <w:tl2br w:val="nil"/>
                    <w:tr2bl w:val="nil"/>
                  </w:tcBorders>
                  <w:shd w:val="clear" w:color="auto" w:fill="auto"/>
                  <w:noWrap/>
                  <w:vAlign w:val="center"/>
                </w:tcPr>
                <w:p w14:paraId="0098075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2CD7E3D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0D85B67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477D31E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30</w:t>
                  </w:r>
                </w:p>
              </w:tc>
              <w:tc>
                <w:tcPr>
                  <w:tcW w:w="1110" w:type="dxa"/>
                  <w:tcBorders>
                    <w:tl2br w:val="nil"/>
                    <w:tr2bl w:val="nil"/>
                  </w:tcBorders>
                  <w:shd w:val="clear" w:color="auto" w:fill="auto"/>
                  <w:noWrap/>
                  <w:vAlign w:val="center"/>
                </w:tcPr>
                <w:p w14:paraId="7E61E4F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3210E91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334D2017">
                  <w:pPr>
                    <w:jc w:val="center"/>
                    <w:rPr>
                      <w:rFonts w:hint="eastAsia" w:ascii="宋体" w:hAnsi="宋体" w:eastAsia="宋体" w:cs="宋体"/>
                      <w:i w:val="0"/>
                      <w:iCs w:val="0"/>
                      <w:color w:val="000000"/>
                      <w:sz w:val="22"/>
                      <w:szCs w:val="22"/>
                      <w:u w:val="none"/>
                    </w:rPr>
                  </w:pPr>
                </w:p>
              </w:tc>
            </w:tr>
            <w:tr w14:paraId="221AC5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gridAfter w:val="1"/>
                <w:wAfter w:w="5" w:type="dxa"/>
                <w:trHeight w:val="337" w:hRule="atLeast"/>
              </w:trPr>
              <w:tc>
                <w:tcPr>
                  <w:tcW w:w="1073" w:type="dxa"/>
                  <w:gridSpan w:val="2"/>
                  <w:tcBorders>
                    <w:tl2br w:val="nil"/>
                    <w:tr2bl w:val="nil"/>
                  </w:tcBorders>
                  <w:shd w:val="clear" w:color="auto" w:fill="auto"/>
                  <w:vAlign w:val="center"/>
                </w:tcPr>
                <w:p w14:paraId="42645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盐酸肼</w:t>
                  </w:r>
                </w:p>
              </w:tc>
              <w:tc>
                <w:tcPr>
                  <w:tcW w:w="660" w:type="dxa"/>
                  <w:tcBorders>
                    <w:tl2br w:val="nil"/>
                    <w:tr2bl w:val="nil"/>
                  </w:tcBorders>
                  <w:shd w:val="clear" w:color="auto" w:fill="auto"/>
                  <w:noWrap/>
                  <w:vAlign w:val="center"/>
                </w:tcPr>
                <w:p w14:paraId="103801D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6C627B1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035" w:type="dxa"/>
                  <w:tcBorders>
                    <w:tl2br w:val="nil"/>
                    <w:tr2bl w:val="nil"/>
                  </w:tcBorders>
                  <w:shd w:val="clear" w:color="auto" w:fill="auto"/>
                  <w:noWrap/>
                  <w:vAlign w:val="center"/>
                </w:tcPr>
                <w:p w14:paraId="446DF1D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825" w:type="dxa"/>
                  <w:tcBorders>
                    <w:tl2br w:val="nil"/>
                    <w:tr2bl w:val="nil"/>
                  </w:tcBorders>
                  <w:shd w:val="clear" w:color="auto" w:fill="auto"/>
                  <w:noWrap/>
                  <w:vAlign w:val="center"/>
                </w:tcPr>
                <w:p w14:paraId="57FFACB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27</w:t>
                  </w:r>
                </w:p>
              </w:tc>
              <w:tc>
                <w:tcPr>
                  <w:tcW w:w="1110" w:type="dxa"/>
                  <w:tcBorders>
                    <w:tl2br w:val="nil"/>
                    <w:tr2bl w:val="nil"/>
                  </w:tcBorders>
                  <w:shd w:val="clear" w:color="auto" w:fill="auto"/>
                  <w:noWrap/>
                  <w:vAlign w:val="center"/>
                </w:tcPr>
                <w:p w14:paraId="7FE36BD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79E352D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5C94C7E3">
                  <w:pPr>
                    <w:jc w:val="center"/>
                    <w:rPr>
                      <w:rFonts w:hint="eastAsia" w:ascii="宋体" w:hAnsi="宋体" w:eastAsia="宋体" w:cs="宋体"/>
                      <w:i w:val="0"/>
                      <w:iCs w:val="0"/>
                      <w:color w:val="000000"/>
                      <w:sz w:val="22"/>
                      <w:szCs w:val="22"/>
                      <w:u w:val="none"/>
                    </w:rPr>
                  </w:pPr>
                </w:p>
              </w:tc>
            </w:tr>
            <w:tr w14:paraId="437835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33C026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三溴化硼</w:t>
                  </w:r>
                </w:p>
              </w:tc>
              <w:tc>
                <w:tcPr>
                  <w:tcW w:w="660" w:type="dxa"/>
                  <w:tcBorders>
                    <w:tl2br w:val="nil"/>
                    <w:tr2bl w:val="nil"/>
                  </w:tcBorders>
                  <w:shd w:val="clear" w:color="auto" w:fill="auto"/>
                  <w:noWrap/>
                  <w:vAlign w:val="center"/>
                </w:tcPr>
                <w:p w14:paraId="0B8423E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6DF445B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035" w:type="dxa"/>
                  <w:tcBorders>
                    <w:tl2br w:val="nil"/>
                    <w:tr2bl w:val="nil"/>
                  </w:tcBorders>
                  <w:shd w:val="clear" w:color="auto" w:fill="auto"/>
                  <w:noWrap/>
                  <w:vAlign w:val="center"/>
                </w:tcPr>
                <w:p w14:paraId="52A184B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825" w:type="dxa"/>
                  <w:tcBorders>
                    <w:tl2br w:val="nil"/>
                    <w:tr2bl w:val="nil"/>
                  </w:tcBorders>
                  <w:shd w:val="clear" w:color="auto" w:fill="auto"/>
                  <w:noWrap/>
                  <w:vAlign w:val="center"/>
                </w:tcPr>
                <w:p w14:paraId="5CF2930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14</w:t>
                  </w:r>
                </w:p>
              </w:tc>
              <w:tc>
                <w:tcPr>
                  <w:tcW w:w="1110" w:type="dxa"/>
                  <w:tcBorders>
                    <w:tl2br w:val="nil"/>
                    <w:tr2bl w:val="nil"/>
                  </w:tcBorders>
                  <w:shd w:val="clear" w:color="auto" w:fill="auto"/>
                  <w:noWrap/>
                  <w:vAlign w:val="center"/>
                </w:tcPr>
                <w:p w14:paraId="7325157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140" w:type="dxa"/>
                  <w:tcBorders>
                    <w:tl2br w:val="nil"/>
                    <w:tr2bl w:val="nil"/>
                  </w:tcBorders>
                  <w:shd w:val="clear" w:color="auto" w:fill="auto"/>
                  <w:noWrap/>
                  <w:vAlign w:val="center"/>
                </w:tcPr>
                <w:p w14:paraId="4180648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13D072C">
                  <w:pPr>
                    <w:jc w:val="center"/>
                    <w:rPr>
                      <w:rFonts w:hint="eastAsia" w:ascii="宋体" w:hAnsi="宋体" w:eastAsia="宋体" w:cs="宋体"/>
                      <w:i w:val="0"/>
                      <w:iCs w:val="0"/>
                      <w:color w:val="000000"/>
                      <w:sz w:val="22"/>
                      <w:szCs w:val="22"/>
                      <w:u w:val="none"/>
                    </w:rPr>
                  </w:pPr>
                </w:p>
              </w:tc>
            </w:tr>
            <w:tr w14:paraId="2DA6EA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F1885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三氟乙酸</w:t>
                  </w:r>
                </w:p>
              </w:tc>
              <w:tc>
                <w:tcPr>
                  <w:tcW w:w="660" w:type="dxa"/>
                  <w:tcBorders>
                    <w:tl2br w:val="nil"/>
                    <w:tr2bl w:val="nil"/>
                  </w:tcBorders>
                  <w:shd w:val="clear" w:color="auto" w:fill="auto"/>
                  <w:noWrap/>
                  <w:vAlign w:val="center"/>
                </w:tcPr>
                <w:p w14:paraId="54287B2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09744C3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01BD602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825" w:type="dxa"/>
                  <w:tcBorders>
                    <w:tl2br w:val="nil"/>
                    <w:tr2bl w:val="nil"/>
                  </w:tcBorders>
                  <w:shd w:val="clear" w:color="auto" w:fill="auto"/>
                  <w:noWrap/>
                  <w:vAlign w:val="center"/>
                </w:tcPr>
                <w:p w14:paraId="5B71B5A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50</w:t>
                  </w:r>
                </w:p>
              </w:tc>
              <w:tc>
                <w:tcPr>
                  <w:tcW w:w="1110" w:type="dxa"/>
                  <w:tcBorders>
                    <w:tl2br w:val="nil"/>
                    <w:tr2bl w:val="nil"/>
                  </w:tcBorders>
                  <w:shd w:val="clear" w:color="auto" w:fill="auto"/>
                  <w:noWrap/>
                  <w:vAlign w:val="center"/>
                </w:tcPr>
                <w:p w14:paraId="7D680F5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40" w:type="dxa"/>
                  <w:tcBorders>
                    <w:tl2br w:val="nil"/>
                    <w:tr2bl w:val="nil"/>
                  </w:tcBorders>
                  <w:shd w:val="clear" w:color="auto" w:fill="auto"/>
                  <w:noWrap/>
                  <w:vAlign w:val="center"/>
                </w:tcPr>
                <w:p w14:paraId="3F868A4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ECD2787">
                  <w:pPr>
                    <w:jc w:val="center"/>
                    <w:rPr>
                      <w:rFonts w:hint="eastAsia" w:ascii="宋体" w:hAnsi="宋体" w:eastAsia="宋体" w:cs="宋体"/>
                      <w:i w:val="0"/>
                      <w:iCs w:val="0"/>
                      <w:color w:val="000000"/>
                      <w:sz w:val="22"/>
                      <w:szCs w:val="22"/>
                      <w:u w:val="none"/>
                    </w:rPr>
                  </w:pPr>
                </w:p>
              </w:tc>
            </w:tr>
            <w:tr w14:paraId="17D5D4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3E85A5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甲酸</w:t>
                  </w:r>
                </w:p>
              </w:tc>
              <w:tc>
                <w:tcPr>
                  <w:tcW w:w="660" w:type="dxa"/>
                  <w:tcBorders>
                    <w:tl2br w:val="nil"/>
                    <w:tr2bl w:val="nil"/>
                  </w:tcBorders>
                  <w:shd w:val="clear" w:color="auto" w:fill="auto"/>
                  <w:noWrap/>
                  <w:vAlign w:val="center"/>
                </w:tcPr>
                <w:p w14:paraId="1D2607F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w:t>
                  </w:r>
                </w:p>
              </w:tc>
              <w:tc>
                <w:tcPr>
                  <w:tcW w:w="840" w:type="dxa"/>
                  <w:tcBorders>
                    <w:tl2br w:val="nil"/>
                    <w:tr2bl w:val="nil"/>
                  </w:tcBorders>
                  <w:shd w:val="clear" w:color="auto" w:fill="auto"/>
                  <w:noWrap/>
                  <w:vAlign w:val="center"/>
                </w:tcPr>
                <w:p w14:paraId="2D471D4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1272FFC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825" w:type="dxa"/>
                  <w:tcBorders>
                    <w:tl2br w:val="nil"/>
                    <w:tr2bl w:val="nil"/>
                  </w:tcBorders>
                  <w:shd w:val="clear" w:color="auto" w:fill="auto"/>
                  <w:noWrap/>
                  <w:vAlign w:val="center"/>
                </w:tcPr>
                <w:p w14:paraId="6D68167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50</w:t>
                  </w:r>
                </w:p>
              </w:tc>
              <w:tc>
                <w:tcPr>
                  <w:tcW w:w="1110" w:type="dxa"/>
                  <w:tcBorders>
                    <w:tl2br w:val="nil"/>
                    <w:tr2bl w:val="nil"/>
                  </w:tcBorders>
                  <w:shd w:val="clear" w:color="auto" w:fill="auto"/>
                  <w:noWrap/>
                  <w:vAlign w:val="center"/>
                </w:tcPr>
                <w:p w14:paraId="7A3CBC1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140" w:type="dxa"/>
                  <w:tcBorders>
                    <w:tl2br w:val="nil"/>
                    <w:tr2bl w:val="nil"/>
                  </w:tcBorders>
                  <w:shd w:val="clear" w:color="auto" w:fill="auto"/>
                  <w:noWrap/>
                  <w:vAlign w:val="center"/>
                </w:tcPr>
                <w:p w14:paraId="16D460C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789666D">
                  <w:pPr>
                    <w:jc w:val="center"/>
                    <w:rPr>
                      <w:rFonts w:hint="eastAsia" w:ascii="宋体" w:hAnsi="宋体" w:eastAsia="宋体" w:cs="宋体"/>
                      <w:i w:val="0"/>
                      <w:iCs w:val="0"/>
                      <w:color w:val="000000"/>
                      <w:sz w:val="22"/>
                      <w:szCs w:val="22"/>
                      <w:u w:val="none"/>
                    </w:rPr>
                  </w:pPr>
                </w:p>
              </w:tc>
            </w:tr>
            <w:tr w14:paraId="0B4F67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1D028A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丙二酸</w:t>
                  </w:r>
                </w:p>
              </w:tc>
              <w:tc>
                <w:tcPr>
                  <w:tcW w:w="660" w:type="dxa"/>
                  <w:tcBorders>
                    <w:tl2br w:val="nil"/>
                    <w:tr2bl w:val="nil"/>
                  </w:tcBorders>
                  <w:shd w:val="clear" w:color="auto" w:fill="auto"/>
                  <w:noWrap/>
                  <w:vAlign w:val="center"/>
                </w:tcPr>
                <w:p w14:paraId="3DB9482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3695FBA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176C8D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7D563DC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noWrap/>
                  <w:vAlign w:val="center"/>
                </w:tcPr>
                <w:p w14:paraId="1636C51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30443C5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2494C513">
                  <w:pPr>
                    <w:jc w:val="center"/>
                    <w:rPr>
                      <w:rFonts w:hint="eastAsia" w:ascii="宋体" w:hAnsi="宋体" w:eastAsia="宋体" w:cs="宋体"/>
                      <w:i w:val="0"/>
                      <w:iCs w:val="0"/>
                      <w:color w:val="000000"/>
                      <w:sz w:val="22"/>
                      <w:szCs w:val="22"/>
                      <w:u w:val="none"/>
                    </w:rPr>
                  </w:pPr>
                </w:p>
              </w:tc>
            </w:tr>
            <w:tr w14:paraId="5505E2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5DCA7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伊顿试剂</w:t>
                  </w:r>
                </w:p>
              </w:tc>
              <w:tc>
                <w:tcPr>
                  <w:tcW w:w="660" w:type="dxa"/>
                  <w:tcBorders>
                    <w:tl2br w:val="nil"/>
                    <w:tr2bl w:val="nil"/>
                  </w:tcBorders>
                  <w:shd w:val="clear" w:color="auto" w:fill="auto"/>
                  <w:noWrap/>
                  <w:vAlign w:val="center"/>
                </w:tcPr>
                <w:p w14:paraId="07D7EA2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03BF803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lang w:val="en-US"/>
                    </w:rPr>
                  </w:pPr>
                  <w:r>
                    <w:rPr>
                      <w:rFonts w:hint="eastAsia" w:ascii="Times New Roman" w:hAnsi="Times New Roman" w:eastAsia="宋体" w:cs="Times New Roman"/>
                      <w:i w:val="0"/>
                      <w:iCs w:val="0"/>
                      <w:color w:val="000000"/>
                      <w:kern w:val="0"/>
                      <w:sz w:val="22"/>
                      <w:szCs w:val="22"/>
                      <w:u w:val="none"/>
                      <w:lang w:val="en-US" w:eastAsia="zh-CN" w:bidi="ar"/>
                    </w:rPr>
                    <w:t>54</w:t>
                  </w:r>
                </w:p>
              </w:tc>
              <w:tc>
                <w:tcPr>
                  <w:tcW w:w="1035" w:type="dxa"/>
                  <w:tcBorders>
                    <w:tl2br w:val="nil"/>
                    <w:tr2bl w:val="nil"/>
                  </w:tcBorders>
                  <w:shd w:val="clear" w:color="auto" w:fill="auto"/>
                  <w:noWrap/>
                  <w:vAlign w:val="center"/>
                </w:tcPr>
                <w:p w14:paraId="717C840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62C273E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lang w:val="en-US"/>
                    </w:rPr>
                  </w:pPr>
                  <w:r>
                    <w:rPr>
                      <w:rFonts w:hint="eastAsia" w:ascii="Times New Roman" w:hAnsi="Times New Roman" w:eastAsia="宋体" w:cs="Times New Roman"/>
                      <w:i w:val="0"/>
                      <w:iCs w:val="0"/>
                      <w:color w:val="000000"/>
                      <w:kern w:val="0"/>
                      <w:sz w:val="22"/>
                      <w:szCs w:val="22"/>
                      <w:u w:val="none"/>
                      <w:lang w:val="en-US" w:eastAsia="zh-CN" w:bidi="ar"/>
                    </w:rPr>
                    <w:t>-44</w:t>
                  </w:r>
                </w:p>
              </w:tc>
              <w:tc>
                <w:tcPr>
                  <w:tcW w:w="1110" w:type="dxa"/>
                  <w:tcBorders>
                    <w:tl2br w:val="nil"/>
                    <w:tr2bl w:val="nil"/>
                  </w:tcBorders>
                  <w:shd w:val="clear" w:color="auto" w:fill="auto"/>
                  <w:noWrap/>
                  <w:vAlign w:val="center"/>
                </w:tcPr>
                <w:p w14:paraId="1FF07B2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140" w:type="dxa"/>
                  <w:tcBorders>
                    <w:tl2br w:val="nil"/>
                    <w:tr2bl w:val="nil"/>
                  </w:tcBorders>
                  <w:shd w:val="clear" w:color="auto" w:fill="auto"/>
                  <w:noWrap/>
                  <w:vAlign w:val="center"/>
                </w:tcPr>
                <w:p w14:paraId="2A8F83F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D1A41DD">
                  <w:pPr>
                    <w:jc w:val="center"/>
                    <w:rPr>
                      <w:rFonts w:hint="eastAsia" w:ascii="宋体" w:hAnsi="宋体" w:eastAsia="宋体" w:cs="宋体"/>
                      <w:i w:val="0"/>
                      <w:iCs w:val="0"/>
                      <w:color w:val="000000"/>
                      <w:sz w:val="22"/>
                      <w:szCs w:val="22"/>
                      <w:u w:val="none"/>
                    </w:rPr>
                  </w:pPr>
                </w:p>
              </w:tc>
            </w:tr>
            <w:tr w14:paraId="13CACA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4C70D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硝酸</w:t>
                  </w:r>
                </w:p>
              </w:tc>
              <w:tc>
                <w:tcPr>
                  <w:tcW w:w="660" w:type="dxa"/>
                  <w:tcBorders>
                    <w:tl2br w:val="nil"/>
                    <w:tr2bl w:val="nil"/>
                  </w:tcBorders>
                  <w:shd w:val="clear" w:color="auto" w:fill="auto"/>
                  <w:noWrap/>
                  <w:vAlign w:val="center"/>
                </w:tcPr>
                <w:p w14:paraId="5EF3230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w:t>
                  </w:r>
                </w:p>
              </w:tc>
              <w:tc>
                <w:tcPr>
                  <w:tcW w:w="840" w:type="dxa"/>
                  <w:tcBorders>
                    <w:tl2br w:val="nil"/>
                    <w:tr2bl w:val="nil"/>
                  </w:tcBorders>
                  <w:shd w:val="clear" w:color="auto" w:fill="auto"/>
                  <w:noWrap/>
                  <w:vAlign w:val="center"/>
                </w:tcPr>
                <w:p w14:paraId="764D448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01C08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825" w:type="dxa"/>
                  <w:tcBorders>
                    <w:tl2br w:val="nil"/>
                    <w:tr2bl w:val="nil"/>
                  </w:tcBorders>
                  <w:shd w:val="clear" w:color="auto" w:fill="auto"/>
                  <w:noWrap/>
                  <w:vAlign w:val="center"/>
                </w:tcPr>
                <w:p w14:paraId="3701CB2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50</w:t>
                  </w:r>
                </w:p>
              </w:tc>
              <w:tc>
                <w:tcPr>
                  <w:tcW w:w="1110" w:type="dxa"/>
                  <w:tcBorders>
                    <w:tl2br w:val="nil"/>
                    <w:tr2bl w:val="nil"/>
                  </w:tcBorders>
                  <w:shd w:val="clear" w:color="auto" w:fill="auto"/>
                  <w:noWrap/>
                  <w:vAlign w:val="center"/>
                </w:tcPr>
                <w:p w14:paraId="1891BF7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40" w:type="dxa"/>
                  <w:tcBorders>
                    <w:tl2br w:val="nil"/>
                    <w:tr2bl w:val="nil"/>
                  </w:tcBorders>
                  <w:shd w:val="clear" w:color="auto" w:fill="auto"/>
                  <w:noWrap/>
                  <w:vAlign w:val="center"/>
                </w:tcPr>
                <w:p w14:paraId="77674B0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0B59030A">
                  <w:pPr>
                    <w:jc w:val="center"/>
                    <w:rPr>
                      <w:rFonts w:hint="eastAsia" w:ascii="宋体" w:hAnsi="宋体" w:eastAsia="宋体" w:cs="宋体"/>
                      <w:i w:val="0"/>
                      <w:iCs w:val="0"/>
                      <w:color w:val="000000"/>
                      <w:sz w:val="22"/>
                      <w:szCs w:val="22"/>
                      <w:u w:val="none"/>
                    </w:rPr>
                  </w:pPr>
                </w:p>
              </w:tc>
            </w:tr>
            <w:tr w14:paraId="51BDFD1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39B9A6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盐酸</w:t>
                  </w:r>
                </w:p>
              </w:tc>
              <w:tc>
                <w:tcPr>
                  <w:tcW w:w="660" w:type="dxa"/>
                  <w:tcBorders>
                    <w:tl2br w:val="nil"/>
                    <w:tr2bl w:val="nil"/>
                  </w:tcBorders>
                  <w:shd w:val="clear" w:color="auto" w:fill="auto"/>
                  <w:noWrap/>
                  <w:vAlign w:val="center"/>
                </w:tcPr>
                <w:p w14:paraId="3D888F8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w:t>
                  </w:r>
                </w:p>
              </w:tc>
              <w:tc>
                <w:tcPr>
                  <w:tcW w:w="840" w:type="dxa"/>
                  <w:tcBorders>
                    <w:tl2br w:val="nil"/>
                    <w:tr2bl w:val="nil"/>
                  </w:tcBorders>
                  <w:shd w:val="clear" w:color="auto" w:fill="auto"/>
                  <w:noWrap/>
                  <w:vAlign w:val="center"/>
                </w:tcPr>
                <w:p w14:paraId="52D1CFD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17D7810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825" w:type="dxa"/>
                  <w:tcBorders>
                    <w:tl2br w:val="nil"/>
                    <w:tr2bl w:val="nil"/>
                  </w:tcBorders>
                  <w:shd w:val="clear" w:color="auto" w:fill="auto"/>
                  <w:noWrap/>
                  <w:vAlign w:val="center"/>
                </w:tcPr>
                <w:p w14:paraId="623B891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60</w:t>
                  </w:r>
                </w:p>
              </w:tc>
              <w:tc>
                <w:tcPr>
                  <w:tcW w:w="1110" w:type="dxa"/>
                  <w:tcBorders>
                    <w:tl2br w:val="nil"/>
                    <w:tr2bl w:val="nil"/>
                  </w:tcBorders>
                  <w:shd w:val="clear" w:color="auto" w:fill="auto"/>
                  <w:noWrap/>
                  <w:vAlign w:val="center"/>
                </w:tcPr>
                <w:p w14:paraId="770663F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140" w:type="dxa"/>
                  <w:tcBorders>
                    <w:tl2br w:val="nil"/>
                    <w:tr2bl w:val="nil"/>
                  </w:tcBorders>
                  <w:shd w:val="clear" w:color="auto" w:fill="auto"/>
                  <w:noWrap/>
                  <w:vAlign w:val="center"/>
                </w:tcPr>
                <w:p w14:paraId="40AD005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716D6B26">
                  <w:pPr>
                    <w:jc w:val="center"/>
                    <w:rPr>
                      <w:rFonts w:hint="eastAsia" w:ascii="宋体" w:hAnsi="宋体" w:eastAsia="宋体" w:cs="宋体"/>
                      <w:i w:val="0"/>
                      <w:iCs w:val="0"/>
                      <w:color w:val="000000"/>
                      <w:sz w:val="22"/>
                      <w:szCs w:val="22"/>
                      <w:u w:val="none"/>
                    </w:rPr>
                  </w:pPr>
                </w:p>
              </w:tc>
            </w:tr>
            <w:tr w14:paraId="008F6F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8" w:hRule="atLeast"/>
              </w:trPr>
              <w:tc>
                <w:tcPr>
                  <w:tcW w:w="1073" w:type="dxa"/>
                  <w:gridSpan w:val="2"/>
                  <w:tcBorders>
                    <w:tl2br w:val="nil"/>
                    <w:tr2bl w:val="nil"/>
                  </w:tcBorders>
                  <w:shd w:val="clear" w:color="auto" w:fill="auto"/>
                  <w:vAlign w:val="center"/>
                </w:tcPr>
                <w:p w14:paraId="329C72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醋酸硼氢化钠</w:t>
                  </w:r>
                </w:p>
              </w:tc>
              <w:tc>
                <w:tcPr>
                  <w:tcW w:w="660" w:type="dxa"/>
                  <w:tcBorders>
                    <w:tl2br w:val="nil"/>
                    <w:tr2bl w:val="nil"/>
                  </w:tcBorders>
                  <w:shd w:val="clear" w:color="auto" w:fill="auto"/>
                  <w:noWrap/>
                  <w:vAlign w:val="center"/>
                </w:tcPr>
                <w:p w14:paraId="5DCE43E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79DC431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762221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825" w:type="dxa"/>
                  <w:tcBorders>
                    <w:tl2br w:val="nil"/>
                    <w:tr2bl w:val="nil"/>
                  </w:tcBorders>
                  <w:shd w:val="clear" w:color="auto" w:fill="auto"/>
                  <w:noWrap/>
                  <w:vAlign w:val="center"/>
                </w:tcPr>
                <w:p w14:paraId="4D6BEA7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20</w:t>
                  </w:r>
                </w:p>
              </w:tc>
              <w:tc>
                <w:tcPr>
                  <w:tcW w:w="1110" w:type="dxa"/>
                  <w:tcBorders>
                    <w:tl2br w:val="nil"/>
                    <w:tr2bl w:val="nil"/>
                  </w:tcBorders>
                  <w:shd w:val="clear" w:color="auto" w:fill="auto"/>
                  <w:noWrap/>
                  <w:vAlign w:val="center"/>
                </w:tcPr>
                <w:p w14:paraId="7CC7FCD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140" w:type="dxa"/>
                  <w:tcBorders>
                    <w:tl2br w:val="nil"/>
                    <w:tr2bl w:val="nil"/>
                  </w:tcBorders>
                  <w:shd w:val="clear" w:color="auto" w:fill="auto"/>
                  <w:noWrap/>
                  <w:vAlign w:val="center"/>
                </w:tcPr>
                <w:p w14:paraId="6206F74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restart"/>
                  <w:tcBorders>
                    <w:tl2br w:val="nil"/>
                    <w:tr2bl w:val="nil"/>
                  </w:tcBorders>
                  <w:shd w:val="clear" w:color="auto" w:fill="auto"/>
                  <w:vAlign w:val="center"/>
                </w:tcPr>
                <w:p w14:paraId="7191B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辅助材料，还原剂、氧化剂、催化剂等</w:t>
                  </w:r>
                  <w:r>
                    <w:rPr>
                      <w:rFonts w:hint="eastAsia" w:ascii="宋体" w:hAnsi="宋体" w:cs="宋体"/>
                      <w:i w:val="0"/>
                      <w:iCs w:val="0"/>
                      <w:color w:val="000000"/>
                      <w:kern w:val="0"/>
                      <w:sz w:val="22"/>
                      <w:szCs w:val="22"/>
                      <w:u w:val="none"/>
                      <w:lang w:val="en-US" w:eastAsia="zh-CN" w:bidi="ar"/>
                    </w:rPr>
                    <w:t>辅</w:t>
                  </w:r>
                  <w:r>
                    <w:rPr>
                      <w:rFonts w:hint="eastAsia" w:ascii="宋体" w:hAnsi="宋体" w:eastAsia="宋体" w:cs="宋体"/>
                      <w:i w:val="0"/>
                      <w:iCs w:val="0"/>
                      <w:color w:val="000000"/>
                      <w:kern w:val="0"/>
                      <w:sz w:val="22"/>
                      <w:szCs w:val="22"/>
                      <w:u w:val="none"/>
                      <w:lang w:val="en-US" w:eastAsia="zh-CN" w:bidi="ar"/>
                    </w:rPr>
                    <w:t>助化学合成，不参与反应，存储于试剂间</w:t>
                  </w:r>
                </w:p>
              </w:tc>
            </w:tr>
            <w:tr w14:paraId="0668D2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37" w:hRule="atLeast"/>
              </w:trPr>
              <w:tc>
                <w:tcPr>
                  <w:tcW w:w="1073" w:type="dxa"/>
                  <w:gridSpan w:val="2"/>
                  <w:tcBorders>
                    <w:tl2br w:val="nil"/>
                    <w:tr2bl w:val="nil"/>
                  </w:tcBorders>
                  <w:shd w:val="clear" w:color="auto" w:fill="auto"/>
                  <w:vAlign w:val="center"/>
                </w:tcPr>
                <w:p w14:paraId="6D02F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保险粉</w:t>
                  </w:r>
                </w:p>
              </w:tc>
              <w:tc>
                <w:tcPr>
                  <w:tcW w:w="660" w:type="dxa"/>
                  <w:tcBorders>
                    <w:tl2br w:val="nil"/>
                    <w:tr2bl w:val="nil"/>
                  </w:tcBorders>
                  <w:shd w:val="clear" w:color="auto" w:fill="auto"/>
                  <w:noWrap/>
                  <w:vAlign w:val="center"/>
                </w:tcPr>
                <w:p w14:paraId="6E1A7E5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49CEE87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52AC15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04CDC6A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noWrap/>
                  <w:vAlign w:val="center"/>
                </w:tcPr>
                <w:p w14:paraId="7A05287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noWrap/>
                  <w:vAlign w:val="center"/>
                </w:tcPr>
                <w:p w14:paraId="345DE93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4DA5A8C">
                  <w:pPr>
                    <w:jc w:val="center"/>
                    <w:rPr>
                      <w:rFonts w:hint="eastAsia" w:ascii="宋体" w:hAnsi="宋体" w:eastAsia="宋体" w:cs="宋体"/>
                      <w:i w:val="0"/>
                      <w:iCs w:val="0"/>
                      <w:color w:val="000000"/>
                      <w:sz w:val="22"/>
                      <w:szCs w:val="22"/>
                      <w:u w:val="none"/>
                    </w:rPr>
                  </w:pPr>
                </w:p>
              </w:tc>
            </w:tr>
            <w:tr w14:paraId="092426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44CC2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二氧化锰</w:t>
                  </w:r>
                </w:p>
              </w:tc>
              <w:tc>
                <w:tcPr>
                  <w:tcW w:w="660" w:type="dxa"/>
                  <w:tcBorders>
                    <w:tl2br w:val="nil"/>
                    <w:tr2bl w:val="nil"/>
                  </w:tcBorders>
                  <w:shd w:val="clear" w:color="auto" w:fill="auto"/>
                  <w:noWrap/>
                  <w:vAlign w:val="center"/>
                </w:tcPr>
                <w:p w14:paraId="5BAA9AD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37CFBA8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67348EF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825" w:type="dxa"/>
                  <w:tcBorders>
                    <w:tl2br w:val="nil"/>
                    <w:tr2bl w:val="nil"/>
                  </w:tcBorders>
                  <w:shd w:val="clear" w:color="auto" w:fill="auto"/>
                  <w:noWrap/>
                  <w:vAlign w:val="center"/>
                </w:tcPr>
                <w:p w14:paraId="5947EC6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3</w:t>
                  </w:r>
                </w:p>
              </w:tc>
              <w:tc>
                <w:tcPr>
                  <w:tcW w:w="1110" w:type="dxa"/>
                  <w:tcBorders>
                    <w:tl2br w:val="nil"/>
                    <w:tr2bl w:val="nil"/>
                  </w:tcBorders>
                  <w:shd w:val="clear" w:color="auto" w:fill="auto"/>
                  <w:noWrap/>
                  <w:vAlign w:val="center"/>
                </w:tcPr>
                <w:p w14:paraId="0D75C76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140" w:type="dxa"/>
                  <w:tcBorders>
                    <w:tl2br w:val="nil"/>
                    <w:tr2bl w:val="nil"/>
                  </w:tcBorders>
                  <w:shd w:val="clear" w:color="auto" w:fill="auto"/>
                  <w:noWrap/>
                  <w:vAlign w:val="center"/>
                </w:tcPr>
                <w:p w14:paraId="43B3629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6A1CD56B">
                  <w:pPr>
                    <w:jc w:val="center"/>
                    <w:rPr>
                      <w:rFonts w:hint="eastAsia" w:ascii="宋体" w:hAnsi="宋体" w:eastAsia="宋体" w:cs="宋体"/>
                      <w:i w:val="0"/>
                      <w:iCs w:val="0"/>
                      <w:color w:val="000000"/>
                      <w:sz w:val="22"/>
                      <w:szCs w:val="22"/>
                      <w:u w:val="none"/>
                    </w:rPr>
                  </w:pPr>
                </w:p>
              </w:tc>
            </w:tr>
            <w:tr w14:paraId="54AF52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1401" w:hRule="atLeast"/>
              </w:trPr>
              <w:tc>
                <w:tcPr>
                  <w:tcW w:w="1073" w:type="dxa"/>
                  <w:gridSpan w:val="2"/>
                  <w:tcBorders>
                    <w:tl2br w:val="nil"/>
                    <w:tr2bl w:val="nil"/>
                  </w:tcBorders>
                  <w:shd w:val="clear" w:color="auto" w:fill="auto"/>
                  <w:vAlign w:val="center"/>
                </w:tcPr>
                <w:p w14:paraId="76670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戴斯马丁氧化剂（</w:t>
                  </w:r>
                  <w:r>
                    <w:rPr>
                      <w:rFonts w:hint="default" w:ascii="Times New Roman" w:hAnsi="Times New Roman" w:eastAsia="宋体" w:cs="Times New Roman"/>
                      <w:i w:val="0"/>
                      <w:iCs w:val="0"/>
                      <w:color w:val="000000"/>
                      <w:kern w:val="0"/>
                      <w:sz w:val="22"/>
                      <w:szCs w:val="22"/>
                      <w:u w:val="none"/>
                      <w:lang w:val="en-US" w:eastAsia="zh-CN" w:bidi="ar"/>
                    </w:rPr>
                    <w:t>DMP</w:t>
                  </w:r>
                  <w:r>
                    <w:rPr>
                      <w:rFonts w:hint="eastAsia" w:ascii="宋体" w:hAnsi="宋体" w:eastAsia="宋体" w:cs="宋体"/>
                      <w:i w:val="0"/>
                      <w:iCs w:val="0"/>
                      <w:color w:val="000000"/>
                      <w:kern w:val="0"/>
                      <w:sz w:val="22"/>
                      <w:szCs w:val="22"/>
                      <w:u w:val="none"/>
                      <w:lang w:val="en-US" w:eastAsia="zh-CN" w:bidi="ar"/>
                    </w:rPr>
                    <w:t>）</w:t>
                  </w:r>
                </w:p>
              </w:tc>
              <w:tc>
                <w:tcPr>
                  <w:tcW w:w="660" w:type="dxa"/>
                  <w:tcBorders>
                    <w:tl2br w:val="nil"/>
                    <w:tr2bl w:val="nil"/>
                  </w:tcBorders>
                  <w:shd w:val="clear" w:color="auto" w:fill="auto"/>
                  <w:noWrap/>
                  <w:vAlign w:val="center"/>
                </w:tcPr>
                <w:p w14:paraId="27391B0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5F736FB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w:t>
                  </w:r>
                </w:p>
              </w:tc>
              <w:tc>
                <w:tcPr>
                  <w:tcW w:w="1035" w:type="dxa"/>
                  <w:tcBorders>
                    <w:tl2br w:val="nil"/>
                    <w:tr2bl w:val="nil"/>
                  </w:tcBorders>
                  <w:shd w:val="clear" w:color="auto" w:fill="auto"/>
                  <w:noWrap/>
                  <w:vAlign w:val="center"/>
                </w:tcPr>
                <w:p w14:paraId="6D42CB3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467E9E2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4.4</w:t>
                  </w:r>
                </w:p>
              </w:tc>
              <w:tc>
                <w:tcPr>
                  <w:tcW w:w="1110" w:type="dxa"/>
                  <w:tcBorders>
                    <w:tl2br w:val="nil"/>
                    <w:tr2bl w:val="nil"/>
                  </w:tcBorders>
                  <w:shd w:val="clear" w:color="auto" w:fill="auto"/>
                  <w:noWrap/>
                  <w:vAlign w:val="center"/>
                </w:tcPr>
                <w:p w14:paraId="20B16BA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noWrap/>
                  <w:vAlign w:val="center"/>
                </w:tcPr>
                <w:p w14:paraId="4EE3170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72B892C">
                  <w:pPr>
                    <w:jc w:val="center"/>
                    <w:rPr>
                      <w:rFonts w:hint="eastAsia" w:ascii="宋体" w:hAnsi="宋体" w:eastAsia="宋体" w:cs="宋体"/>
                      <w:i w:val="0"/>
                      <w:iCs w:val="0"/>
                      <w:color w:val="000000"/>
                      <w:sz w:val="22"/>
                      <w:szCs w:val="22"/>
                      <w:u w:val="none"/>
                    </w:rPr>
                  </w:pPr>
                </w:p>
              </w:tc>
            </w:tr>
            <w:tr w14:paraId="1F2000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55D80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钯炭</w:t>
                  </w:r>
                </w:p>
              </w:tc>
              <w:tc>
                <w:tcPr>
                  <w:tcW w:w="660" w:type="dxa"/>
                  <w:tcBorders>
                    <w:tl2br w:val="nil"/>
                    <w:tr2bl w:val="nil"/>
                  </w:tcBorders>
                  <w:shd w:val="clear" w:color="auto" w:fill="auto"/>
                  <w:noWrap/>
                  <w:vAlign w:val="center"/>
                </w:tcPr>
                <w:p w14:paraId="604E342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1296E03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7444E04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378F605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noWrap/>
                  <w:vAlign w:val="center"/>
                </w:tcPr>
                <w:p w14:paraId="5A03E53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140" w:type="dxa"/>
                  <w:tcBorders>
                    <w:tl2br w:val="nil"/>
                    <w:tr2bl w:val="nil"/>
                  </w:tcBorders>
                  <w:shd w:val="clear" w:color="auto" w:fill="auto"/>
                  <w:noWrap/>
                  <w:vAlign w:val="center"/>
                </w:tcPr>
                <w:p w14:paraId="050AEA3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333DA410">
                  <w:pPr>
                    <w:jc w:val="center"/>
                    <w:rPr>
                      <w:rFonts w:hint="eastAsia" w:ascii="宋体" w:hAnsi="宋体" w:eastAsia="宋体" w:cs="宋体"/>
                      <w:i w:val="0"/>
                      <w:iCs w:val="0"/>
                      <w:color w:val="000000"/>
                      <w:sz w:val="22"/>
                      <w:szCs w:val="22"/>
                      <w:u w:val="none"/>
                    </w:rPr>
                  </w:pPr>
                </w:p>
              </w:tc>
            </w:tr>
            <w:tr w14:paraId="3C95518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0EC00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二亚苄基丙酮</w:t>
                  </w:r>
                  <w:r>
                    <w:rPr>
                      <w:rFonts w:hint="default" w:ascii="Times New Roman" w:hAnsi="Times New Roman" w:eastAsia="宋体" w:cs="Times New Roman"/>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二钯</w:t>
                  </w:r>
                </w:p>
              </w:tc>
              <w:tc>
                <w:tcPr>
                  <w:tcW w:w="660" w:type="dxa"/>
                  <w:tcBorders>
                    <w:tl2br w:val="nil"/>
                    <w:tr2bl w:val="nil"/>
                  </w:tcBorders>
                  <w:shd w:val="clear" w:color="auto" w:fill="auto"/>
                  <w:noWrap/>
                  <w:vAlign w:val="center"/>
                </w:tcPr>
                <w:p w14:paraId="2E88224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2355BAC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569C62A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825" w:type="dxa"/>
                  <w:tcBorders>
                    <w:tl2br w:val="nil"/>
                    <w:tr2bl w:val="nil"/>
                  </w:tcBorders>
                  <w:shd w:val="clear" w:color="auto" w:fill="auto"/>
                  <w:noWrap/>
                  <w:vAlign w:val="center"/>
                </w:tcPr>
                <w:p w14:paraId="22FCF46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w:t>
                  </w:r>
                </w:p>
              </w:tc>
              <w:tc>
                <w:tcPr>
                  <w:tcW w:w="1110" w:type="dxa"/>
                  <w:tcBorders>
                    <w:tl2br w:val="nil"/>
                    <w:tr2bl w:val="nil"/>
                  </w:tcBorders>
                  <w:shd w:val="clear" w:color="auto" w:fill="auto"/>
                  <w:noWrap/>
                  <w:vAlign w:val="center"/>
                </w:tcPr>
                <w:p w14:paraId="57E7808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140" w:type="dxa"/>
                  <w:tcBorders>
                    <w:tl2br w:val="nil"/>
                    <w:tr2bl w:val="nil"/>
                  </w:tcBorders>
                  <w:shd w:val="clear" w:color="auto" w:fill="auto"/>
                  <w:noWrap/>
                  <w:vAlign w:val="center"/>
                </w:tcPr>
                <w:p w14:paraId="21F1130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4A5C9D4D">
                  <w:pPr>
                    <w:jc w:val="center"/>
                    <w:rPr>
                      <w:rFonts w:hint="eastAsia" w:ascii="宋体" w:hAnsi="宋体" w:eastAsia="宋体" w:cs="宋体"/>
                      <w:i w:val="0"/>
                      <w:iCs w:val="0"/>
                      <w:color w:val="000000"/>
                      <w:sz w:val="22"/>
                      <w:szCs w:val="22"/>
                      <w:u w:val="none"/>
                    </w:rPr>
                  </w:pPr>
                </w:p>
              </w:tc>
            </w:tr>
            <w:tr w14:paraId="02E286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844" w:hRule="atLeast"/>
              </w:trPr>
              <w:tc>
                <w:tcPr>
                  <w:tcW w:w="1073" w:type="dxa"/>
                  <w:gridSpan w:val="2"/>
                  <w:tcBorders>
                    <w:tl2br w:val="nil"/>
                    <w:tr2bl w:val="nil"/>
                  </w:tcBorders>
                  <w:shd w:val="clear" w:color="auto" w:fill="auto"/>
                  <w:vAlign w:val="center"/>
                </w:tcPr>
                <w:p w14:paraId="211A146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羟基苯并三唑</w:t>
                  </w:r>
                </w:p>
              </w:tc>
              <w:tc>
                <w:tcPr>
                  <w:tcW w:w="660" w:type="dxa"/>
                  <w:tcBorders>
                    <w:tl2br w:val="nil"/>
                    <w:tr2bl w:val="nil"/>
                  </w:tcBorders>
                  <w:shd w:val="clear" w:color="auto" w:fill="auto"/>
                  <w:noWrap/>
                  <w:vAlign w:val="center"/>
                </w:tcPr>
                <w:p w14:paraId="4BEEE68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4E53801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8F5858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10B008C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noWrap/>
                  <w:vAlign w:val="center"/>
                </w:tcPr>
                <w:p w14:paraId="18CB58F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140" w:type="dxa"/>
                  <w:tcBorders>
                    <w:tl2br w:val="nil"/>
                    <w:tr2bl w:val="nil"/>
                  </w:tcBorders>
                  <w:shd w:val="clear" w:color="auto" w:fill="auto"/>
                  <w:noWrap/>
                  <w:vAlign w:val="center"/>
                </w:tcPr>
                <w:p w14:paraId="04B17F5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8D327F3">
                  <w:pPr>
                    <w:jc w:val="center"/>
                    <w:rPr>
                      <w:rFonts w:hint="eastAsia" w:ascii="宋体" w:hAnsi="宋体" w:eastAsia="宋体" w:cs="宋体"/>
                      <w:i w:val="0"/>
                      <w:iCs w:val="0"/>
                      <w:color w:val="000000"/>
                      <w:sz w:val="22"/>
                      <w:szCs w:val="22"/>
                      <w:u w:val="none"/>
                    </w:rPr>
                  </w:pPr>
                </w:p>
              </w:tc>
            </w:tr>
            <w:tr w14:paraId="6F2D76F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72811B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硼氢化钠</w:t>
                  </w:r>
                </w:p>
              </w:tc>
              <w:tc>
                <w:tcPr>
                  <w:tcW w:w="660" w:type="dxa"/>
                  <w:tcBorders>
                    <w:tl2br w:val="nil"/>
                    <w:tr2bl w:val="nil"/>
                  </w:tcBorders>
                  <w:shd w:val="clear" w:color="auto" w:fill="auto"/>
                  <w:noWrap/>
                  <w:vAlign w:val="center"/>
                </w:tcPr>
                <w:p w14:paraId="749192C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52D335E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3EB7F41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825" w:type="dxa"/>
                  <w:tcBorders>
                    <w:tl2br w:val="nil"/>
                    <w:tr2bl w:val="nil"/>
                  </w:tcBorders>
                  <w:shd w:val="clear" w:color="auto" w:fill="auto"/>
                  <w:noWrap/>
                  <w:vAlign w:val="center"/>
                </w:tcPr>
                <w:p w14:paraId="5DEAF0A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2</w:t>
                  </w:r>
                </w:p>
              </w:tc>
              <w:tc>
                <w:tcPr>
                  <w:tcW w:w="1110" w:type="dxa"/>
                  <w:tcBorders>
                    <w:tl2br w:val="nil"/>
                    <w:tr2bl w:val="nil"/>
                  </w:tcBorders>
                  <w:shd w:val="clear" w:color="auto" w:fill="auto"/>
                  <w:noWrap/>
                  <w:vAlign w:val="center"/>
                </w:tcPr>
                <w:p w14:paraId="7428F6A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140" w:type="dxa"/>
                  <w:tcBorders>
                    <w:tl2br w:val="nil"/>
                    <w:tr2bl w:val="nil"/>
                  </w:tcBorders>
                  <w:shd w:val="clear" w:color="auto" w:fill="auto"/>
                  <w:noWrap/>
                  <w:vAlign w:val="center"/>
                </w:tcPr>
                <w:p w14:paraId="008BE08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restart"/>
                  <w:tcBorders>
                    <w:tl2br w:val="nil"/>
                    <w:tr2bl w:val="nil"/>
                  </w:tcBorders>
                  <w:shd w:val="clear" w:color="auto" w:fill="auto"/>
                  <w:vAlign w:val="center"/>
                </w:tcPr>
                <w:p w14:paraId="62AB04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辅助材料，</w:t>
                  </w:r>
                  <w:r>
                    <w:rPr>
                      <w:rFonts w:hint="eastAsia" w:ascii="宋体" w:hAnsi="宋体" w:cs="宋体"/>
                      <w:i w:val="0"/>
                      <w:iCs w:val="0"/>
                      <w:color w:val="000000"/>
                      <w:kern w:val="0"/>
                      <w:sz w:val="22"/>
                      <w:szCs w:val="22"/>
                      <w:u w:val="none"/>
                      <w:lang w:val="en-US" w:eastAsia="zh-CN" w:bidi="ar"/>
                    </w:rPr>
                    <w:t>危险</w:t>
                  </w:r>
                  <w:r>
                    <w:rPr>
                      <w:rFonts w:hint="eastAsia" w:ascii="宋体" w:hAnsi="宋体" w:eastAsia="宋体" w:cs="宋体"/>
                      <w:i w:val="0"/>
                      <w:iCs w:val="0"/>
                      <w:color w:val="000000"/>
                      <w:kern w:val="0"/>
                      <w:sz w:val="22"/>
                      <w:szCs w:val="22"/>
                      <w:u w:val="none"/>
                      <w:lang w:val="en-US" w:eastAsia="zh-CN" w:bidi="ar"/>
                    </w:rPr>
                    <w:t>化学品辅助化学合成，不参与反应，丙酮氰醇、氰化钠存放剧毒品库</w:t>
                  </w:r>
                </w:p>
              </w:tc>
            </w:tr>
            <w:tr w14:paraId="138B67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309" w:hRule="atLeast"/>
              </w:trPr>
              <w:tc>
                <w:tcPr>
                  <w:tcW w:w="1073" w:type="dxa"/>
                  <w:gridSpan w:val="2"/>
                  <w:tcBorders>
                    <w:tl2br w:val="nil"/>
                    <w:tr2bl w:val="nil"/>
                  </w:tcBorders>
                  <w:shd w:val="clear" w:color="auto" w:fill="auto"/>
                  <w:vAlign w:val="center"/>
                </w:tcPr>
                <w:p w14:paraId="15D25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锌粉</w:t>
                  </w:r>
                </w:p>
              </w:tc>
              <w:tc>
                <w:tcPr>
                  <w:tcW w:w="660" w:type="dxa"/>
                  <w:tcBorders>
                    <w:tl2br w:val="nil"/>
                    <w:tr2bl w:val="nil"/>
                  </w:tcBorders>
                  <w:shd w:val="clear" w:color="auto" w:fill="auto"/>
                  <w:noWrap/>
                  <w:vAlign w:val="center"/>
                </w:tcPr>
                <w:p w14:paraId="11A9DF6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5351BB7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169310E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825" w:type="dxa"/>
                  <w:tcBorders>
                    <w:tl2br w:val="nil"/>
                    <w:tr2bl w:val="nil"/>
                  </w:tcBorders>
                  <w:shd w:val="clear" w:color="auto" w:fill="auto"/>
                  <w:noWrap/>
                  <w:vAlign w:val="center"/>
                </w:tcPr>
                <w:p w14:paraId="0F49577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5</w:t>
                  </w:r>
                </w:p>
              </w:tc>
              <w:tc>
                <w:tcPr>
                  <w:tcW w:w="1110" w:type="dxa"/>
                  <w:tcBorders>
                    <w:tl2br w:val="nil"/>
                    <w:tr2bl w:val="nil"/>
                  </w:tcBorders>
                  <w:shd w:val="clear" w:color="auto" w:fill="auto"/>
                  <w:noWrap/>
                  <w:vAlign w:val="center"/>
                </w:tcPr>
                <w:p w14:paraId="5726985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140" w:type="dxa"/>
                  <w:tcBorders>
                    <w:tl2br w:val="nil"/>
                    <w:tr2bl w:val="nil"/>
                  </w:tcBorders>
                  <w:shd w:val="clear" w:color="auto" w:fill="auto"/>
                  <w:noWrap/>
                  <w:vAlign w:val="center"/>
                </w:tcPr>
                <w:p w14:paraId="37F1160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06E9BFFC">
                  <w:pPr>
                    <w:jc w:val="center"/>
                    <w:rPr>
                      <w:rFonts w:hint="eastAsia" w:ascii="宋体" w:hAnsi="宋体" w:eastAsia="宋体" w:cs="宋体"/>
                      <w:i w:val="0"/>
                      <w:iCs w:val="0"/>
                      <w:color w:val="000000"/>
                      <w:sz w:val="22"/>
                      <w:szCs w:val="22"/>
                      <w:u w:val="none"/>
                    </w:rPr>
                  </w:pPr>
                </w:p>
              </w:tc>
            </w:tr>
            <w:tr w14:paraId="38A501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566" w:hRule="atLeast"/>
              </w:trPr>
              <w:tc>
                <w:tcPr>
                  <w:tcW w:w="1073" w:type="dxa"/>
                  <w:gridSpan w:val="2"/>
                  <w:tcBorders>
                    <w:tl2br w:val="nil"/>
                    <w:tr2bl w:val="nil"/>
                  </w:tcBorders>
                  <w:shd w:val="clear" w:color="auto" w:fill="auto"/>
                  <w:vAlign w:val="center"/>
                </w:tcPr>
                <w:p w14:paraId="415A37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丙酮氰醇</w:t>
                  </w:r>
                </w:p>
              </w:tc>
              <w:tc>
                <w:tcPr>
                  <w:tcW w:w="660" w:type="dxa"/>
                  <w:tcBorders>
                    <w:tl2br w:val="nil"/>
                    <w:tr2bl w:val="nil"/>
                  </w:tcBorders>
                  <w:shd w:val="clear" w:color="auto" w:fill="auto"/>
                  <w:noWrap/>
                  <w:vAlign w:val="center"/>
                </w:tcPr>
                <w:p w14:paraId="1542E42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2D27F5D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1747AA6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825" w:type="dxa"/>
                  <w:tcBorders>
                    <w:tl2br w:val="nil"/>
                    <w:tr2bl w:val="nil"/>
                  </w:tcBorders>
                  <w:shd w:val="clear" w:color="auto" w:fill="auto"/>
                  <w:noWrap/>
                  <w:vAlign w:val="center"/>
                </w:tcPr>
                <w:p w14:paraId="738CD43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10</w:t>
                  </w:r>
                </w:p>
              </w:tc>
              <w:tc>
                <w:tcPr>
                  <w:tcW w:w="1110" w:type="dxa"/>
                  <w:tcBorders>
                    <w:tl2br w:val="nil"/>
                    <w:tr2bl w:val="nil"/>
                  </w:tcBorders>
                  <w:shd w:val="clear" w:color="auto" w:fill="auto"/>
                  <w:noWrap/>
                  <w:vAlign w:val="center"/>
                </w:tcPr>
                <w:p w14:paraId="420939D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140" w:type="dxa"/>
                  <w:tcBorders>
                    <w:tl2br w:val="nil"/>
                    <w:tr2bl w:val="nil"/>
                  </w:tcBorders>
                  <w:shd w:val="clear" w:color="auto" w:fill="auto"/>
                  <w:noWrap/>
                  <w:vAlign w:val="center"/>
                </w:tcPr>
                <w:p w14:paraId="260A9B0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20kg/</w:t>
                  </w:r>
                  <w:r>
                    <w:rPr>
                      <w:rFonts w:hint="eastAsia" w:ascii="宋体" w:hAnsi="宋体" w:eastAsia="宋体" w:cs="宋体"/>
                      <w:i w:val="0"/>
                      <w:iCs w:val="0"/>
                      <w:color w:val="000000"/>
                      <w:kern w:val="0"/>
                      <w:sz w:val="22"/>
                      <w:szCs w:val="22"/>
                      <w:u w:val="none"/>
                      <w:lang w:val="en-US" w:eastAsia="zh-CN" w:bidi="ar"/>
                    </w:rPr>
                    <w:t>桶</w:t>
                  </w:r>
                </w:p>
              </w:tc>
              <w:tc>
                <w:tcPr>
                  <w:tcW w:w="1210" w:type="dxa"/>
                  <w:vMerge w:val="continue"/>
                  <w:tcBorders>
                    <w:tl2br w:val="nil"/>
                    <w:tr2bl w:val="nil"/>
                  </w:tcBorders>
                  <w:shd w:val="clear" w:color="auto" w:fill="auto"/>
                  <w:vAlign w:val="center"/>
                </w:tcPr>
                <w:p w14:paraId="74CF4E7C">
                  <w:pPr>
                    <w:jc w:val="center"/>
                    <w:rPr>
                      <w:rFonts w:hint="eastAsia" w:ascii="宋体" w:hAnsi="宋体" w:eastAsia="宋体" w:cs="宋体"/>
                      <w:i w:val="0"/>
                      <w:iCs w:val="0"/>
                      <w:color w:val="000000"/>
                      <w:sz w:val="22"/>
                      <w:szCs w:val="22"/>
                      <w:u w:val="none"/>
                    </w:rPr>
                  </w:pPr>
                </w:p>
              </w:tc>
            </w:tr>
            <w:tr w14:paraId="0C66E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After w:val="1"/>
                <w:wAfter w:w="5" w:type="dxa"/>
                <w:trHeight w:val="497" w:hRule="atLeast"/>
              </w:trPr>
              <w:tc>
                <w:tcPr>
                  <w:tcW w:w="1073" w:type="dxa"/>
                  <w:gridSpan w:val="2"/>
                  <w:tcBorders>
                    <w:tl2br w:val="nil"/>
                    <w:tr2bl w:val="nil"/>
                  </w:tcBorders>
                  <w:shd w:val="clear" w:color="auto" w:fill="auto"/>
                  <w:vAlign w:val="center"/>
                </w:tcPr>
                <w:p w14:paraId="073B1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氰化钠</w:t>
                  </w:r>
                </w:p>
              </w:tc>
              <w:tc>
                <w:tcPr>
                  <w:tcW w:w="660" w:type="dxa"/>
                  <w:tcBorders>
                    <w:tl2br w:val="nil"/>
                    <w:tr2bl w:val="nil"/>
                  </w:tcBorders>
                  <w:shd w:val="clear" w:color="auto" w:fill="auto"/>
                  <w:noWrap/>
                  <w:vAlign w:val="center"/>
                </w:tcPr>
                <w:p w14:paraId="0753779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kg/a</w:t>
                  </w:r>
                </w:p>
              </w:tc>
              <w:tc>
                <w:tcPr>
                  <w:tcW w:w="840" w:type="dxa"/>
                  <w:tcBorders>
                    <w:tl2br w:val="nil"/>
                    <w:tr2bl w:val="nil"/>
                  </w:tcBorders>
                  <w:shd w:val="clear" w:color="auto" w:fill="auto"/>
                  <w:noWrap/>
                  <w:vAlign w:val="center"/>
                </w:tcPr>
                <w:p w14:paraId="5589769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1035" w:type="dxa"/>
                  <w:tcBorders>
                    <w:tl2br w:val="nil"/>
                    <w:tr2bl w:val="nil"/>
                  </w:tcBorders>
                  <w:shd w:val="clear" w:color="auto" w:fill="auto"/>
                  <w:noWrap/>
                  <w:vAlign w:val="center"/>
                </w:tcPr>
                <w:p w14:paraId="0548EB2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825" w:type="dxa"/>
                  <w:tcBorders>
                    <w:tl2br w:val="nil"/>
                    <w:tr2bl w:val="nil"/>
                  </w:tcBorders>
                  <w:shd w:val="clear" w:color="auto" w:fill="auto"/>
                  <w:noWrap/>
                  <w:vAlign w:val="center"/>
                </w:tcPr>
                <w:p w14:paraId="5B5A590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w:t>
                  </w:r>
                </w:p>
              </w:tc>
              <w:tc>
                <w:tcPr>
                  <w:tcW w:w="1110" w:type="dxa"/>
                  <w:tcBorders>
                    <w:tl2br w:val="nil"/>
                    <w:tr2bl w:val="nil"/>
                  </w:tcBorders>
                  <w:shd w:val="clear" w:color="auto" w:fill="auto"/>
                  <w:noWrap/>
                  <w:vAlign w:val="center"/>
                </w:tcPr>
                <w:p w14:paraId="64C0B6A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140" w:type="dxa"/>
                  <w:tcBorders>
                    <w:tl2br w:val="nil"/>
                    <w:tr2bl w:val="nil"/>
                  </w:tcBorders>
                  <w:shd w:val="clear" w:color="auto" w:fill="auto"/>
                  <w:noWrap/>
                  <w:vAlign w:val="center"/>
                </w:tcPr>
                <w:p w14:paraId="080A36C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500g/</w:t>
                  </w:r>
                  <w:r>
                    <w:rPr>
                      <w:rFonts w:hint="eastAsia" w:ascii="宋体" w:hAnsi="宋体" w:eastAsia="宋体" w:cs="宋体"/>
                      <w:i w:val="0"/>
                      <w:iCs w:val="0"/>
                      <w:color w:val="000000"/>
                      <w:kern w:val="0"/>
                      <w:sz w:val="22"/>
                      <w:szCs w:val="22"/>
                      <w:u w:val="none"/>
                      <w:lang w:val="en-US" w:eastAsia="zh-CN" w:bidi="ar"/>
                    </w:rPr>
                    <w:t>瓶</w:t>
                  </w:r>
                </w:p>
              </w:tc>
              <w:tc>
                <w:tcPr>
                  <w:tcW w:w="1210" w:type="dxa"/>
                  <w:vMerge w:val="continue"/>
                  <w:tcBorders>
                    <w:tl2br w:val="nil"/>
                    <w:tr2bl w:val="nil"/>
                  </w:tcBorders>
                  <w:shd w:val="clear" w:color="auto" w:fill="auto"/>
                  <w:vAlign w:val="center"/>
                </w:tcPr>
                <w:p w14:paraId="1BED4CAC">
                  <w:pPr>
                    <w:jc w:val="center"/>
                    <w:rPr>
                      <w:rFonts w:hint="eastAsia" w:ascii="宋体" w:hAnsi="宋体" w:eastAsia="宋体" w:cs="宋体"/>
                      <w:i w:val="0"/>
                      <w:iCs w:val="0"/>
                      <w:color w:val="000000"/>
                      <w:sz w:val="22"/>
                      <w:szCs w:val="22"/>
                      <w:u w:val="none"/>
                    </w:rPr>
                  </w:pPr>
                </w:p>
              </w:tc>
            </w:tr>
            <w:tr w14:paraId="06F46E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gridBefore w:val="1"/>
                <w:wBefore w:w="3" w:type="dxa"/>
                <w:trHeight w:val="2569" w:hRule="atLeast"/>
              </w:trPr>
              <w:tc>
                <w:tcPr>
                  <w:tcW w:w="7900" w:type="dxa"/>
                  <w:gridSpan w:val="9"/>
                  <w:tcBorders>
                    <w:tl2br w:val="nil"/>
                    <w:tr2bl w:val="nil"/>
                  </w:tcBorders>
                  <w:shd w:val="clear" w:color="auto" w:fill="auto"/>
                  <w:vAlign w:val="center"/>
                </w:tcPr>
                <w:p w14:paraId="08F78C86">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FF"/>
                      <w:kern w:val="0"/>
                      <w:sz w:val="22"/>
                      <w:szCs w:val="22"/>
                      <w:u w:val="none"/>
                      <w:lang w:val="en-US" w:eastAsia="zh-CN" w:bidi="ar"/>
                    </w:rPr>
                    <w:t>注：本项目所使用化学品中，仅二氯甲烷属于《重点管控新污染物清单（</w:t>
                  </w:r>
                  <w:r>
                    <w:rPr>
                      <w:rFonts w:hint="default" w:ascii="Times New Roman" w:hAnsi="Times New Roman" w:eastAsia="宋体" w:cs="Times New Roman"/>
                      <w:i w:val="0"/>
                      <w:iCs w:val="0"/>
                      <w:color w:val="0000FF"/>
                      <w:kern w:val="0"/>
                      <w:sz w:val="22"/>
                      <w:szCs w:val="22"/>
                      <w:u w:val="none"/>
                      <w:lang w:val="en-US" w:eastAsia="zh-CN" w:bidi="ar"/>
                    </w:rPr>
                    <w:t>2023</w:t>
                  </w:r>
                  <w:r>
                    <w:rPr>
                      <w:rFonts w:hint="eastAsia" w:ascii="宋体" w:hAnsi="宋体" w:eastAsia="宋体" w:cs="宋体"/>
                      <w:i w:val="0"/>
                      <w:iCs w:val="0"/>
                      <w:color w:val="0000FF"/>
                      <w:kern w:val="0"/>
                      <w:sz w:val="22"/>
                      <w:szCs w:val="22"/>
                      <w:u w:val="none"/>
                      <w:lang w:val="en-US" w:eastAsia="zh-CN" w:bidi="ar"/>
                    </w:rPr>
                    <w:t>年版）》、《优先控制化学品名录（第一批）》之列，氰化钠</w:t>
                  </w:r>
                  <w:r>
                    <w:rPr>
                      <w:rFonts w:hint="eastAsia" w:ascii="宋体" w:hAnsi="宋体" w:cs="宋体"/>
                      <w:i w:val="0"/>
                      <w:iCs w:val="0"/>
                      <w:color w:val="0000FF"/>
                      <w:kern w:val="0"/>
                      <w:sz w:val="22"/>
                      <w:szCs w:val="22"/>
                      <w:u w:val="none"/>
                      <w:lang w:val="en-US" w:eastAsia="zh-CN" w:bidi="ar"/>
                    </w:rPr>
                    <w:t>、</w:t>
                  </w:r>
                  <w:r>
                    <w:rPr>
                      <w:rFonts w:hint="eastAsia" w:ascii="宋体" w:hAnsi="宋体" w:eastAsia="宋体" w:cs="宋体"/>
                      <w:i w:val="0"/>
                      <w:iCs w:val="0"/>
                      <w:color w:val="0000FF"/>
                      <w:kern w:val="0"/>
                      <w:sz w:val="22"/>
                      <w:szCs w:val="22"/>
                      <w:u w:val="none"/>
                      <w:lang w:val="en-US" w:eastAsia="zh-CN" w:bidi="ar"/>
                    </w:rPr>
                    <w:t>丙酮氰醇属于《优先控制化学品名录（第二批）》；本项目所使用化学品中盐酸属于《易制毒化学品管理条例》中易制毒化学品，存放于易制毒室，本项目所使用的硝酸属于《易制爆危险化学品名录（</w:t>
                  </w:r>
                  <w:r>
                    <w:rPr>
                      <w:rFonts w:hint="default" w:ascii="Times New Roman" w:hAnsi="Times New Roman" w:eastAsia="宋体" w:cs="Times New Roman"/>
                      <w:i w:val="0"/>
                      <w:iCs w:val="0"/>
                      <w:color w:val="0000FF"/>
                      <w:kern w:val="0"/>
                      <w:sz w:val="22"/>
                      <w:szCs w:val="22"/>
                      <w:u w:val="none"/>
                      <w:lang w:val="en-US" w:eastAsia="zh-CN" w:bidi="ar"/>
                    </w:rPr>
                    <w:t>2017</w:t>
                  </w:r>
                  <w:r>
                    <w:rPr>
                      <w:rFonts w:hint="eastAsia" w:ascii="宋体" w:hAnsi="宋体" w:eastAsia="宋体" w:cs="宋体"/>
                      <w:i w:val="0"/>
                      <w:iCs w:val="0"/>
                      <w:color w:val="0000FF"/>
                      <w:kern w:val="0"/>
                      <w:sz w:val="22"/>
                      <w:szCs w:val="22"/>
                      <w:u w:val="none"/>
                      <w:lang w:val="en-US" w:eastAsia="zh-CN" w:bidi="ar"/>
                    </w:rPr>
                    <w:t>年版）》中易制爆化学品，存放易制爆室，本项目丙酮氰醇、氰化钠属于《</w:t>
                  </w:r>
                  <w:r>
                    <w:rPr>
                      <w:rFonts w:hint="eastAsia" w:ascii="宋体" w:hAnsi="宋体" w:eastAsia="宋体" w:cs="宋体"/>
                      <w:i w:val="0"/>
                      <w:iCs w:val="0"/>
                      <w:color w:val="0000FF"/>
                      <w:kern w:val="0"/>
                      <w:sz w:val="24"/>
                      <w:szCs w:val="24"/>
                      <w:u w:val="none"/>
                      <w:lang w:val="en-US" w:eastAsia="zh-CN" w:bidi="ar"/>
                    </w:rPr>
                    <w:t>剧毒化学品名录</w:t>
                  </w:r>
                  <w:r>
                    <w:rPr>
                      <w:rFonts w:hint="eastAsia" w:ascii="宋体" w:hAnsi="宋体" w:eastAsia="宋体" w:cs="宋体"/>
                      <w:i w:val="0"/>
                      <w:iCs w:val="0"/>
                      <w:color w:val="0000FF"/>
                      <w:kern w:val="0"/>
                      <w:sz w:val="22"/>
                      <w:szCs w:val="22"/>
                      <w:u w:val="none"/>
                      <w:lang w:val="en-US" w:eastAsia="zh-CN" w:bidi="ar"/>
                    </w:rPr>
                    <w:t>》中剧毒化学品，存放剧毒品库。所有原辅材料均不在《中国严格限制的有毒化学品名录》（</w:t>
                  </w:r>
                  <w:r>
                    <w:rPr>
                      <w:rFonts w:hint="default" w:ascii="Times New Roman" w:hAnsi="Times New Roman" w:eastAsia="宋体" w:cs="Times New Roman"/>
                      <w:i w:val="0"/>
                      <w:iCs w:val="0"/>
                      <w:color w:val="0000FF"/>
                      <w:kern w:val="0"/>
                      <w:sz w:val="22"/>
                      <w:szCs w:val="22"/>
                      <w:u w:val="none"/>
                      <w:lang w:val="en-US" w:eastAsia="zh-CN" w:bidi="ar"/>
                    </w:rPr>
                    <w:t>2023</w:t>
                  </w:r>
                  <w:r>
                    <w:rPr>
                      <w:rFonts w:hint="eastAsia" w:ascii="宋体" w:hAnsi="宋体" w:eastAsia="宋体" w:cs="宋体"/>
                      <w:i w:val="0"/>
                      <w:iCs w:val="0"/>
                      <w:color w:val="0000FF"/>
                      <w:kern w:val="0"/>
                      <w:sz w:val="22"/>
                      <w:szCs w:val="22"/>
                      <w:u w:val="none"/>
                      <w:lang w:val="en-US" w:eastAsia="zh-CN" w:bidi="ar"/>
                    </w:rPr>
                    <w:t>年）。</w:t>
                  </w:r>
                  <w:r>
                    <w:rPr>
                      <w:rFonts w:hint="eastAsia" w:ascii="宋体" w:hAnsi="宋体" w:eastAsia="宋体" w:cs="宋体"/>
                      <w:i w:val="0"/>
                      <w:iCs w:val="0"/>
                      <w:color w:val="0000FF"/>
                      <w:kern w:val="0"/>
                      <w:sz w:val="22"/>
                      <w:szCs w:val="22"/>
                      <w:u w:val="none"/>
                      <w:lang w:val="en-US" w:eastAsia="zh-CN" w:bidi="ar"/>
                    </w:rPr>
                    <w:br w:type="textWrapping"/>
                  </w:r>
                  <w:r>
                    <w:rPr>
                      <w:rFonts w:hint="eastAsia" w:ascii="宋体" w:hAnsi="宋体" w:eastAsia="宋体" w:cs="宋体"/>
                      <w:i w:val="0"/>
                      <w:iCs w:val="0"/>
                      <w:color w:val="0000FF"/>
                      <w:kern w:val="0"/>
                      <w:sz w:val="22"/>
                      <w:szCs w:val="22"/>
                      <w:u w:val="none"/>
                      <w:lang w:val="en-US" w:eastAsia="zh-CN" w:bidi="ar"/>
                    </w:rPr>
                    <w:t>本项目在二氯甲烷、氰化钠</w:t>
                  </w:r>
                  <w:r>
                    <w:rPr>
                      <w:rFonts w:hint="eastAsia" w:ascii="宋体" w:hAnsi="宋体" w:cs="宋体"/>
                      <w:i w:val="0"/>
                      <w:iCs w:val="0"/>
                      <w:color w:val="0000FF"/>
                      <w:kern w:val="0"/>
                      <w:sz w:val="22"/>
                      <w:szCs w:val="22"/>
                      <w:u w:val="none"/>
                      <w:lang w:val="en-US" w:eastAsia="zh-CN" w:bidi="ar"/>
                    </w:rPr>
                    <w:t>、</w:t>
                  </w:r>
                  <w:r>
                    <w:rPr>
                      <w:rFonts w:hint="eastAsia" w:ascii="宋体" w:hAnsi="宋体" w:eastAsia="宋体" w:cs="宋体"/>
                      <w:i w:val="0"/>
                      <w:iCs w:val="0"/>
                      <w:color w:val="0000FF"/>
                      <w:kern w:val="0"/>
                      <w:sz w:val="22"/>
                      <w:szCs w:val="22"/>
                      <w:u w:val="none"/>
                      <w:lang w:val="en-US" w:eastAsia="zh-CN" w:bidi="ar"/>
                    </w:rPr>
                    <w:t>丙酮氰醇的储存</w:t>
                  </w:r>
                  <w:r>
                    <w:rPr>
                      <w:rFonts w:hint="eastAsia" w:ascii="宋体" w:hAnsi="宋体" w:cs="宋体"/>
                      <w:i w:val="0"/>
                      <w:iCs w:val="0"/>
                      <w:color w:val="0000FF"/>
                      <w:kern w:val="0"/>
                      <w:sz w:val="22"/>
                      <w:szCs w:val="22"/>
                      <w:u w:val="none"/>
                      <w:lang w:val="en-US" w:eastAsia="zh-CN" w:bidi="ar"/>
                    </w:rPr>
                    <w:t>、</w:t>
                  </w:r>
                  <w:r>
                    <w:rPr>
                      <w:rFonts w:hint="eastAsia" w:ascii="宋体" w:hAnsi="宋体" w:eastAsia="宋体" w:cs="宋体"/>
                      <w:i w:val="0"/>
                      <w:iCs w:val="0"/>
                      <w:color w:val="0000FF"/>
                      <w:kern w:val="0"/>
                      <w:sz w:val="22"/>
                      <w:szCs w:val="22"/>
                      <w:u w:val="none"/>
                      <w:lang w:val="en-US" w:eastAsia="zh-CN" w:bidi="ar"/>
                    </w:rPr>
                    <w:t>使用、</w:t>
                  </w:r>
                  <w:r>
                    <w:rPr>
                      <w:rFonts w:hint="eastAsia" w:ascii="宋体" w:hAnsi="宋体" w:cs="宋体"/>
                      <w:i w:val="0"/>
                      <w:iCs w:val="0"/>
                      <w:color w:val="0000FF"/>
                      <w:kern w:val="0"/>
                      <w:sz w:val="22"/>
                      <w:szCs w:val="22"/>
                      <w:u w:val="none"/>
                      <w:lang w:val="en-US" w:eastAsia="zh-CN" w:bidi="ar"/>
                    </w:rPr>
                    <w:t>收集等环节</w:t>
                  </w:r>
                  <w:r>
                    <w:rPr>
                      <w:rFonts w:hint="eastAsia" w:ascii="宋体" w:hAnsi="宋体" w:eastAsia="宋体" w:cs="宋体"/>
                      <w:i w:val="0"/>
                      <w:iCs w:val="0"/>
                      <w:color w:val="0000FF"/>
                      <w:kern w:val="0"/>
                      <w:sz w:val="22"/>
                      <w:szCs w:val="22"/>
                      <w:u w:val="none"/>
                      <w:lang w:val="en-US" w:eastAsia="zh-CN" w:bidi="ar"/>
                    </w:rPr>
                    <w:t>等</w:t>
                  </w:r>
                  <w:r>
                    <w:rPr>
                      <w:rFonts w:hint="eastAsia" w:ascii="宋体" w:hAnsi="宋体" w:cs="宋体"/>
                      <w:color w:val="0000FF"/>
                      <w:kern w:val="0"/>
                      <w:sz w:val="22"/>
                      <w:szCs w:val="22"/>
                      <w:u w:val="none"/>
                      <w:lang w:bidi="ar"/>
                    </w:rPr>
                    <w:t>各个环节</w:t>
                  </w:r>
                  <w:r>
                    <w:rPr>
                      <w:rFonts w:hint="eastAsia" w:ascii="宋体" w:hAnsi="宋体" w:cs="宋体"/>
                      <w:color w:val="0000FF"/>
                      <w:kern w:val="0"/>
                      <w:sz w:val="22"/>
                      <w:szCs w:val="22"/>
                      <w:u w:val="none"/>
                      <w:lang w:val="en-US" w:eastAsia="zh-CN" w:bidi="ar"/>
                    </w:rPr>
                    <w:t>做好</w:t>
                  </w:r>
                  <w:r>
                    <w:rPr>
                      <w:rFonts w:hint="eastAsia" w:ascii="宋体" w:hAnsi="宋体" w:cs="宋体"/>
                      <w:color w:val="0000FF"/>
                      <w:kern w:val="0"/>
                      <w:sz w:val="22"/>
                      <w:szCs w:val="22"/>
                      <w:u w:val="none"/>
                      <w:lang w:bidi="ar"/>
                    </w:rPr>
                    <w:t>环境风险防范措施，将其环境风险降至最低</w:t>
                  </w:r>
                  <w:r>
                    <w:rPr>
                      <w:rFonts w:hint="eastAsia" w:ascii="宋体" w:hAnsi="宋体" w:cs="宋体"/>
                      <w:color w:val="0000FF"/>
                      <w:kern w:val="0"/>
                      <w:sz w:val="22"/>
                      <w:szCs w:val="22"/>
                      <w:u w:val="none"/>
                      <w:lang w:eastAsia="zh-CN" w:bidi="ar"/>
                    </w:rPr>
                    <w:t>。</w:t>
                  </w:r>
                </w:p>
              </w:tc>
            </w:tr>
          </w:tbl>
          <w:p w14:paraId="4EDA3AF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jc w:val="both"/>
              <w:textAlignment w:val="auto"/>
              <w:rPr>
                <w:rFonts w:hint="eastAsia" w:ascii="Times New Roman" w:hAnsi="Times New Roman" w:eastAsia="宋体" w:cs="Times New Roman"/>
                <w:b w:val="0"/>
                <w:bCs w:val="0"/>
                <w:color w:val="auto"/>
                <w:sz w:val="20"/>
                <w:szCs w:val="20"/>
                <w:highlight w:val="none"/>
                <w:lang w:val="en-US" w:eastAsia="zh-CN"/>
              </w:rPr>
            </w:pPr>
            <w:r>
              <w:rPr>
                <w:rFonts w:hint="eastAsia" w:cs="Times New Roman"/>
                <w:b w:val="0"/>
                <w:bCs w:val="0"/>
                <w:color w:val="auto"/>
                <w:sz w:val="20"/>
                <w:szCs w:val="20"/>
                <w:highlight w:val="none"/>
                <w:lang w:val="en-US" w:eastAsia="zh-CN"/>
              </w:rPr>
              <w:t>（</w:t>
            </w:r>
            <w:r>
              <w:rPr>
                <w:rFonts w:hint="eastAsia" w:ascii="Times New Roman" w:hAnsi="Times New Roman" w:eastAsia="宋体" w:cs="Times New Roman"/>
                <w:b w:val="0"/>
                <w:bCs w:val="0"/>
                <w:color w:val="auto"/>
                <w:sz w:val="20"/>
                <w:szCs w:val="20"/>
                <w:highlight w:val="none"/>
                <w:lang w:val="en-US" w:eastAsia="zh-CN"/>
              </w:rPr>
              <w:t>注：</w:t>
            </w:r>
            <w:r>
              <w:rPr>
                <w:rFonts w:hint="eastAsia" w:cs="Times New Roman"/>
                <w:b w:val="0"/>
                <w:bCs w:val="0"/>
                <w:color w:val="auto"/>
                <w:sz w:val="20"/>
                <w:szCs w:val="20"/>
                <w:highlight w:val="none"/>
                <w:lang w:val="en-US" w:eastAsia="zh-CN"/>
              </w:rPr>
              <w:t>本项目原辅材料清单试剂以参与反应或辅助反应为准，清洗使用的有机试剂不作为原辅材料，故未纳入原辅材料消耗清单；</w:t>
            </w:r>
            <w:r>
              <w:rPr>
                <w:rFonts w:hint="eastAsia"/>
                <w:color w:val="auto"/>
                <w:sz w:val="20"/>
                <w:szCs w:val="20"/>
                <w:highlight w:val="none"/>
              </w:rPr>
              <w:t>.本次评价以建设单位提供数据为准，并以最大量进行计算</w:t>
            </w:r>
            <w:r>
              <w:rPr>
                <w:rFonts w:hint="eastAsia" w:cs="Times New Roman"/>
                <w:b w:val="0"/>
                <w:bCs w:val="0"/>
                <w:color w:val="auto"/>
                <w:sz w:val="20"/>
                <w:szCs w:val="20"/>
                <w:highlight w:val="none"/>
                <w:lang w:val="en-US" w:eastAsia="zh-CN"/>
              </w:rPr>
              <w:t>）</w:t>
            </w:r>
          </w:p>
          <w:p w14:paraId="1ED1E59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color w:val="auto"/>
                <w:sz w:val="24"/>
                <w:szCs w:val="24"/>
                <w:highlight w:val="none"/>
                <w:lang w:val="en-US" w:eastAsia="zh-CN"/>
              </w:rPr>
            </w:pPr>
          </w:p>
          <w:p w14:paraId="1CBA891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color w:val="auto"/>
                <w:sz w:val="24"/>
                <w:szCs w:val="24"/>
                <w:highlight w:val="none"/>
                <w:lang w:val="en-US" w:eastAsia="zh-CN"/>
              </w:rPr>
              <w:t>表2-</w:t>
            </w:r>
            <w:r>
              <w:rPr>
                <w:rFonts w:hint="eastAsia" w:ascii="Times New Roman" w:hAnsi="Times New Roman" w:eastAsia="宋体" w:cs="Times New Roman"/>
                <w:b/>
                <w:color w:val="auto"/>
                <w:sz w:val="24"/>
                <w:szCs w:val="24"/>
                <w:highlight w:val="none"/>
                <w:lang w:val="en-US" w:eastAsia="zh-CN"/>
              </w:rPr>
              <w:t>3</w:t>
            </w:r>
            <w:r>
              <w:rPr>
                <w:rFonts w:hint="default" w:ascii="Times New Roman" w:hAnsi="Times New Roman" w:eastAsia="宋体" w:cs="Times New Roman"/>
                <w:b/>
                <w:color w:val="auto"/>
                <w:sz w:val="24"/>
                <w:szCs w:val="24"/>
                <w:highlight w:val="none"/>
                <w:lang w:val="en-US" w:eastAsia="zh-CN"/>
              </w:rPr>
              <w:t xml:space="preserve">  项目</w:t>
            </w:r>
            <w:r>
              <w:rPr>
                <w:rFonts w:hint="eastAsia" w:cs="Times New Roman"/>
                <w:b/>
                <w:color w:val="auto"/>
                <w:sz w:val="24"/>
                <w:szCs w:val="24"/>
                <w:highlight w:val="none"/>
                <w:lang w:val="en-US" w:eastAsia="zh-CN"/>
              </w:rPr>
              <w:t>建成后</w:t>
            </w:r>
            <w:r>
              <w:rPr>
                <w:rFonts w:hint="default" w:ascii="Times New Roman" w:hAnsi="Times New Roman" w:eastAsia="宋体" w:cs="Times New Roman"/>
                <w:b/>
                <w:color w:val="auto"/>
                <w:sz w:val="24"/>
                <w:szCs w:val="24"/>
                <w:highlight w:val="none"/>
                <w:lang w:val="en-US" w:eastAsia="zh-CN"/>
              </w:rPr>
              <w:t>主要能源消耗一览表</w:t>
            </w:r>
          </w:p>
          <w:tbl>
            <w:tblPr>
              <w:tblStyle w:val="30"/>
              <w:tblW w:w="494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89"/>
              <w:gridCol w:w="1585"/>
              <w:gridCol w:w="2779"/>
              <w:gridCol w:w="2859"/>
            </w:tblGrid>
            <w:tr w14:paraId="0204A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789" w:type="dxa"/>
                  <w:tcBorders>
                    <w:tl2br w:val="nil"/>
                    <w:tr2bl w:val="nil"/>
                  </w:tcBorders>
                  <w:noWrap/>
                  <w:tcMar>
                    <w:top w:w="15" w:type="dxa"/>
                    <w:left w:w="15" w:type="dxa"/>
                    <w:right w:w="15" w:type="dxa"/>
                  </w:tcMar>
                  <w:vAlign w:val="center"/>
                </w:tcPr>
                <w:p w14:paraId="5B335035">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1585" w:type="dxa"/>
                  <w:tcBorders>
                    <w:tl2br w:val="nil"/>
                    <w:tr2bl w:val="nil"/>
                  </w:tcBorders>
                  <w:noWrap/>
                  <w:tcMar>
                    <w:top w:w="15" w:type="dxa"/>
                    <w:left w:w="15" w:type="dxa"/>
                    <w:right w:w="15" w:type="dxa"/>
                  </w:tcMar>
                  <w:vAlign w:val="center"/>
                </w:tcPr>
                <w:p w14:paraId="169FA132">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b/>
                      <w:bCs/>
                      <w:color w:val="auto"/>
                      <w:kern w:val="0"/>
                      <w:sz w:val="21"/>
                      <w:szCs w:val="21"/>
                      <w:highlight w:val="none"/>
                      <w:lang w:eastAsia="zh-CN"/>
                    </w:rPr>
                  </w:pPr>
                  <w:r>
                    <w:rPr>
                      <w:rFonts w:hint="default" w:ascii="Times New Roman" w:hAnsi="Times New Roman" w:cs="Times New Roman"/>
                      <w:b/>
                      <w:bCs/>
                      <w:color w:val="auto"/>
                      <w:kern w:val="0"/>
                      <w:sz w:val="21"/>
                      <w:szCs w:val="21"/>
                      <w:highlight w:val="none"/>
                      <w:lang w:val="en-US" w:eastAsia="zh-CN"/>
                    </w:rPr>
                    <w:t>类别</w:t>
                  </w:r>
                </w:p>
              </w:tc>
              <w:tc>
                <w:tcPr>
                  <w:tcW w:w="2779" w:type="dxa"/>
                  <w:tcBorders>
                    <w:tl2br w:val="nil"/>
                    <w:tr2bl w:val="nil"/>
                  </w:tcBorders>
                  <w:noWrap/>
                  <w:tcMar>
                    <w:top w:w="15" w:type="dxa"/>
                    <w:left w:w="15" w:type="dxa"/>
                    <w:right w:w="15" w:type="dxa"/>
                  </w:tcMar>
                  <w:vAlign w:val="center"/>
                </w:tcPr>
                <w:p w14:paraId="5F636168">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kern w:val="0"/>
                      <w:sz w:val="21"/>
                      <w:szCs w:val="21"/>
                      <w:highlight w:val="none"/>
                    </w:rPr>
                    <w:t>年消耗量</w:t>
                  </w:r>
                </w:p>
              </w:tc>
              <w:tc>
                <w:tcPr>
                  <w:tcW w:w="2858" w:type="dxa"/>
                  <w:tcBorders>
                    <w:tl2br w:val="nil"/>
                    <w:tr2bl w:val="nil"/>
                  </w:tcBorders>
                  <w:noWrap/>
                  <w:tcMar>
                    <w:top w:w="15" w:type="dxa"/>
                    <w:left w:w="15" w:type="dxa"/>
                    <w:right w:w="15" w:type="dxa"/>
                  </w:tcMar>
                  <w:vAlign w:val="center"/>
                </w:tcPr>
                <w:p w14:paraId="4F6F5E68">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来源</w:t>
                  </w:r>
                </w:p>
              </w:tc>
            </w:tr>
            <w:tr w14:paraId="748EE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9" w:type="dxa"/>
                  <w:tcBorders>
                    <w:tl2br w:val="nil"/>
                    <w:tr2bl w:val="nil"/>
                  </w:tcBorders>
                  <w:noWrap/>
                  <w:tcMar>
                    <w:top w:w="15" w:type="dxa"/>
                    <w:left w:w="15" w:type="dxa"/>
                    <w:right w:w="15" w:type="dxa"/>
                  </w:tcMar>
                  <w:vAlign w:val="center"/>
                </w:tcPr>
                <w:p w14:paraId="5ACA1609">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0"/>
                      <w:sz w:val="22"/>
                      <w:szCs w:val="22"/>
                      <w:highlight w:val="none"/>
                      <w:lang w:eastAsia="zh-CN"/>
                    </w:rPr>
                  </w:pPr>
                  <w:r>
                    <w:rPr>
                      <w:rFonts w:hint="default" w:ascii="Times New Roman" w:hAnsi="Times New Roman" w:cs="Times New Roman"/>
                      <w:color w:val="auto"/>
                      <w:kern w:val="0"/>
                      <w:sz w:val="22"/>
                      <w:szCs w:val="22"/>
                      <w:highlight w:val="none"/>
                      <w:lang w:val="en-US" w:eastAsia="zh-CN"/>
                    </w:rPr>
                    <w:t>1</w:t>
                  </w:r>
                </w:p>
              </w:tc>
              <w:tc>
                <w:tcPr>
                  <w:tcW w:w="1585" w:type="dxa"/>
                  <w:tcBorders>
                    <w:tl2br w:val="nil"/>
                    <w:tr2bl w:val="nil"/>
                  </w:tcBorders>
                  <w:noWrap w:val="0"/>
                  <w:tcMar>
                    <w:top w:w="15" w:type="dxa"/>
                    <w:left w:w="15" w:type="dxa"/>
                    <w:right w:w="15" w:type="dxa"/>
                  </w:tcMar>
                  <w:vAlign w:val="center"/>
                </w:tcPr>
                <w:p w14:paraId="15CEBAFF">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水</w:t>
                  </w:r>
                </w:p>
              </w:tc>
              <w:tc>
                <w:tcPr>
                  <w:tcW w:w="2779" w:type="dxa"/>
                  <w:tcBorders>
                    <w:tl2br w:val="nil"/>
                    <w:tr2bl w:val="nil"/>
                  </w:tcBorders>
                  <w:noWrap/>
                  <w:tcMar>
                    <w:top w:w="15" w:type="dxa"/>
                    <w:left w:w="15" w:type="dxa"/>
                    <w:right w:w="15" w:type="dxa"/>
                  </w:tcMar>
                  <w:vAlign w:val="center"/>
                </w:tcPr>
                <w:p w14:paraId="2CFBE805">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highlight w:val="none"/>
                      <w:lang w:val="en-US"/>
                    </w:rPr>
                  </w:pPr>
                  <w:r>
                    <w:rPr>
                      <w:rFonts w:hint="eastAsia" w:cs="Times New Roman"/>
                      <w:b w:val="0"/>
                      <w:bCs w:val="0"/>
                      <w:color w:val="auto"/>
                      <w:sz w:val="21"/>
                      <w:szCs w:val="21"/>
                      <w:highlight w:val="none"/>
                      <w:lang w:val="en-US" w:eastAsia="zh-CN"/>
                    </w:rPr>
                    <w:t>1947</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3</w:t>
                  </w:r>
                </w:p>
              </w:tc>
              <w:tc>
                <w:tcPr>
                  <w:tcW w:w="2858" w:type="dxa"/>
                  <w:tcBorders>
                    <w:tl2br w:val="nil"/>
                    <w:tr2bl w:val="nil"/>
                  </w:tcBorders>
                  <w:noWrap/>
                  <w:tcMar>
                    <w:top w:w="15" w:type="dxa"/>
                    <w:left w:w="15" w:type="dxa"/>
                    <w:right w:w="15" w:type="dxa"/>
                  </w:tcMar>
                  <w:vAlign w:val="center"/>
                </w:tcPr>
                <w:p w14:paraId="52C2D6C8">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b w:val="0"/>
                      <w:bCs w:val="0"/>
                      <w:color w:val="auto"/>
                      <w:sz w:val="21"/>
                      <w:szCs w:val="21"/>
                      <w:highlight w:val="none"/>
                      <w:lang w:val="en-US" w:eastAsia="zh-CN"/>
                    </w:rPr>
                    <w:t>依托</w:t>
                  </w:r>
                  <w:r>
                    <w:rPr>
                      <w:rFonts w:hint="eastAsia" w:cs="Times New Roman"/>
                      <w:b w:val="0"/>
                      <w:bCs w:val="0"/>
                      <w:color w:val="auto"/>
                      <w:sz w:val="21"/>
                      <w:szCs w:val="21"/>
                      <w:highlight w:val="none"/>
                      <w:lang w:val="en-US" w:eastAsia="zh-CN"/>
                    </w:rPr>
                    <w:t>园区</w:t>
                  </w:r>
                  <w:r>
                    <w:rPr>
                      <w:rFonts w:hint="default" w:ascii="Times New Roman" w:hAnsi="Times New Roman" w:eastAsia="宋体" w:cs="Times New Roman"/>
                      <w:b w:val="0"/>
                      <w:bCs w:val="0"/>
                      <w:color w:val="auto"/>
                      <w:sz w:val="21"/>
                      <w:szCs w:val="21"/>
                      <w:highlight w:val="none"/>
                      <w:lang w:val="en-US" w:eastAsia="zh-CN"/>
                    </w:rPr>
                    <w:t>给水管网</w:t>
                  </w:r>
                </w:p>
              </w:tc>
            </w:tr>
            <w:tr w14:paraId="212B7D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89" w:type="dxa"/>
                  <w:tcBorders>
                    <w:tl2br w:val="nil"/>
                    <w:tr2bl w:val="nil"/>
                  </w:tcBorders>
                  <w:noWrap/>
                  <w:tcMar>
                    <w:top w:w="15" w:type="dxa"/>
                    <w:left w:w="15" w:type="dxa"/>
                    <w:right w:w="15" w:type="dxa"/>
                  </w:tcMar>
                  <w:vAlign w:val="center"/>
                </w:tcPr>
                <w:p w14:paraId="4E374963">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kern w:val="0"/>
                      <w:sz w:val="22"/>
                      <w:szCs w:val="22"/>
                      <w:highlight w:val="none"/>
                      <w:lang w:eastAsia="zh-CN"/>
                    </w:rPr>
                  </w:pPr>
                  <w:r>
                    <w:rPr>
                      <w:rFonts w:hint="default" w:ascii="Times New Roman" w:hAnsi="Times New Roman" w:cs="Times New Roman"/>
                      <w:color w:val="auto"/>
                      <w:kern w:val="0"/>
                      <w:sz w:val="22"/>
                      <w:szCs w:val="22"/>
                      <w:highlight w:val="none"/>
                      <w:lang w:val="en-US" w:eastAsia="zh-CN"/>
                    </w:rPr>
                    <w:t>2</w:t>
                  </w:r>
                </w:p>
              </w:tc>
              <w:tc>
                <w:tcPr>
                  <w:tcW w:w="1585" w:type="dxa"/>
                  <w:tcBorders>
                    <w:tl2br w:val="nil"/>
                    <w:tr2bl w:val="nil"/>
                  </w:tcBorders>
                  <w:noWrap w:val="0"/>
                  <w:tcMar>
                    <w:top w:w="15" w:type="dxa"/>
                    <w:left w:w="15" w:type="dxa"/>
                    <w:right w:w="15" w:type="dxa"/>
                  </w:tcMar>
                  <w:vAlign w:val="center"/>
                </w:tcPr>
                <w:p w14:paraId="2CC24046">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highlight w:val="none"/>
                    </w:rPr>
                  </w:pPr>
                  <w:r>
                    <w:rPr>
                      <w:rFonts w:hint="default" w:ascii="Times New Roman" w:hAnsi="Times New Roman" w:cs="Times New Roman"/>
                      <w:color w:val="auto"/>
                      <w:sz w:val="22"/>
                      <w:szCs w:val="22"/>
                      <w:highlight w:val="none"/>
                    </w:rPr>
                    <w:t>电</w:t>
                  </w:r>
                </w:p>
              </w:tc>
              <w:tc>
                <w:tcPr>
                  <w:tcW w:w="2779" w:type="dxa"/>
                  <w:tcBorders>
                    <w:tl2br w:val="nil"/>
                    <w:tr2bl w:val="nil"/>
                  </w:tcBorders>
                  <w:noWrap/>
                  <w:tcMar>
                    <w:top w:w="15" w:type="dxa"/>
                    <w:left w:w="15" w:type="dxa"/>
                    <w:right w:w="15" w:type="dxa"/>
                  </w:tcMar>
                  <w:vAlign w:val="center"/>
                </w:tcPr>
                <w:p w14:paraId="6DD7D67B">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color w:val="auto"/>
                      <w:sz w:val="22"/>
                      <w:szCs w:val="22"/>
                      <w:highlight w:val="none"/>
                      <w:lang w:val="en-US"/>
                    </w:rPr>
                  </w:pPr>
                  <w:r>
                    <w:rPr>
                      <w:rFonts w:hint="eastAsia" w:cs="Times New Roman"/>
                      <w:color w:val="auto"/>
                      <w:sz w:val="21"/>
                      <w:szCs w:val="21"/>
                      <w:highlight w:val="none"/>
                      <w:lang w:val="en-US" w:eastAsia="zh-CN"/>
                    </w:rPr>
                    <w:t>35</w:t>
                  </w:r>
                  <w:r>
                    <w:rPr>
                      <w:rFonts w:hint="default" w:ascii="Times New Roman" w:hAnsi="Times New Roman" w:cs="Times New Roman"/>
                      <w:color w:val="auto"/>
                      <w:sz w:val="21"/>
                      <w:szCs w:val="21"/>
                      <w:highlight w:val="none"/>
                      <w:lang w:val="en-US" w:eastAsia="zh-CN"/>
                    </w:rPr>
                    <w:t>万kW·h</w:t>
                  </w:r>
                </w:p>
              </w:tc>
              <w:tc>
                <w:tcPr>
                  <w:tcW w:w="2858" w:type="dxa"/>
                  <w:tcBorders>
                    <w:tl2br w:val="nil"/>
                    <w:tr2bl w:val="nil"/>
                  </w:tcBorders>
                  <w:noWrap/>
                  <w:tcMar>
                    <w:top w:w="15" w:type="dxa"/>
                    <w:left w:w="15" w:type="dxa"/>
                    <w:right w:w="15" w:type="dxa"/>
                  </w:tcMar>
                  <w:vAlign w:val="center"/>
                </w:tcPr>
                <w:p w14:paraId="40974445">
                  <w:pPr>
                    <w:keepNext w:val="0"/>
                    <w:keepLines w:val="0"/>
                    <w:pageBreakBefore w:val="0"/>
                    <w:widowControl/>
                    <w:suppressLineNumbers w:val="0"/>
                    <w:kinsoku/>
                    <w:wordWrap/>
                    <w:overflowPunct/>
                    <w:topLinePunct w:val="0"/>
                    <w:autoSpaceDE/>
                    <w:autoSpaceDN/>
                    <w:bidi w:val="0"/>
                    <w:adjustRightInd/>
                    <w:snapToGrid/>
                    <w:jc w:val="center"/>
                    <w:rPr>
                      <w:rFonts w:hint="default" w:ascii="Times New Roman" w:hAnsi="Times New Roman" w:cs="Times New Roman"/>
                      <w:color w:val="auto"/>
                      <w:kern w:val="0"/>
                      <w:sz w:val="22"/>
                      <w:szCs w:val="22"/>
                      <w:highlight w:val="none"/>
                    </w:rPr>
                  </w:pPr>
                  <w:r>
                    <w:rPr>
                      <w:rFonts w:hint="default" w:ascii="Times New Roman" w:hAnsi="Times New Roman" w:cs="Times New Roman"/>
                      <w:bCs/>
                      <w:color w:val="auto"/>
                      <w:kern w:val="21"/>
                      <w:highlight w:val="none"/>
                    </w:rPr>
                    <w:t>区域电网接入</w:t>
                  </w:r>
                </w:p>
              </w:tc>
            </w:tr>
          </w:tbl>
          <w:p w14:paraId="0C91133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上述主要</w:t>
            </w:r>
            <w:r>
              <w:rPr>
                <w:rFonts w:hint="eastAsia" w:ascii="宋体" w:hAnsi="宋体" w:eastAsia="宋体" w:cs="宋体"/>
                <w:b w:val="0"/>
                <w:bCs w:val="0"/>
                <w:color w:val="auto"/>
                <w:sz w:val="24"/>
                <w:szCs w:val="24"/>
                <w:highlight w:val="none"/>
                <w:lang w:val="en-US" w:eastAsia="zh-CN"/>
              </w:rPr>
              <w:t>化学试剂的理化特性见表</w:t>
            </w:r>
            <w:r>
              <w:rPr>
                <w:rFonts w:hint="default" w:ascii="Times New Roman" w:hAnsi="Times New Roman" w:eastAsia="宋体" w:cs="Times New Roman"/>
                <w:b w:val="0"/>
                <w:bCs w:val="0"/>
                <w:color w:val="auto"/>
                <w:sz w:val="24"/>
                <w:szCs w:val="24"/>
                <w:highlight w:val="none"/>
                <w:lang w:val="en-US" w:eastAsia="zh-CN"/>
              </w:rPr>
              <w:t>2-</w:t>
            </w:r>
            <w:r>
              <w:rPr>
                <w:rFonts w:hint="eastAsia" w:ascii="Times New Roman" w:hAnsi="Times New Roman" w:cs="Times New Roman"/>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lang w:val="en-US" w:eastAsia="zh-CN"/>
              </w:rPr>
              <w:t>。</w:t>
            </w:r>
          </w:p>
          <w:p w14:paraId="00247D0A">
            <w:pPr>
              <w:pStyle w:val="65"/>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表2-</w:t>
            </w:r>
            <w:r>
              <w:rPr>
                <w:rFonts w:hint="eastAsia" w:ascii="Times New Roman" w:hAnsi="Times New Roman" w:eastAsia="宋体" w:cs="Times New Roman"/>
                <w:b/>
                <w:bCs/>
                <w:color w:val="auto"/>
                <w:kern w:val="2"/>
                <w:sz w:val="24"/>
                <w:szCs w:val="24"/>
                <w:highlight w:val="none"/>
                <w:lang w:val="en-US" w:eastAsia="zh-CN" w:bidi="ar-SA"/>
              </w:rPr>
              <w:t>4</w:t>
            </w:r>
            <w:r>
              <w:rPr>
                <w:rFonts w:hint="default" w:ascii="Times New Roman" w:hAnsi="Times New Roman" w:eastAsia="宋体" w:cs="Times New Roman"/>
                <w:b/>
                <w:bCs/>
                <w:color w:val="auto"/>
                <w:kern w:val="2"/>
                <w:sz w:val="24"/>
                <w:szCs w:val="24"/>
                <w:highlight w:val="none"/>
                <w:lang w:val="en-US" w:eastAsia="zh-CN" w:bidi="ar-SA"/>
              </w:rPr>
              <w:t xml:space="preserve"> </w:t>
            </w:r>
            <w:r>
              <w:rPr>
                <w:rFonts w:hint="default" w:ascii="Times New Roman" w:hAnsi="Times New Roman" w:eastAsia="宋体"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lang w:val="en-US" w:eastAsia="zh-CN"/>
              </w:rPr>
              <w:t>主要</w:t>
            </w:r>
            <w:r>
              <w:rPr>
                <w:rFonts w:hint="eastAsia" w:ascii="Times New Roman" w:hAnsi="Times New Roman" w:eastAsia="宋体" w:cs="Times New Roman"/>
                <w:b/>
                <w:bCs/>
                <w:color w:val="auto"/>
                <w:sz w:val="24"/>
                <w:szCs w:val="24"/>
                <w:highlight w:val="none"/>
                <w:lang w:val="en-US" w:eastAsia="zh-CN"/>
              </w:rPr>
              <w:t>化学试剂理化性质一览表</w:t>
            </w:r>
          </w:p>
          <w:tbl>
            <w:tblPr>
              <w:tblStyle w:val="80"/>
              <w:tblpPr w:leftFromText="180" w:rightFromText="180" w:vertAnchor="text" w:horzAnchor="page" w:tblpX="70" w:tblpY="305"/>
              <w:tblOverlap w:val="never"/>
              <w:tblW w:w="4979"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57" w:type="dxa"/>
                <w:bottom w:w="0" w:type="dxa"/>
                <w:right w:w="57" w:type="dxa"/>
              </w:tblCellMar>
            </w:tblPr>
            <w:tblGrid>
              <w:gridCol w:w="1044"/>
              <w:gridCol w:w="1142"/>
              <w:gridCol w:w="2758"/>
              <w:gridCol w:w="1296"/>
              <w:gridCol w:w="1618"/>
            </w:tblGrid>
            <w:tr w14:paraId="6B3FC2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CCC22C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highlight w:val="none"/>
                    </w:rPr>
                  </w:pPr>
                  <w:r>
                    <w:rPr>
                      <w:rFonts w:hint="default" w:ascii="Times New Roman" w:hAnsi="Times New Roman" w:cs="Times New Roman"/>
                      <w:b/>
                      <w:bCs/>
                      <w:snapToGrid w:val="0"/>
                      <w:color w:val="auto"/>
                      <w:spacing w:val="3"/>
                      <w:sz w:val="21"/>
                      <w:szCs w:val="21"/>
                      <w:highlight w:val="none"/>
                    </w:rPr>
                    <w:t>名称</w:t>
                  </w:r>
                </w:p>
              </w:tc>
              <w:tc>
                <w:tcPr>
                  <w:tcW w:w="1142" w:type="dxa"/>
                  <w:tcBorders>
                    <w:tl2br w:val="nil"/>
                    <w:tr2bl w:val="nil"/>
                  </w:tcBorders>
                  <w:noWrap w:val="0"/>
                  <w:vAlign w:val="center"/>
                </w:tcPr>
                <w:p w14:paraId="2BB7B72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highlight w:val="none"/>
                    </w:rPr>
                  </w:pPr>
                  <w:r>
                    <w:rPr>
                      <w:rFonts w:hint="default" w:ascii="Times New Roman" w:hAnsi="Times New Roman" w:cs="Times New Roman"/>
                      <w:b/>
                      <w:bCs/>
                      <w:snapToGrid w:val="0"/>
                      <w:color w:val="auto"/>
                      <w:spacing w:val="3"/>
                      <w:sz w:val="21"/>
                      <w:szCs w:val="21"/>
                      <w:highlight w:val="none"/>
                    </w:rPr>
                    <w:t>分子式</w:t>
                  </w:r>
                </w:p>
              </w:tc>
              <w:tc>
                <w:tcPr>
                  <w:tcW w:w="2758" w:type="dxa"/>
                  <w:tcBorders>
                    <w:tl2br w:val="nil"/>
                    <w:tr2bl w:val="nil"/>
                  </w:tcBorders>
                  <w:noWrap w:val="0"/>
                  <w:vAlign w:val="center"/>
                </w:tcPr>
                <w:p w14:paraId="5B0127F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highlight w:val="none"/>
                    </w:rPr>
                  </w:pPr>
                  <w:r>
                    <w:rPr>
                      <w:rFonts w:hint="default" w:ascii="Times New Roman" w:hAnsi="Times New Roman" w:cs="Times New Roman"/>
                      <w:b/>
                      <w:bCs/>
                      <w:snapToGrid w:val="0"/>
                      <w:color w:val="auto"/>
                      <w:spacing w:val="3"/>
                      <w:sz w:val="21"/>
                      <w:szCs w:val="21"/>
                      <w:highlight w:val="none"/>
                    </w:rPr>
                    <w:t>理化性质</w:t>
                  </w:r>
                </w:p>
              </w:tc>
              <w:tc>
                <w:tcPr>
                  <w:tcW w:w="1296" w:type="dxa"/>
                  <w:tcBorders>
                    <w:tl2br w:val="nil"/>
                    <w:tr2bl w:val="nil"/>
                  </w:tcBorders>
                  <w:noWrap w:val="0"/>
                  <w:vAlign w:val="center"/>
                </w:tcPr>
                <w:p w14:paraId="6FB1D690">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highlight w:val="none"/>
                    </w:rPr>
                  </w:pPr>
                  <w:r>
                    <w:rPr>
                      <w:rFonts w:hint="default" w:ascii="Times New Roman" w:hAnsi="Times New Roman" w:cs="Times New Roman"/>
                      <w:b/>
                      <w:bCs/>
                      <w:snapToGrid w:val="0"/>
                      <w:color w:val="auto"/>
                      <w:spacing w:val="3"/>
                      <w:sz w:val="21"/>
                      <w:szCs w:val="21"/>
                      <w:highlight w:val="none"/>
                    </w:rPr>
                    <w:t>燃烧爆炸性</w:t>
                  </w:r>
                </w:p>
              </w:tc>
              <w:tc>
                <w:tcPr>
                  <w:tcW w:w="1618" w:type="dxa"/>
                  <w:tcBorders>
                    <w:tl2br w:val="nil"/>
                    <w:tr2bl w:val="nil"/>
                  </w:tcBorders>
                  <w:noWrap w:val="0"/>
                  <w:vAlign w:val="center"/>
                </w:tcPr>
                <w:p w14:paraId="5A1896A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b/>
                      <w:bCs/>
                      <w:snapToGrid w:val="0"/>
                      <w:color w:val="auto"/>
                      <w:spacing w:val="3"/>
                      <w:sz w:val="21"/>
                      <w:szCs w:val="21"/>
                      <w:highlight w:val="none"/>
                    </w:rPr>
                  </w:pPr>
                  <w:r>
                    <w:rPr>
                      <w:rFonts w:hint="default" w:ascii="Times New Roman" w:hAnsi="Times New Roman" w:cs="Times New Roman"/>
                      <w:b/>
                      <w:bCs/>
                      <w:snapToGrid w:val="0"/>
                      <w:color w:val="auto"/>
                      <w:spacing w:val="3"/>
                      <w:sz w:val="21"/>
                      <w:szCs w:val="21"/>
                      <w:highlight w:val="none"/>
                    </w:rPr>
                    <w:t>毒理毒性</w:t>
                  </w:r>
                </w:p>
              </w:tc>
            </w:tr>
            <w:tr w14:paraId="2D25D1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1559490F">
                  <w:pPr>
                    <w:pStyle w:val="83"/>
                    <w:keepNext w:val="0"/>
                    <w:keepLines w:val="0"/>
                    <w:pageBreakBefore w:val="0"/>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宋体" w:cs="Times New Roman"/>
                      <w:snapToGrid w:val="0"/>
                      <w:color w:val="auto"/>
                      <w:spacing w:val="-3"/>
                      <w:sz w:val="21"/>
                      <w:szCs w:val="21"/>
                      <w:highlight w:val="none"/>
                      <w:lang w:val="en-US" w:eastAsia="zh-CN"/>
                    </w:rPr>
                    <w:t>石油醚</w:t>
                  </w:r>
                </w:p>
              </w:tc>
              <w:tc>
                <w:tcPr>
                  <w:tcW w:w="1142" w:type="dxa"/>
                  <w:tcBorders>
                    <w:tl2br w:val="nil"/>
                    <w:tr2bl w:val="nil"/>
                  </w:tcBorders>
                  <w:noWrap w:val="0"/>
                  <w:vAlign w:val="center"/>
                </w:tcPr>
                <w:p w14:paraId="5D7F02D0">
                  <w:pPr>
                    <w:pStyle w:val="83"/>
                    <w:keepNext w:val="0"/>
                    <w:keepLines w:val="0"/>
                    <w:pageBreakBefore w:val="0"/>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5</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12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baseline"/>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6</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14</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baseline"/>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7</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16</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等</w:t>
                  </w:r>
                </w:p>
              </w:tc>
              <w:tc>
                <w:tcPr>
                  <w:tcW w:w="2758" w:type="dxa"/>
                  <w:tcBorders>
                    <w:tl2br w:val="nil"/>
                    <w:tr2bl w:val="nil"/>
                  </w:tcBorders>
                  <w:noWrap w:val="0"/>
                  <w:vAlign w:val="center"/>
                </w:tcPr>
                <w:p w14:paraId="6B34C09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ascii="Times New Roman" w:hAnsi="Times New Roman" w:eastAsia="宋体" w:cs="Times New Roman"/>
                      <w:snapToGrid w:val="0"/>
                      <w:color w:val="auto"/>
                      <w:spacing w:val="3"/>
                      <w:sz w:val="21"/>
                      <w:szCs w:val="21"/>
                      <w:highlight w:val="none"/>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主要成分：</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"https://baike.baidu.com/item/%E6%88%8A%E7%83%B7/16218?fromModule=lemma_inlink" \t "https://baike.baidu.com/item/%E7%9F%B3%E6%B2%B9%E9%86%9A/_blank"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戊烷</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、己烷</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密度：0.64～0.66g/</w:t>
                  </w:r>
                  <w:r>
                    <w:rPr>
                      <w:rFonts w:hint="eastAsia" w:cs="Times New Roman"/>
                      <w:i w:val="0"/>
                      <w:iCs w:val="0"/>
                      <w:caps w:val="0"/>
                      <w:snapToGrid w:val="0"/>
                      <w:color w:val="auto"/>
                      <w:spacing w:val="0"/>
                      <w:sz w:val="21"/>
                      <w:szCs w:val="21"/>
                      <w:highlight w:val="none"/>
                      <w:shd w:val="clear" w:color="auto" w:fill="FFFFFF"/>
                      <w:vertAlign w:val="baseline"/>
                      <w:lang w:eastAsia="zh-CN"/>
                    </w:rPr>
                    <w:t>cm</w:t>
                  </w:r>
                  <w:r>
                    <w:rPr>
                      <w:rFonts w:hint="eastAsia" w:cs="Times New Roman"/>
                      <w:i w:val="0"/>
                      <w:iCs w:val="0"/>
                      <w:caps w:val="0"/>
                      <w:snapToGrid w:val="0"/>
                      <w:color w:val="auto"/>
                      <w:spacing w:val="0"/>
                      <w:sz w:val="21"/>
                      <w:szCs w:val="21"/>
                      <w:highlight w:val="none"/>
                      <w:shd w:val="clear" w:color="auto" w:fill="FFFFFF"/>
                      <w:vertAlign w:val="superscript"/>
                      <w:lang w:eastAsia="zh-CN"/>
                    </w:rPr>
                    <w:t>3</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lang w:val="en-US"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外观：无色透明液体，有煤油气味</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"https://baike.baidu.com/item/%E6%BA%B6%E8%A7%A3%E6%80%A7/1134279?fromModule=lemma_inlink"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溶解性</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：不溶于水，溶于</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"https://baike.baidu.com/item/%E6%97%A0%E6%B0%B4%E4%B9%99%E9%86%87/949504?fromModule=lemma_inlink"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无水乙醇</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、苯、</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"https://baike.baidu.com/item/%E6%B0%AF%E4%BB%BF/521847?fromModule=lemma_inlink"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氯仿</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、油类等多数</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"https://baike.baidu.com/item/%E6%9C%89%E6%9C%BA%E6%BA%B6%E5%89%82/7921016?fromModule=lemma_inlink"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有机溶剂</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"https://baike.baidu.com/item/%E6%8C%A5%E5%8F%91%E6%80%A7/7644527?fromModule=lemma_inlink"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挥发性</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：易挥发；常与其他强</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"https://baike.baidu.com/item/%E6%9E%81%E6%80%A7%E6%BA%B6%E5%89%82/492577?fromModule=lemma_inlink"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极性溶剂</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（如</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"https://baike.baidu.com/item/%E4%B9%99%E9%85%B8%E4%B9%99%E9%85%AF/2539400?fromModule=lemma_inlink"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乙酸乙酯</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）混合作为薄层色谱分析的</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"https://baike.baidu.com/item/%E5%B1%95%E5%BC%80%E5%89%82/1305112?fromModule=lemma_inlink"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展开剂</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p>
              </w:tc>
              <w:tc>
                <w:tcPr>
                  <w:tcW w:w="1296" w:type="dxa"/>
                  <w:tcBorders>
                    <w:tl2br w:val="nil"/>
                    <w:tr2bl w:val="nil"/>
                  </w:tcBorders>
                  <w:noWrap w:val="0"/>
                  <w:vAlign w:val="center"/>
                </w:tcPr>
                <w:p w14:paraId="4E8B9A5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"https://baike.baidu.com/item/%E7%88%86%E7%82%B8%E4%B8%8A%E9%99%90/7938538?fromModule=lemma_inlink"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爆炸上限</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）：8.7%</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"https://baike.baidu.com/item/%E7%88%86%E7%82%B8%E4%B8%8B%E9%99%90/2764305?fromModule=lemma_inlink"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爆炸下限</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）：1.1%</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"https://baike.baidu.com/item/%E5%BC%95%E7%87%83%E6%B8%A9%E5%BA%A6/5537779?fromModule=lemma_inlink"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引燃温度</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：280℃</w:t>
                  </w:r>
                </w:p>
              </w:tc>
              <w:tc>
                <w:tcPr>
                  <w:tcW w:w="1618" w:type="dxa"/>
                  <w:tcBorders>
                    <w:tl2br w:val="nil"/>
                    <w:tr2bl w:val="nil"/>
                  </w:tcBorders>
                  <w:noWrap w:val="0"/>
                  <w:vAlign w:val="center"/>
                </w:tcPr>
                <w:p w14:paraId="3CECD98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：40mg/kg（小鼠静脉）；</w:t>
                  </w:r>
                </w:p>
                <w:p w14:paraId="47BDB48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cs="Times New Roman"/>
                      <w:snapToGrid w:val="0"/>
                      <w:color w:val="auto"/>
                      <w:spacing w:val="3"/>
                      <w:sz w:val="21"/>
                      <w:szCs w:val="21"/>
                      <w:highlight w:val="none"/>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：3400ppm4小时（</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大鼠</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吸入）</w:t>
                  </w:r>
                </w:p>
              </w:tc>
            </w:tr>
            <w:tr w14:paraId="233310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7C8A1A1">
                  <w:pPr>
                    <w:pStyle w:val="83"/>
                    <w:keepNext w:val="0"/>
                    <w:keepLines w:val="0"/>
                    <w:pageBreakBefore w:val="0"/>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宋体" w:cs="Times New Roman"/>
                      <w:snapToGrid w:val="0"/>
                      <w:color w:val="auto"/>
                      <w:spacing w:val="-3"/>
                      <w:sz w:val="21"/>
                      <w:szCs w:val="21"/>
                      <w:highlight w:val="none"/>
                      <w:lang w:val="en-US" w:eastAsia="zh-CN"/>
                    </w:rPr>
                  </w:pPr>
                  <w:r>
                    <w:rPr>
                      <w:rFonts w:hint="default"/>
                      <w:snapToGrid w:val="0"/>
                      <w:color w:val="auto"/>
                      <w:highlight w:val="none"/>
                      <w:lang w:val="en-US" w:eastAsia="zh-CN"/>
                    </w:rPr>
                    <w:t>四氢呋喃</w:t>
                  </w:r>
                </w:p>
              </w:tc>
              <w:tc>
                <w:tcPr>
                  <w:tcW w:w="1142" w:type="dxa"/>
                  <w:tcBorders>
                    <w:tl2br w:val="nil"/>
                    <w:tr2bl w:val="nil"/>
                  </w:tcBorders>
                  <w:noWrap w:val="0"/>
                  <w:vAlign w:val="center"/>
                </w:tcPr>
                <w:p w14:paraId="06782551">
                  <w:pPr>
                    <w:pStyle w:val="83"/>
                    <w:keepNext w:val="0"/>
                    <w:keepLines w:val="0"/>
                    <w:pageBreakBefore w:val="0"/>
                    <w:kinsoku/>
                    <w:wordWrap/>
                    <w:overflowPunct/>
                    <w:topLinePunct w:val="0"/>
                    <w:autoSpaceDE/>
                    <w:autoSpaceDN/>
                    <w:bidi w:val="0"/>
                    <w:adjustRightInd w:val="0"/>
                    <w:snapToGrid w:val="0"/>
                    <w:spacing w:line="240" w:lineRule="auto"/>
                    <w:ind w:left="0" w:right="0" w:rightChars="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color="auto" w:fill="FFFFFF"/>
                    </w:rPr>
                  </w:pPr>
                  <w:r>
                    <w:rPr>
                      <w:rFonts w:hint="default" w:ascii="Times New Roman" w:hAnsi="Times New Roman" w:eastAsia="Helvetica" w:cs="Times New Roman"/>
                      <w:snapToGrid w:val="0"/>
                      <w:color w:val="auto"/>
                      <w:highlight w:val="none"/>
                      <w:shd w:val="clear" w:color="auto" w:fill="FFFFFF"/>
                    </w:rPr>
                    <w:t>C</w:t>
                  </w:r>
                  <w:r>
                    <w:rPr>
                      <w:rFonts w:hint="default" w:ascii="Times New Roman" w:hAnsi="Times New Roman" w:eastAsia="Helvetica" w:cs="Times New Roman"/>
                      <w:snapToGrid w:val="0"/>
                      <w:color w:val="auto"/>
                      <w:highlight w:val="none"/>
                      <w:shd w:val="clear" w:color="auto" w:fill="FFFFFF"/>
                      <w:vertAlign w:val="subscript"/>
                    </w:rPr>
                    <w:t>4</w:t>
                  </w:r>
                  <w:r>
                    <w:rPr>
                      <w:rFonts w:hint="default" w:ascii="Times New Roman" w:hAnsi="Times New Roman" w:eastAsia="Helvetica" w:cs="Times New Roman"/>
                      <w:snapToGrid w:val="0"/>
                      <w:color w:val="auto"/>
                      <w:highlight w:val="none"/>
                      <w:shd w:val="clear" w:color="auto" w:fill="FFFFFF"/>
                    </w:rPr>
                    <w:t>H</w:t>
                  </w:r>
                  <w:r>
                    <w:rPr>
                      <w:rFonts w:hint="default" w:ascii="Times New Roman" w:hAnsi="Times New Roman" w:eastAsia="Helvetica" w:cs="Times New Roman"/>
                      <w:snapToGrid w:val="0"/>
                      <w:color w:val="auto"/>
                      <w:highlight w:val="none"/>
                      <w:shd w:val="clear" w:color="auto" w:fill="FFFFFF"/>
                      <w:vertAlign w:val="subscript"/>
                    </w:rPr>
                    <w:t>8</w:t>
                  </w:r>
                  <w:r>
                    <w:rPr>
                      <w:rFonts w:hint="default" w:ascii="Times New Roman" w:hAnsi="Times New Roman" w:eastAsia="Helvetica" w:cs="Times New Roman"/>
                      <w:snapToGrid w:val="0"/>
                      <w:color w:val="auto"/>
                      <w:highlight w:val="none"/>
                      <w:shd w:val="clear" w:color="auto" w:fill="FFFFFF"/>
                    </w:rPr>
                    <w:t>O</w:t>
                  </w:r>
                </w:p>
              </w:tc>
              <w:tc>
                <w:tcPr>
                  <w:tcW w:w="2758" w:type="dxa"/>
                  <w:tcBorders>
                    <w:tl2br w:val="nil"/>
                    <w:tr2bl w:val="nil"/>
                  </w:tcBorders>
                  <w:noWrap w:val="0"/>
                  <w:vAlign w:val="center"/>
                </w:tcPr>
                <w:p w14:paraId="2D0BF09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eastAsia" w:ascii="Helvetica" w:hAnsi="Helvetica" w:eastAsia="宋体" w:cs="Helvetica"/>
                      <w:i w:val="0"/>
                      <w:iCs w:val="0"/>
                      <w:caps w:val="0"/>
                      <w:snapToGrid w:val="0"/>
                      <w:color w:val="auto"/>
                      <w:spacing w:val="0"/>
                      <w:sz w:val="18"/>
                      <w:szCs w:val="18"/>
                      <w:highlight w:val="none"/>
                      <w:shd w:val="clear" w:fill="FFFFFF"/>
                      <w:lang w:val="en-US" w:eastAsia="zh-CN"/>
                    </w:rPr>
                    <w:t>密度：</w:t>
                  </w:r>
                  <w:r>
                    <w:rPr>
                      <w:rFonts w:ascii="Helvetica" w:hAnsi="Helvetica" w:eastAsia="Helvetica" w:cs="Helvetica"/>
                      <w:i w:val="0"/>
                      <w:iCs w:val="0"/>
                      <w:caps w:val="0"/>
                      <w:snapToGrid w:val="0"/>
                      <w:color w:val="auto"/>
                      <w:spacing w:val="0"/>
                      <w:sz w:val="18"/>
                      <w:szCs w:val="18"/>
                      <w:highlight w:val="none"/>
                      <w:shd w:val="clear" w:fill="FFFFFF"/>
                    </w:rPr>
                    <w:t>0</w:t>
                  </w:r>
                  <w:r>
                    <w:rPr>
                      <w:rFonts w:hint="default" w:ascii="Helvetica" w:hAnsi="Helvetica" w:eastAsia="Helvetica" w:cs="Helvetica"/>
                      <w:i w:val="0"/>
                      <w:iCs w:val="0"/>
                      <w:caps w:val="0"/>
                      <w:snapToGrid w:val="0"/>
                      <w:color w:val="auto"/>
                      <w:spacing w:val="0"/>
                      <w:sz w:val="18"/>
                      <w:szCs w:val="18"/>
                      <w:highlight w:val="none"/>
                      <w:shd w:val="clear" w:fill="FFFFFF"/>
                    </w:rPr>
                    <w:t>.89 g/cm</w:t>
                  </w:r>
                  <w:r>
                    <w:rPr>
                      <w:rFonts w:hint="eastAsia" w:ascii="Times New Roman" w:hAnsi="Times New Roman" w:eastAsia="宋体" w:cs="Times New Roman"/>
                      <w:i w:val="0"/>
                      <w:iCs w:val="0"/>
                      <w:caps w:val="0"/>
                      <w:snapToGrid w:val="0"/>
                      <w:color w:val="auto"/>
                      <w:spacing w:val="0"/>
                      <w:sz w:val="18"/>
                      <w:szCs w:val="18"/>
                      <w:highlight w:val="none"/>
                      <w:shd w:val="clear" w:fill="FFFFFF"/>
                      <w:vertAlign w:val="superscript"/>
                      <w:lang w:val="en-US" w:eastAsia="zh-CN"/>
                    </w:rPr>
                    <w:t>3</w:t>
                  </w:r>
                  <w:r>
                    <w:rPr>
                      <w:rFonts w:hint="eastAsia" w:ascii="Helvetica" w:hAnsi="Helvetica" w:eastAsia="宋体" w:cs="Helvetica"/>
                      <w:i w:val="0"/>
                      <w:iCs w:val="0"/>
                      <w:caps w:val="0"/>
                      <w:snapToGrid w:val="0"/>
                      <w:color w:val="auto"/>
                      <w:spacing w:val="0"/>
                      <w:sz w:val="18"/>
                      <w:szCs w:val="18"/>
                      <w:highlight w:val="none"/>
                      <w:shd w:val="clear" w:fill="FFFFFF"/>
                      <w:lang w:eastAsia="zh-CN"/>
                    </w:rPr>
                    <w:t>，</w:t>
                  </w:r>
                  <w:r>
                    <w:rPr>
                      <w:rFonts w:hint="default"/>
                      <w:snapToGrid w:val="0"/>
                      <w:color w:val="auto"/>
                      <w:szCs w:val="21"/>
                      <w:highlight w:val="none"/>
                      <w:shd w:val="clear" w:color="auto" w:fill="FFFFFF"/>
                    </w:rPr>
                    <w:t>常温下为无色易挥发液体，有类似乙醚的气味。溶于水、乙醇、乙醚、丙酮、苯等多数有机溶剂，被称为“万能溶剂”。</w:t>
                  </w:r>
                </w:p>
              </w:tc>
              <w:tc>
                <w:tcPr>
                  <w:tcW w:w="1296" w:type="dxa"/>
                  <w:tcBorders>
                    <w:tl2br w:val="nil"/>
                    <w:tr2bl w:val="nil"/>
                  </w:tcBorders>
                  <w:noWrap w:val="0"/>
                  <w:vAlign w:val="center"/>
                </w:tcPr>
                <w:p w14:paraId="3490C4F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snapToGrid w:val="0"/>
                      <w:color w:val="auto"/>
                      <w:kern w:val="0"/>
                      <w:sz w:val="20"/>
                      <w:szCs w:val="20"/>
                      <w:highlight w:val="none"/>
                      <w:u w:val="none"/>
                      <w:shd w:val="clear" w:color="auto" w:fill="FFFFFF"/>
                      <w:lang w:bidi="ar"/>
                    </w:rPr>
                  </w:pPr>
                  <w:r>
                    <w:rPr>
                      <w:rFonts w:hint="default"/>
                      <w:snapToGrid w:val="0"/>
                      <w:color w:val="auto"/>
                      <w:kern w:val="0"/>
                      <w:sz w:val="20"/>
                      <w:szCs w:val="20"/>
                      <w:highlight w:val="none"/>
                      <w:u w:val="none"/>
                      <w:shd w:val="clear" w:color="auto" w:fill="FFFFFF"/>
                      <w:lang w:bidi="ar"/>
                    </w:rPr>
                    <w:t>爆炸上限（V/V）：</w:t>
                  </w:r>
                  <w:r>
                    <w:rPr>
                      <w:rFonts w:hint="eastAsia"/>
                      <w:snapToGrid w:val="0"/>
                      <w:color w:val="auto"/>
                      <w:kern w:val="0"/>
                      <w:sz w:val="20"/>
                      <w:szCs w:val="20"/>
                      <w:highlight w:val="none"/>
                      <w:u w:val="none"/>
                      <w:shd w:val="clear" w:color="auto" w:fill="FFFFFF"/>
                      <w:lang w:eastAsia="zh-CN" w:bidi="ar"/>
                    </w:rPr>
                    <w:t>1</w:t>
                  </w:r>
                  <w:r>
                    <w:rPr>
                      <w:rFonts w:hint="eastAsia"/>
                      <w:snapToGrid w:val="0"/>
                      <w:color w:val="auto"/>
                      <w:kern w:val="0"/>
                      <w:sz w:val="20"/>
                      <w:szCs w:val="20"/>
                      <w:highlight w:val="none"/>
                      <w:u w:val="none"/>
                      <w:shd w:val="clear" w:color="auto" w:fill="FFFFFF"/>
                      <w:lang w:val="en-US" w:eastAsia="zh-CN" w:bidi="ar"/>
                    </w:rPr>
                    <w:t>1.8</w:t>
                  </w:r>
                  <w:r>
                    <w:rPr>
                      <w:rFonts w:hint="default"/>
                      <w:snapToGrid w:val="0"/>
                      <w:color w:val="auto"/>
                      <w:kern w:val="0"/>
                      <w:sz w:val="20"/>
                      <w:szCs w:val="20"/>
                      <w:highlight w:val="none"/>
                      <w:u w:val="none"/>
                      <w:shd w:val="clear" w:color="auto" w:fill="FFFFFF"/>
                      <w:lang w:bidi="ar"/>
                    </w:rPr>
                    <w:t>%</w:t>
                  </w:r>
                </w:p>
                <w:p w14:paraId="25DE4E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240" w:lineRule="auto"/>
                    <w:ind w:left="0" w:right="0" w:firstLine="0" w:firstLineChars="0"/>
                    <w:jc w:val="center"/>
                    <w:textAlignment w:val="auto"/>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pPr>
                  <w:r>
                    <w:rPr>
                      <w:rFonts w:hint="default"/>
                      <w:snapToGrid w:val="0"/>
                      <w:color w:val="auto"/>
                      <w:kern w:val="0"/>
                      <w:sz w:val="20"/>
                      <w:szCs w:val="20"/>
                      <w:highlight w:val="none"/>
                      <w:u w:val="none"/>
                      <w:shd w:val="clear" w:color="auto" w:fill="FFFFFF"/>
                      <w:lang w:bidi="ar"/>
                    </w:rPr>
                    <w:t>爆炸下限（V/V）：1.</w:t>
                  </w:r>
                  <w:r>
                    <w:rPr>
                      <w:rFonts w:hint="eastAsia"/>
                      <w:snapToGrid w:val="0"/>
                      <w:color w:val="auto"/>
                      <w:kern w:val="0"/>
                      <w:sz w:val="20"/>
                      <w:szCs w:val="20"/>
                      <w:highlight w:val="none"/>
                      <w:u w:val="none"/>
                      <w:shd w:val="clear" w:color="auto" w:fill="FFFFFF"/>
                      <w:lang w:eastAsia="zh-CN" w:bidi="ar"/>
                    </w:rPr>
                    <w:t>8</w:t>
                  </w:r>
                  <w:r>
                    <w:rPr>
                      <w:rFonts w:hint="default"/>
                      <w:snapToGrid w:val="0"/>
                      <w:color w:val="auto"/>
                      <w:kern w:val="0"/>
                      <w:sz w:val="20"/>
                      <w:szCs w:val="20"/>
                      <w:highlight w:val="none"/>
                      <w:u w:val="none"/>
                      <w:shd w:val="clear" w:color="auto" w:fill="FFFFFF"/>
                      <w:lang w:bidi="ar"/>
                    </w:rPr>
                    <w:t>%引燃温度：</w:t>
                  </w:r>
                  <w:r>
                    <w:rPr>
                      <w:rFonts w:hint="eastAsia"/>
                      <w:snapToGrid w:val="0"/>
                      <w:color w:val="auto"/>
                      <w:kern w:val="0"/>
                      <w:sz w:val="20"/>
                      <w:szCs w:val="20"/>
                      <w:highlight w:val="none"/>
                      <w:u w:val="none"/>
                      <w:shd w:val="clear" w:color="auto" w:fill="FFFFFF"/>
                      <w:lang w:eastAsia="zh-CN" w:bidi="ar"/>
                    </w:rPr>
                    <w:t>3</w:t>
                  </w:r>
                  <w:r>
                    <w:rPr>
                      <w:rFonts w:hint="eastAsia"/>
                      <w:snapToGrid w:val="0"/>
                      <w:color w:val="auto"/>
                      <w:kern w:val="0"/>
                      <w:sz w:val="20"/>
                      <w:szCs w:val="20"/>
                      <w:highlight w:val="none"/>
                      <w:u w:val="none"/>
                      <w:shd w:val="clear" w:color="auto" w:fill="FFFFFF"/>
                      <w:lang w:val="en-US" w:eastAsia="zh-CN" w:bidi="ar"/>
                    </w:rPr>
                    <w:t>21</w:t>
                  </w:r>
                  <w:r>
                    <w:rPr>
                      <w:rFonts w:hint="default"/>
                      <w:snapToGrid w:val="0"/>
                      <w:color w:val="auto"/>
                      <w:kern w:val="0"/>
                      <w:sz w:val="20"/>
                      <w:szCs w:val="20"/>
                      <w:highlight w:val="none"/>
                      <w:u w:val="none"/>
                      <w:shd w:val="clear" w:color="auto" w:fill="FFFFFF"/>
                      <w:lang w:bidi="ar"/>
                    </w:rPr>
                    <w:t>℃</w:t>
                  </w:r>
                </w:p>
              </w:tc>
              <w:tc>
                <w:tcPr>
                  <w:tcW w:w="1618" w:type="dxa"/>
                  <w:tcBorders>
                    <w:tl2br w:val="nil"/>
                    <w:tr2bl w:val="nil"/>
                  </w:tcBorders>
                  <w:noWrap w:val="0"/>
                  <w:vAlign w:val="center"/>
                </w:tcPr>
                <w:p w14:paraId="5840530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1650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mg/kg（小鼠</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p>
                <w:p w14:paraId="3A170562">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i w:val="0"/>
                      <w:iCs w:val="0"/>
                      <w:caps w:val="0"/>
                      <w:snapToGrid w:val="0"/>
                      <w:color w:val="auto"/>
                      <w:spacing w:val="0"/>
                      <w:sz w:val="21"/>
                      <w:szCs w:val="21"/>
                      <w:highlight w:val="none"/>
                      <w:shd w:val="clear" w:color="auto" w:fill="FFFFFF"/>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21000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ppm4小时（</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大鼠</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吸入</w:t>
                  </w:r>
                  <w:r>
                    <w:rPr>
                      <w:rFonts w:hint="eastAsia" w:ascii="Times New Roman" w:hAnsi="Times New Roman" w:cs="Times New Roman"/>
                      <w:i w:val="0"/>
                      <w:iCs w:val="0"/>
                      <w:caps w:val="0"/>
                      <w:snapToGrid w:val="0"/>
                      <w:color w:val="auto"/>
                      <w:spacing w:val="0"/>
                      <w:sz w:val="21"/>
                      <w:szCs w:val="21"/>
                      <w:highlight w:val="none"/>
                      <w:shd w:val="clear" w:color="auto" w:fill="FFFFFF"/>
                      <w:lang w:eastAsia="zh-CN"/>
                    </w:rPr>
                    <w:t>）</w:t>
                  </w:r>
                </w:p>
              </w:tc>
            </w:tr>
            <w:tr w14:paraId="3FD6A64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BC77E9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cs="Times New Roman"/>
                      <w:snapToGrid w:val="0"/>
                      <w:color w:val="auto"/>
                      <w:spacing w:val="6"/>
                      <w:sz w:val="21"/>
                      <w:szCs w:val="21"/>
                      <w:highlight w:val="none"/>
                      <w:lang w:val="en-US" w:eastAsia="zh-CN"/>
                    </w:rPr>
                    <w:t>正己烷</w:t>
                  </w:r>
                </w:p>
              </w:tc>
              <w:tc>
                <w:tcPr>
                  <w:tcW w:w="1142" w:type="dxa"/>
                  <w:tcBorders>
                    <w:tl2br w:val="nil"/>
                    <w:tr2bl w:val="nil"/>
                  </w:tcBorders>
                  <w:noWrap w:val="0"/>
                  <w:vAlign w:val="center"/>
                </w:tcPr>
                <w:p w14:paraId="46B01F6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spacing w:val="8"/>
                      <w:sz w:val="20"/>
                      <w:szCs w:val="20"/>
                      <w:highlight w:val="none"/>
                      <w:lang w:val="en-US" w:eastAsia="zh-CN"/>
                    </w:rPr>
                    <w:t>C</w:t>
                  </w:r>
                  <w:r>
                    <w:rPr>
                      <w:rFonts w:hint="default" w:ascii="Times New Roman" w:hAnsi="Times New Roman" w:eastAsia="宋体" w:cs="Times New Roman"/>
                      <w:snapToGrid w:val="0"/>
                      <w:color w:val="auto"/>
                      <w:spacing w:val="8"/>
                      <w:sz w:val="20"/>
                      <w:szCs w:val="20"/>
                      <w:highlight w:val="none"/>
                      <w:vertAlign w:val="subscript"/>
                      <w:lang w:val="en-US" w:eastAsia="zh-CN"/>
                    </w:rPr>
                    <w:t>6</w:t>
                  </w:r>
                  <w:r>
                    <w:rPr>
                      <w:rFonts w:hint="default" w:ascii="Times New Roman" w:hAnsi="Times New Roman" w:eastAsia="宋体" w:cs="Times New Roman"/>
                      <w:snapToGrid w:val="0"/>
                      <w:color w:val="auto"/>
                      <w:spacing w:val="8"/>
                      <w:sz w:val="20"/>
                      <w:szCs w:val="20"/>
                      <w:highlight w:val="none"/>
                      <w:lang w:val="en-US" w:eastAsia="zh-CN"/>
                    </w:rPr>
                    <w:t>H</w:t>
                  </w:r>
                  <w:r>
                    <w:rPr>
                      <w:rFonts w:hint="default" w:ascii="Times New Roman" w:hAnsi="Times New Roman" w:eastAsia="宋体" w:cs="Times New Roman"/>
                      <w:snapToGrid w:val="0"/>
                      <w:color w:val="auto"/>
                      <w:spacing w:val="8"/>
                      <w:sz w:val="20"/>
                      <w:szCs w:val="20"/>
                      <w:highlight w:val="none"/>
                      <w:vertAlign w:val="subscript"/>
                      <w:lang w:val="en-US" w:eastAsia="zh-CN"/>
                    </w:rPr>
                    <w:t>14</w:t>
                  </w:r>
                </w:p>
              </w:tc>
              <w:tc>
                <w:tcPr>
                  <w:tcW w:w="2758" w:type="dxa"/>
                  <w:tcBorders>
                    <w:tl2br w:val="nil"/>
                    <w:tr2bl w:val="nil"/>
                  </w:tcBorders>
                  <w:noWrap w:val="0"/>
                  <w:vAlign w:val="center"/>
                </w:tcPr>
                <w:p w14:paraId="5423E118">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宋体" w:cs="Times New Roman"/>
                      <w:snapToGrid w:val="0"/>
                      <w:color w:val="auto"/>
                      <w:spacing w:val="3"/>
                      <w:sz w:val="21"/>
                      <w:szCs w:val="21"/>
                      <w:highlight w:val="none"/>
                      <w:lang w:val="en-US" w:eastAsia="zh-CN"/>
                    </w:rPr>
                    <w:t>密度：0.659</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g</w:t>
                  </w:r>
                  <w:r>
                    <w:rPr>
                      <w:rFonts w:hint="default" w:ascii="Times New Roman" w:hAnsi="Times New Roman" w:eastAsia="宋体" w:cs="Times New Roman"/>
                      <w:b w:val="0"/>
                      <w:bCs w:val="0"/>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b w:val="0"/>
                      <w:bCs w:val="0"/>
                      <w:i w:val="0"/>
                      <w:iCs w:val="0"/>
                      <w:caps w:val="0"/>
                      <w:snapToGrid w:val="0"/>
                      <w:color w:val="auto"/>
                      <w:spacing w:val="0"/>
                      <w:sz w:val="21"/>
                      <w:szCs w:val="21"/>
                      <w:highlight w:val="none"/>
                      <w:shd w:val="clear" w:color="auto" w:fill="FFFFFF"/>
                      <w:vertAlign w:val="baseline"/>
                      <w:lang w:eastAsia="zh-CN"/>
                    </w:rPr>
                    <w:t>cm</w:t>
                  </w:r>
                  <w:r>
                    <w:rPr>
                      <w:rFonts w:hint="default" w:ascii="Times New Roman" w:hAnsi="Times New Roman" w:eastAsia="宋体" w:cs="Times New Roman"/>
                      <w:b w:val="0"/>
                      <w:bCs w:val="0"/>
                      <w:i w:val="0"/>
                      <w:iCs w:val="0"/>
                      <w:caps w:val="0"/>
                      <w:snapToGrid w:val="0"/>
                      <w:color w:val="auto"/>
                      <w:spacing w:val="0"/>
                      <w:sz w:val="21"/>
                      <w:szCs w:val="21"/>
                      <w:highlight w:val="none"/>
                      <w:shd w:val="clear" w:color="auto" w:fill="FFFFFF"/>
                      <w:vertAlign w:val="superscript"/>
                      <w:lang w:eastAsia="zh-CN"/>
                    </w:rPr>
                    <w:t>3</w:t>
                  </w:r>
                  <w:r>
                    <w:rPr>
                      <w:rFonts w:hint="default" w:ascii="Times New Roman" w:hAnsi="Times New Roman" w:eastAsia="宋体" w:cs="Times New Roman"/>
                      <w:b/>
                      <w:bCs/>
                      <w:i w:val="0"/>
                      <w:iCs w:val="0"/>
                      <w:caps w:val="0"/>
                      <w:snapToGrid w:val="0"/>
                      <w:color w:val="auto"/>
                      <w:spacing w:val="0"/>
                      <w:sz w:val="21"/>
                      <w:szCs w:val="21"/>
                      <w:highlight w:val="none"/>
                      <w:shd w:val="clear" w:color="auto" w:fill="FFFFFF"/>
                      <w:vertAlign w:val="baseline"/>
                      <w:lang w:eastAsia="zh-CN"/>
                    </w:rPr>
                    <w:t>，</w:t>
                  </w:r>
                  <w:r>
                    <w:rPr>
                      <w:rFonts w:hint="default" w:ascii="Times New Roman" w:hAnsi="Times New Roman" w:eastAsia="宋体" w:cs="Times New Roman"/>
                      <w:b w:val="0"/>
                      <w:bCs w:val="0"/>
                      <w:i w:val="0"/>
                      <w:iCs w:val="0"/>
                      <w:caps w:val="0"/>
                      <w:snapToGrid w:val="0"/>
                      <w:color w:val="auto"/>
                      <w:spacing w:val="0"/>
                      <w:sz w:val="21"/>
                      <w:szCs w:val="21"/>
                      <w:highlight w:val="none"/>
                      <w:shd w:val="clear" w:color="auto" w:fill="FFFFFF"/>
                      <w:vertAlign w:val="baseline"/>
                      <w:lang w:val="en-US" w:eastAsia="zh-CN"/>
                    </w:rPr>
                    <w:t>熔点</w:t>
                  </w:r>
                  <w:r>
                    <w:rPr>
                      <w:rFonts w:hint="default" w:ascii="Times New Roman" w:hAnsi="Times New Roman" w:eastAsia="宋体" w:cs="Times New Roman"/>
                      <w:i w:val="0"/>
                      <w:iCs w:val="0"/>
                      <w:caps w:val="0"/>
                      <w:snapToGrid w:val="0"/>
                      <w:color w:val="auto"/>
                      <w:spacing w:val="0"/>
                      <w:sz w:val="18"/>
                      <w:szCs w:val="18"/>
                      <w:highlight w:val="none"/>
                      <w:shd w:val="clear" w:color="auto" w:fill="FFFFFF"/>
                    </w:rPr>
                    <w:t>-95℃</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沸点</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69℃</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闪点：-22℃，饱和蒸汽压：</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17kPa（20℃）</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临界温度：234.8℃，临界压力：3.09MPa，外观：无色液体；溶解性：</w:t>
                  </w:r>
                  <w:r>
                    <w:rPr>
                      <w:rFonts w:hint="default" w:ascii="Times New Roman" w:hAnsi="Times New Roman" w:eastAsia="宋体" w:cs="Times New Roman"/>
                      <w:i w:val="0"/>
                      <w:iCs w:val="0"/>
                      <w:caps w:val="0"/>
                      <w:snapToGrid w:val="0"/>
                      <w:color w:val="auto"/>
                      <w:spacing w:val="0"/>
                      <w:sz w:val="21"/>
                      <w:szCs w:val="21"/>
                      <w:highlight w:val="none"/>
                    </w:rPr>
                    <w:t>不溶于水，溶于乙醇、乙醚、丙酮、氯仿等多数有机溶剂</w:t>
                  </w:r>
                </w:p>
              </w:tc>
              <w:tc>
                <w:tcPr>
                  <w:tcW w:w="1296" w:type="dxa"/>
                  <w:tcBorders>
                    <w:tl2br w:val="nil"/>
                    <w:tr2bl w:val="nil"/>
                  </w:tcBorders>
                  <w:noWrap w:val="0"/>
                  <w:vAlign w:val="center"/>
                </w:tcPr>
                <w:p w14:paraId="572FF212">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spacing w:val="3"/>
                      <w:sz w:val="21"/>
                      <w:szCs w:val="21"/>
                      <w:highlight w:val="none"/>
                      <w:lang w:val="en-US"/>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极易燃</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"https://baike.baidu.com/item/%E7%88%86%E7%82%B8%E4%B8%8A%E9%99%90/7938538?fromModule=lemma_inlink"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爆炸上限</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）：7.5%，</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begin"/>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instrText xml:space="preserve"> HYPERLINK "https://baike.baidu.com/item/%E7%88%86%E7%82%B8%E4%B8%8B%E9%99%90/2764305?fromModule=lemma_inlink" \t "https://baike.baidu.com/item/%E7%9F%B3%E6%B2%B9%E9%86%9A/_blank" </w:instrTex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爆炸下限</w:t>
                  </w:r>
                  <w:r>
                    <w:rPr>
                      <w:rFonts w:hint="default" w:ascii="Times New Roman" w:hAnsi="Times New Roman" w:eastAsia="宋体" w:cs="Times New Roman"/>
                      <w:i w:val="0"/>
                      <w:iCs w:val="0"/>
                      <w:caps w:val="0"/>
                      <w:snapToGrid w:val="0"/>
                      <w:color w:val="auto"/>
                      <w:spacing w:val="0"/>
                      <w:kern w:val="0"/>
                      <w:sz w:val="21"/>
                      <w:szCs w:val="21"/>
                      <w:highlight w:val="none"/>
                      <w:u w:val="none"/>
                      <w:shd w:val="clear" w:color="auto" w:fill="FFFFFF"/>
                      <w:lang w:val="en-US" w:eastAsia="zh-CN" w:bidi="ar"/>
                    </w:rPr>
                    <w:fldChar w:fldCharType="end"/>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w:t>
                  </w:r>
                  <w:r>
                    <w:rPr>
                      <w:rFonts w:hint="default" w:ascii="Times New Roman" w:hAnsi="Times New Roman" w:eastAsia="宋体" w:cs="Times New Roman"/>
                      <w:i/>
                      <w:iCs/>
                      <w:caps w:val="0"/>
                      <w:snapToGrid w:val="0"/>
                      <w:color w:val="auto"/>
                      <w:spacing w:val="0"/>
                      <w:kern w:val="0"/>
                      <w:sz w:val="21"/>
                      <w:szCs w:val="21"/>
                      <w:highlight w:val="none"/>
                      <w:shd w:val="clear" w:color="auto" w:fill="FFFFFF"/>
                      <w:lang w:val="en-US" w:eastAsia="zh-CN" w:bidi="ar"/>
                    </w:rPr>
                    <w:t>V</w:t>
                  </w:r>
                  <w:r>
                    <w:rPr>
                      <w:rFonts w:hint="default" w:ascii="Times New Roman" w:hAnsi="Times New Roman" w:eastAsia="宋体" w:cs="Times New Roman"/>
                      <w:i w:val="0"/>
                      <w:iCs w:val="0"/>
                      <w:caps w:val="0"/>
                      <w:snapToGrid w:val="0"/>
                      <w:color w:val="auto"/>
                      <w:spacing w:val="0"/>
                      <w:kern w:val="0"/>
                      <w:sz w:val="21"/>
                      <w:szCs w:val="21"/>
                      <w:highlight w:val="none"/>
                      <w:shd w:val="clear" w:color="auto" w:fill="FFFFFF"/>
                      <w:lang w:val="en-US" w:eastAsia="zh-CN" w:bidi="ar"/>
                    </w:rPr>
                    <w:t>）：1.1%</w:t>
                  </w:r>
                </w:p>
              </w:tc>
              <w:tc>
                <w:tcPr>
                  <w:tcW w:w="1618" w:type="dxa"/>
                  <w:tcBorders>
                    <w:tl2br w:val="nil"/>
                    <w:tr2bl w:val="nil"/>
                  </w:tcBorders>
                  <w:noWrap w:val="0"/>
                  <w:vAlign w:val="center"/>
                </w:tcPr>
                <w:p w14:paraId="2292397F">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：25g/kg（大鼠经口）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p w14:paraId="114A157E">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18"/>
                      <w:szCs w:val="18"/>
                      <w:highlight w:val="none"/>
                      <w:shd w:val="clear" w:color="auto" w:fill="FFFFFF"/>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：48000ppm（大鼠吸入，4h）</w:t>
                  </w:r>
                </w:p>
              </w:tc>
            </w:tr>
            <w:tr w14:paraId="4BEEB4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627546C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乙酸乙酯</w:t>
                  </w:r>
                </w:p>
              </w:tc>
              <w:tc>
                <w:tcPr>
                  <w:tcW w:w="1142" w:type="dxa"/>
                  <w:tcBorders>
                    <w:tl2br w:val="nil"/>
                    <w:tr2bl w:val="nil"/>
                  </w:tcBorders>
                  <w:noWrap w:val="0"/>
                  <w:vAlign w:val="center"/>
                </w:tcPr>
                <w:p w14:paraId="02B9D9D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Cs w:val="21"/>
                      <w:highlight w:val="none"/>
                      <w:lang w:val="en-US" w:eastAsia="zh-CN"/>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4</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8</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p>
              </w:tc>
              <w:tc>
                <w:tcPr>
                  <w:tcW w:w="2758" w:type="dxa"/>
                  <w:tcBorders>
                    <w:tl2br w:val="nil"/>
                    <w:tr2bl w:val="nil"/>
                  </w:tcBorders>
                  <w:noWrap w:val="0"/>
                  <w:vAlign w:val="center"/>
                </w:tcPr>
                <w:p w14:paraId="2BD9BE70">
                  <w:pPr>
                    <w:keepNext w:val="0"/>
                    <w:keepLines w:val="0"/>
                    <w:pageBreakBefore w:val="0"/>
                    <w:widowControl/>
                    <w:suppressLineNumbers w:val="0"/>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spacing w:val="3"/>
                      <w:sz w:val="21"/>
                      <w:szCs w:val="21"/>
                      <w:highlight w:val="none"/>
                      <w:lang w:val="en-US" w:eastAsia="zh-CN"/>
                    </w:rPr>
                    <w:t>密度：0.902</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g/</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lang w:eastAsia="zh-CN"/>
                    </w:rPr>
                    <w:t>cm</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perscript"/>
                      <w:lang w:eastAsia="zh-CN"/>
                    </w:rPr>
                    <w:t>3</w:t>
                  </w:r>
                  <w:r>
                    <w:rPr>
                      <w:rFonts w:hint="default" w:ascii="Times New Roman" w:hAnsi="Times New Roman" w:eastAsia="宋体" w:cs="Times New Roman"/>
                      <w:b/>
                      <w:bCs/>
                      <w:i w:val="0"/>
                      <w:iCs w:val="0"/>
                      <w:caps w:val="0"/>
                      <w:snapToGrid w:val="0"/>
                      <w:color w:val="auto"/>
                      <w:spacing w:val="0"/>
                      <w:sz w:val="21"/>
                      <w:szCs w:val="21"/>
                      <w:highlight w:val="none"/>
                      <w:shd w:val="clear" w:color="auto" w:fill="FFFFFF"/>
                      <w:vertAlign w:val="baseline"/>
                      <w:lang w:eastAsia="zh-CN"/>
                    </w:rPr>
                    <w:t>，</w:t>
                  </w:r>
                  <w:r>
                    <w:rPr>
                      <w:rFonts w:hint="default" w:ascii="Times New Roman" w:hAnsi="Times New Roman" w:eastAsia="宋体" w:cs="Times New Roman"/>
                      <w:b w:val="0"/>
                      <w:bCs w:val="0"/>
                      <w:i w:val="0"/>
                      <w:iCs w:val="0"/>
                      <w:caps w:val="0"/>
                      <w:snapToGrid w:val="0"/>
                      <w:color w:val="auto"/>
                      <w:spacing w:val="0"/>
                      <w:sz w:val="21"/>
                      <w:szCs w:val="21"/>
                      <w:highlight w:val="none"/>
                      <w:shd w:val="clear" w:color="auto" w:fill="FFFFFF"/>
                      <w:vertAlign w:val="baseline"/>
                      <w:lang w:val="en-US" w:eastAsia="zh-CN"/>
                    </w:rPr>
                    <w:t>熔点：</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84</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沸点：76.6～77.5</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闪点：-4℃，</w:t>
                  </w:r>
                  <w:r>
                    <w:rPr>
                      <w:rFonts w:hint="eastAsia" w:cs="Times New Roman"/>
                      <w:i w:val="0"/>
                      <w:iCs w:val="0"/>
                      <w:caps w:val="0"/>
                      <w:snapToGrid w:val="0"/>
                      <w:color w:val="auto"/>
                      <w:spacing w:val="0"/>
                      <w:sz w:val="21"/>
                      <w:szCs w:val="21"/>
                      <w:highlight w:val="none"/>
                      <w:shd w:val="clear" w:color="auto" w:fill="FFFFFF"/>
                      <w:lang w:val="en-US" w:eastAsia="zh-CN"/>
                    </w:rPr>
                    <w:t>饱和蒸气</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压：10.1</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kPa（20℃）</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外观：无色液体；溶解性：</w:t>
                  </w:r>
                  <w:r>
                    <w:rPr>
                      <w:rFonts w:hint="default" w:ascii="Times New Roman" w:hAnsi="Times New Roman" w:eastAsia="宋体" w:cs="Times New Roman"/>
                      <w:i w:val="0"/>
                      <w:iCs w:val="0"/>
                      <w:caps w:val="0"/>
                      <w:snapToGrid w:val="0"/>
                      <w:color w:val="auto"/>
                      <w:spacing w:val="0"/>
                      <w:sz w:val="21"/>
                      <w:szCs w:val="21"/>
                      <w:highlight w:val="none"/>
                      <w:lang w:val="en-US" w:eastAsia="zh-CN"/>
                    </w:rPr>
                    <w:t>微溶于水，溶于</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乙醇、丙酮、乙醚、氯仿、苯等多数有机溶剂</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乙酸乙酯能发生醇解、氨解、酯交换、还原等一般酯的共同反应。</w:t>
                  </w:r>
                </w:p>
              </w:tc>
              <w:tc>
                <w:tcPr>
                  <w:tcW w:w="1296" w:type="dxa"/>
                  <w:tcBorders>
                    <w:tl2br w:val="nil"/>
                    <w:tr2bl w:val="nil"/>
                  </w:tcBorders>
                  <w:noWrap w:val="0"/>
                  <w:vAlign w:val="center"/>
                </w:tcPr>
                <w:p w14:paraId="63AC6CA7">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爆炸上限（V/V）：11.5%</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p w14:paraId="00B8E1F8">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引燃温度：426.7℃</w:t>
                  </w:r>
                </w:p>
              </w:tc>
              <w:tc>
                <w:tcPr>
                  <w:tcW w:w="1618" w:type="dxa"/>
                  <w:tcBorders>
                    <w:tl2br w:val="nil"/>
                    <w:tr2bl w:val="nil"/>
                  </w:tcBorders>
                  <w:noWrap w:val="0"/>
                  <w:vAlign w:val="center"/>
                </w:tcPr>
                <w:p w14:paraId="1A2025A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5620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p>
                <w:p w14:paraId="174A5489">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200g/</w:t>
                  </w:r>
                  <w:r>
                    <w:rPr>
                      <w:rFonts w:hint="eastAsia" w:cs="Times New Roman"/>
                      <w:i w:val="0"/>
                      <w:iCs w:val="0"/>
                      <w:caps w:val="0"/>
                      <w:snapToGrid w:val="0"/>
                      <w:color w:val="auto"/>
                      <w:spacing w:val="0"/>
                      <w:sz w:val="21"/>
                      <w:szCs w:val="21"/>
                      <w:highlight w:val="none"/>
                      <w:shd w:val="clear" w:color="auto" w:fill="FFFFFF"/>
                      <w:vertAlign w:val="baseline"/>
                      <w:lang w:val="en-US" w:eastAsia="zh-CN"/>
                    </w:rPr>
                    <w:t>cm</w:t>
                  </w:r>
                  <w:r>
                    <w:rPr>
                      <w:rFonts w:hint="eastAsia" w:cs="Times New Roman"/>
                      <w:i w:val="0"/>
                      <w:iCs w:val="0"/>
                      <w:caps w:val="0"/>
                      <w:snapToGrid w:val="0"/>
                      <w:color w:val="auto"/>
                      <w:spacing w:val="0"/>
                      <w:sz w:val="21"/>
                      <w:szCs w:val="21"/>
                      <w:highlight w:val="none"/>
                      <w:shd w:val="clear" w:color="auto" w:fill="FFFFFF"/>
                      <w:vertAlign w:val="superscript"/>
                      <w:lang w:val="en-US" w:eastAsia="zh-CN"/>
                    </w:rPr>
                    <w:t>3</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大鼠</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吸入）</w:t>
                  </w:r>
                </w:p>
              </w:tc>
            </w:tr>
            <w:tr w14:paraId="3052E2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6855E25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sz w:val="21"/>
                      <w:szCs w:val="21"/>
                      <w:highlight w:val="none"/>
                      <w:lang w:val="en-US" w:eastAsia="zh-CN"/>
                    </w:rPr>
                    <w:t>二氯甲烷</w:t>
                  </w:r>
                </w:p>
              </w:tc>
              <w:tc>
                <w:tcPr>
                  <w:tcW w:w="1142" w:type="dxa"/>
                  <w:tcBorders>
                    <w:tl2br w:val="nil"/>
                    <w:tr2bl w:val="nil"/>
                  </w:tcBorders>
                  <w:noWrap w:val="0"/>
                  <w:vAlign w:val="center"/>
                </w:tcPr>
                <w:p w14:paraId="6723153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CH</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Cl</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p>
              </w:tc>
              <w:tc>
                <w:tcPr>
                  <w:tcW w:w="2758" w:type="dxa"/>
                  <w:tcBorders>
                    <w:tl2br w:val="nil"/>
                    <w:tr2bl w:val="nil"/>
                  </w:tcBorders>
                  <w:noWrap w:val="0"/>
                  <w:vAlign w:val="center"/>
                </w:tcPr>
                <w:p w14:paraId="4899BD90">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spacing w:val="3"/>
                      <w:sz w:val="21"/>
                      <w:szCs w:val="21"/>
                      <w:highlight w:val="none"/>
                      <w:lang w:val="en-US" w:eastAsia="zh-CN"/>
                    </w:rPr>
                    <w:t>密度：1.325</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g/</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lang w:eastAsia="zh-CN"/>
                    </w:rPr>
                    <w:t>cm</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perscript"/>
                      <w:lang w:eastAsia="zh-CN"/>
                    </w:rPr>
                    <w:t>3</w:t>
                  </w:r>
                  <w:r>
                    <w:rPr>
                      <w:rFonts w:hint="default" w:ascii="Times New Roman" w:hAnsi="Times New Roman" w:eastAsia="宋体" w:cs="Times New Roman"/>
                      <w:b/>
                      <w:bCs/>
                      <w:i w:val="0"/>
                      <w:iCs w:val="0"/>
                      <w:caps w:val="0"/>
                      <w:snapToGrid w:val="0"/>
                      <w:color w:val="auto"/>
                      <w:spacing w:val="0"/>
                      <w:sz w:val="21"/>
                      <w:szCs w:val="21"/>
                      <w:highlight w:val="none"/>
                      <w:shd w:val="clear" w:color="auto" w:fill="FFFFFF"/>
                      <w:vertAlign w:val="baseline"/>
                      <w:lang w:eastAsia="zh-CN"/>
                    </w:rPr>
                    <w:t>，</w:t>
                  </w:r>
                  <w:r>
                    <w:rPr>
                      <w:rFonts w:hint="default" w:ascii="Times New Roman" w:hAnsi="Times New Roman" w:eastAsia="宋体" w:cs="Times New Roman"/>
                      <w:b w:val="0"/>
                      <w:bCs w:val="0"/>
                      <w:i w:val="0"/>
                      <w:iCs w:val="0"/>
                      <w:caps w:val="0"/>
                      <w:snapToGrid w:val="0"/>
                      <w:color w:val="auto"/>
                      <w:spacing w:val="0"/>
                      <w:sz w:val="21"/>
                      <w:szCs w:val="21"/>
                      <w:highlight w:val="none"/>
                      <w:shd w:val="clear" w:color="auto" w:fill="FFFFFF"/>
                      <w:vertAlign w:val="baseline"/>
                      <w:lang w:val="en-US" w:eastAsia="zh-CN"/>
                    </w:rPr>
                    <w:t>熔点：</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97</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沸点：39.8</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饱和蒸汽压：46.5</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kPa（20℃）</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临界温度：237℃，外观：无色透明液体，有芳香气味；溶解性：</w:t>
                  </w:r>
                  <w:r>
                    <w:rPr>
                      <w:rFonts w:hint="default" w:ascii="Times New Roman" w:hAnsi="Times New Roman" w:eastAsia="宋体" w:cs="Times New Roman"/>
                      <w:i w:val="0"/>
                      <w:iCs w:val="0"/>
                      <w:caps w:val="0"/>
                      <w:snapToGrid w:val="0"/>
                      <w:color w:val="auto"/>
                      <w:spacing w:val="0"/>
                      <w:sz w:val="21"/>
                      <w:szCs w:val="21"/>
                      <w:highlight w:val="none"/>
                      <w:lang w:val="en-US" w:eastAsia="zh-CN"/>
                    </w:rPr>
                    <w:t>微溶于水，溶于</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乙醇、</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乙醚；</w:t>
                  </w:r>
                </w:p>
              </w:tc>
              <w:tc>
                <w:tcPr>
                  <w:tcW w:w="1296" w:type="dxa"/>
                  <w:tcBorders>
                    <w:tl2br w:val="nil"/>
                    <w:tr2bl w:val="nil"/>
                  </w:tcBorders>
                  <w:noWrap w:val="0"/>
                  <w:vAlign w:val="center"/>
                </w:tcPr>
                <w:p w14:paraId="7F96E690">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爆炸上限（V/V）：</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22</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p w14:paraId="0482B815">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爆炸下限：14%</w:t>
                  </w:r>
                </w:p>
                <w:p w14:paraId="7CE1D5D2">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引燃温度：</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556</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p>
              </w:tc>
              <w:tc>
                <w:tcPr>
                  <w:tcW w:w="1618" w:type="dxa"/>
                  <w:tcBorders>
                    <w:tl2br w:val="nil"/>
                    <w:tr2bl w:val="nil"/>
                  </w:tcBorders>
                  <w:noWrap w:val="0"/>
                  <w:vAlign w:val="center"/>
                </w:tcPr>
                <w:p w14:paraId="715509B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1600</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2000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p>
                <w:p w14:paraId="059645CC">
                  <w:pPr>
                    <w:keepNext w:val="0"/>
                    <w:keepLines w:val="0"/>
                    <w:pageBreakBefore w:val="0"/>
                    <w:kinsoku/>
                    <w:wordWrap/>
                    <w:overflowPunct/>
                    <w:topLinePunct w:val="0"/>
                    <w:autoSpaceDE w:val="0"/>
                    <w:autoSpaceDN w:val="0"/>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88000mg/m</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perscript"/>
                      <w:lang w:val="en-US" w:eastAsia="zh-CN"/>
                    </w:rPr>
                    <w:t>3</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"https://baike.baidu.com/item/%E5%A4%A7%E9%BC%A0/3721233?fromModule=lemma_inlink" \t "https://baike.baidu.com/item/%E7%9F%B3%E6%B2%B9%E9%86%9A/_blank"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大鼠</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吸入</w:t>
                  </w:r>
                  <w:r>
                    <w:rPr>
                      <w:rFonts w:hint="eastAsia" w:ascii="Times New Roman" w:hAnsi="Times New Roman"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1/2h</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p>
              </w:tc>
            </w:tr>
            <w:tr w14:paraId="70D82E2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0E9ADBD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宋体" w:cs="Times New Roman"/>
                      <w:snapToGrid w:val="0"/>
                      <w:color w:val="auto"/>
                      <w:sz w:val="21"/>
                      <w:szCs w:val="21"/>
                      <w:highlight w:val="none"/>
                      <w:lang w:val="en-US" w:eastAsia="zh-CN"/>
                    </w:rPr>
                    <w:t>无水硫酸钠</w:t>
                  </w:r>
                </w:p>
              </w:tc>
              <w:tc>
                <w:tcPr>
                  <w:tcW w:w="1142" w:type="dxa"/>
                  <w:tcBorders>
                    <w:tl2br w:val="nil"/>
                    <w:tr2bl w:val="nil"/>
                  </w:tcBorders>
                  <w:noWrap w:val="0"/>
                  <w:vAlign w:val="center"/>
                </w:tcPr>
                <w:p w14:paraId="73C5310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Na</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subscript"/>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SO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4</w:t>
                  </w:r>
                </w:p>
              </w:tc>
              <w:tc>
                <w:tcPr>
                  <w:tcW w:w="2758" w:type="dxa"/>
                  <w:tcBorders>
                    <w:tl2br w:val="nil"/>
                    <w:tr2bl w:val="nil"/>
                  </w:tcBorders>
                  <w:noWrap w:val="0"/>
                  <w:vAlign w:val="center"/>
                </w:tcPr>
                <w:p w14:paraId="3F7144D6">
                  <w:pPr>
                    <w:bidi w:val="0"/>
                    <w:jc w:val="center"/>
                    <w:rPr>
                      <w:rFonts w:hint="default"/>
                      <w:snapToGrid w:val="0"/>
                      <w:color w:val="auto"/>
                      <w:highlight w:val="none"/>
                      <w:lang w:val="en-US" w:eastAsia="zh-CN"/>
                    </w:rPr>
                  </w:pPr>
                  <w:r>
                    <w:rPr>
                      <w:rFonts w:hint="default"/>
                      <w:snapToGrid w:val="0"/>
                      <w:color w:val="auto"/>
                      <w:highlight w:val="none"/>
                      <w:lang w:val="en-US" w:eastAsia="zh-CN"/>
                    </w:rPr>
                    <w:t>密度：2.68</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熔点：884</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沸点：1404</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外观：无色溶液，溶解性：溶于水，溶于甘油；不溶于乙醇。</w:t>
                  </w:r>
                </w:p>
              </w:tc>
              <w:tc>
                <w:tcPr>
                  <w:tcW w:w="1296" w:type="dxa"/>
                  <w:tcBorders>
                    <w:tl2br w:val="nil"/>
                    <w:tr2bl w:val="nil"/>
                  </w:tcBorders>
                  <w:noWrap w:val="0"/>
                  <w:vAlign w:val="center"/>
                </w:tcPr>
                <w:p w14:paraId="26B487DA">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highlight w:val="none"/>
                      <w:lang w:val="en-US" w:eastAsia="zh-CN"/>
                    </w:rPr>
                  </w:pPr>
                  <w:r>
                    <w:rPr>
                      <w:rFonts w:hint="default" w:ascii="Times New Roman" w:hAnsi="Times New Roman" w:cs="Times New Roman"/>
                      <w:snapToGrid w:val="0"/>
                      <w:color w:val="auto"/>
                      <w:spacing w:val="3"/>
                      <w:sz w:val="21"/>
                      <w:szCs w:val="21"/>
                      <w:highlight w:val="none"/>
                      <w:lang w:val="en-US" w:eastAsia="zh-CN"/>
                    </w:rPr>
                    <w:t>无</w:t>
                  </w:r>
                </w:p>
              </w:tc>
              <w:tc>
                <w:tcPr>
                  <w:tcW w:w="1618" w:type="dxa"/>
                  <w:tcBorders>
                    <w:tl2br w:val="nil"/>
                    <w:tr2bl w:val="nil"/>
                  </w:tcBorders>
                  <w:noWrap w:val="0"/>
                  <w:vAlign w:val="center"/>
                </w:tcPr>
                <w:p w14:paraId="1727F1A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无毒；</w:t>
                  </w:r>
                </w:p>
                <w:p w14:paraId="308325D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highlight w:val="none"/>
                      <w:lang w:eastAsia="zh-CN"/>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5989mg/kg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小鼠经口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tc>
            </w:tr>
            <w:tr w14:paraId="6EED14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1DCF32F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宋体" w:cs="Times New Roman"/>
                      <w:snapToGrid w:val="0"/>
                      <w:color w:val="auto"/>
                      <w:sz w:val="21"/>
                      <w:szCs w:val="21"/>
                      <w:highlight w:val="none"/>
                      <w:lang w:val="en-US" w:eastAsia="zh-CN"/>
                    </w:rPr>
                    <w:t>硅胶</w:t>
                  </w:r>
                </w:p>
              </w:tc>
              <w:tc>
                <w:tcPr>
                  <w:tcW w:w="1142" w:type="dxa"/>
                  <w:tcBorders>
                    <w:tl2br w:val="nil"/>
                    <w:tr2bl w:val="nil"/>
                  </w:tcBorders>
                  <w:noWrap w:val="0"/>
                  <w:vAlign w:val="center"/>
                </w:tcPr>
                <w:p w14:paraId="54C019C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sz w:val="21"/>
                      <w:szCs w:val="21"/>
                      <w:highlight w:val="none"/>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xSiO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subscript"/>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·yH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p>
              </w:tc>
              <w:tc>
                <w:tcPr>
                  <w:tcW w:w="2758" w:type="dxa"/>
                  <w:tcBorders>
                    <w:tl2br w:val="nil"/>
                    <w:tr2bl w:val="nil"/>
                  </w:tcBorders>
                  <w:noWrap w:val="0"/>
                  <w:vAlign w:val="center"/>
                </w:tcPr>
                <w:p w14:paraId="18E8BE3D">
                  <w:pPr>
                    <w:bidi w:val="0"/>
                    <w:jc w:val="center"/>
                    <w:rPr>
                      <w:rFonts w:hint="default"/>
                      <w:snapToGrid w:val="0"/>
                      <w:color w:val="auto"/>
                      <w:highlight w:val="none"/>
                    </w:rPr>
                  </w:pPr>
                  <w:r>
                    <w:rPr>
                      <w:rFonts w:hint="default"/>
                      <w:snapToGrid w:val="0"/>
                      <w:color w:val="auto"/>
                      <w:highlight w:val="none"/>
                    </w:rPr>
                    <w:t>透明或乳白色粒状固体。具有开放的多孔结构</w:t>
                  </w:r>
                  <w:r>
                    <w:rPr>
                      <w:rFonts w:hint="eastAsia"/>
                      <w:snapToGrid w:val="0"/>
                      <w:color w:val="auto"/>
                      <w:highlight w:val="none"/>
                      <w:lang w:eastAsia="zh-CN"/>
                    </w:rPr>
                    <w:t>，</w:t>
                  </w:r>
                  <w:r>
                    <w:rPr>
                      <w:rFonts w:hint="default"/>
                      <w:snapToGrid w:val="0"/>
                      <w:color w:val="auto"/>
                      <w:highlight w:val="none"/>
                    </w:rPr>
                    <w:t>吸附性强</w:t>
                  </w:r>
                  <w:r>
                    <w:rPr>
                      <w:rFonts w:hint="eastAsia"/>
                      <w:snapToGrid w:val="0"/>
                      <w:color w:val="auto"/>
                      <w:highlight w:val="none"/>
                      <w:lang w:eastAsia="zh-CN"/>
                    </w:rPr>
                    <w:t>，</w:t>
                  </w:r>
                  <w:r>
                    <w:rPr>
                      <w:rFonts w:hint="default"/>
                      <w:snapToGrid w:val="0"/>
                      <w:color w:val="auto"/>
                      <w:highlight w:val="none"/>
                    </w:rPr>
                    <w:t>能</w:t>
                  </w:r>
                  <w:r>
                    <w:rPr>
                      <w:rFonts w:hint="default"/>
                      <w:snapToGrid w:val="0"/>
                      <w:color w:val="auto"/>
                      <w:highlight w:val="none"/>
                    </w:rPr>
                    <w:fldChar w:fldCharType="begin"/>
                  </w:r>
                  <w:r>
                    <w:rPr>
                      <w:rFonts w:hint="default"/>
                      <w:snapToGrid w:val="0"/>
                      <w:color w:val="auto"/>
                      <w:highlight w:val="none"/>
                    </w:rPr>
                    <w:instrText xml:space="preserve"> HYPERLINK "https://baike.baidu.com/item/%E5%90%B8%E9%99%84/0?fromModule=lemma_inlink"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吸附</w:t>
                  </w:r>
                  <w:r>
                    <w:rPr>
                      <w:rFonts w:hint="default"/>
                      <w:snapToGrid w:val="0"/>
                      <w:color w:val="auto"/>
                      <w:highlight w:val="none"/>
                    </w:rPr>
                    <w:fldChar w:fldCharType="end"/>
                  </w:r>
                  <w:r>
                    <w:rPr>
                      <w:rFonts w:hint="default"/>
                      <w:snapToGrid w:val="0"/>
                      <w:color w:val="auto"/>
                      <w:highlight w:val="none"/>
                    </w:rPr>
                    <w:t>多种物质。硅胶根据其孔径的大小分为：</w:t>
                  </w:r>
                  <w:r>
                    <w:rPr>
                      <w:rFonts w:hint="default"/>
                      <w:snapToGrid w:val="0"/>
                      <w:color w:val="auto"/>
                      <w:highlight w:val="none"/>
                    </w:rPr>
                    <w:fldChar w:fldCharType="begin"/>
                  </w:r>
                  <w:r>
                    <w:rPr>
                      <w:rFonts w:hint="default"/>
                      <w:snapToGrid w:val="0"/>
                      <w:color w:val="auto"/>
                      <w:highlight w:val="none"/>
                    </w:rPr>
                    <w:instrText xml:space="preserve"> HYPERLINK "https://baike.baidu.com/item/%E5%A4%A7%E5%AD%94%E7%A1%85%E8%83%B6/0?fromModule=lemma_inlink"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大孔硅胶</w:t>
                  </w:r>
                  <w:r>
                    <w:rPr>
                      <w:rFonts w:hint="default"/>
                      <w:snapToGrid w:val="0"/>
                      <w:color w:val="auto"/>
                      <w:highlight w:val="none"/>
                    </w:rPr>
                    <w:fldChar w:fldCharType="end"/>
                  </w:r>
                  <w:r>
                    <w:rPr>
                      <w:rFonts w:hint="default"/>
                      <w:snapToGrid w:val="0"/>
                      <w:color w:val="auto"/>
                      <w:highlight w:val="none"/>
                    </w:rPr>
                    <w:t>、</w:t>
                  </w:r>
                  <w:r>
                    <w:rPr>
                      <w:rFonts w:hint="default"/>
                      <w:snapToGrid w:val="0"/>
                      <w:color w:val="auto"/>
                      <w:highlight w:val="none"/>
                    </w:rPr>
                    <w:fldChar w:fldCharType="begin"/>
                  </w:r>
                  <w:r>
                    <w:rPr>
                      <w:rFonts w:hint="default"/>
                      <w:snapToGrid w:val="0"/>
                      <w:color w:val="auto"/>
                      <w:highlight w:val="none"/>
                    </w:rPr>
                    <w:instrText xml:space="preserve"> HYPERLINK "https://baike.baidu.com/item/%E7%B2%97%E5%AD%94%E7%A1%85%E8%83%B6/0?fromModule=lemma_inlink"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粗孔硅胶</w:t>
                  </w:r>
                  <w:r>
                    <w:rPr>
                      <w:rFonts w:hint="default"/>
                      <w:snapToGrid w:val="0"/>
                      <w:color w:val="auto"/>
                      <w:highlight w:val="none"/>
                    </w:rPr>
                    <w:fldChar w:fldCharType="end"/>
                  </w:r>
                  <w:r>
                    <w:rPr>
                      <w:rFonts w:hint="default"/>
                      <w:snapToGrid w:val="0"/>
                      <w:color w:val="auto"/>
                      <w:highlight w:val="none"/>
                    </w:rPr>
                    <w:t>、</w:t>
                  </w:r>
                  <w:r>
                    <w:rPr>
                      <w:rFonts w:hint="default"/>
                      <w:snapToGrid w:val="0"/>
                      <w:color w:val="auto"/>
                      <w:highlight w:val="none"/>
                    </w:rPr>
                    <w:fldChar w:fldCharType="begin"/>
                  </w:r>
                  <w:r>
                    <w:rPr>
                      <w:rFonts w:hint="default"/>
                      <w:snapToGrid w:val="0"/>
                      <w:color w:val="auto"/>
                      <w:highlight w:val="none"/>
                    </w:rPr>
                    <w:instrText xml:space="preserve"> HYPERLINK "https://baike.baidu.com/item/B%E5%9E%8B%E7%A1%85%E8%83%B6/0?fromModule=lemma_inlink"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B型硅胶</w:t>
                  </w:r>
                  <w:r>
                    <w:rPr>
                      <w:rFonts w:hint="default"/>
                      <w:snapToGrid w:val="0"/>
                      <w:color w:val="auto"/>
                      <w:highlight w:val="none"/>
                    </w:rPr>
                    <w:fldChar w:fldCharType="end"/>
                  </w:r>
                  <w:r>
                    <w:rPr>
                      <w:rFonts w:hint="default"/>
                      <w:snapToGrid w:val="0"/>
                      <w:color w:val="auto"/>
                      <w:highlight w:val="none"/>
                    </w:rPr>
                    <w:t>、</w:t>
                  </w:r>
                  <w:r>
                    <w:rPr>
                      <w:rFonts w:hint="default"/>
                      <w:snapToGrid w:val="0"/>
                      <w:color w:val="auto"/>
                      <w:highlight w:val="none"/>
                    </w:rPr>
                    <w:fldChar w:fldCharType="begin"/>
                  </w:r>
                  <w:r>
                    <w:rPr>
                      <w:rFonts w:hint="default"/>
                      <w:snapToGrid w:val="0"/>
                      <w:color w:val="auto"/>
                      <w:highlight w:val="none"/>
                    </w:rPr>
                    <w:instrText xml:space="preserve"> HYPERLINK "https://baike.baidu.com/item/%E7%BB%86%E5%AD%94%E7%A1%85%E8%83%B6/0?fromModule=lemma_inlink"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细孔硅胶</w:t>
                  </w:r>
                  <w:r>
                    <w:rPr>
                      <w:rFonts w:hint="default"/>
                      <w:snapToGrid w:val="0"/>
                      <w:color w:val="auto"/>
                      <w:highlight w:val="none"/>
                    </w:rPr>
                    <w:fldChar w:fldCharType="end"/>
                  </w:r>
                  <w:r>
                    <w:rPr>
                      <w:rFonts w:hint="default"/>
                      <w:snapToGrid w:val="0"/>
                      <w:color w:val="auto"/>
                      <w:highlight w:val="none"/>
                    </w:rPr>
                    <w:t>。硅胶是由硅酸凝胶mSiO</w:t>
                  </w:r>
                  <w:r>
                    <w:rPr>
                      <w:rFonts w:hint="default"/>
                      <w:snapToGrid w:val="0"/>
                      <w:color w:val="auto"/>
                      <w:highlight w:val="none"/>
                      <w:vertAlign w:val="subscript"/>
                    </w:rPr>
                    <w:t>2</w:t>
                  </w:r>
                  <w:r>
                    <w:rPr>
                      <w:rFonts w:hint="default"/>
                      <w:snapToGrid w:val="0"/>
                      <w:color w:val="auto"/>
                      <w:highlight w:val="none"/>
                    </w:rPr>
                    <w:t>·nH</w:t>
                  </w:r>
                  <w:r>
                    <w:rPr>
                      <w:rFonts w:hint="default"/>
                      <w:snapToGrid w:val="0"/>
                      <w:color w:val="auto"/>
                      <w:highlight w:val="none"/>
                      <w:vertAlign w:val="subscript"/>
                    </w:rPr>
                    <w:t>2</w:t>
                  </w:r>
                  <w:r>
                    <w:rPr>
                      <w:rFonts w:hint="default"/>
                      <w:snapToGrid w:val="0"/>
                      <w:color w:val="auto"/>
                      <w:highlight w:val="none"/>
                    </w:rPr>
                    <w:t>O适当脱水而成的颗粒大小不同的多孔物质。具有开放的多孔结构，比表面（单位质量的表面积）很大，能吸附许多物质，是一种很好的干燥剂、吸附剂和催化剂载体。</w:t>
                  </w:r>
                </w:p>
              </w:tc>
              <w:tc>
                <w:tcPr>
                  <w:tcW w:w="1296" w:type="dxa"/>
                  <w:tcBorders>
                    <w:tl2br w:val="nil"/>
                    <w:tr2bl w:val="nil"/>
                  </w:tcBorders>
                  <w:noWrap w:val="0"/>
                  <w:vAlign w:val="center"/>
                </w:tcPr>
                <w:p w14:paraId="6787A75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highlight w:val="none"/>
                      <w:lang w:val="en-US" w:eastAsia="zh-CN"/>
                    </w:rPr>
                  </w:pPr>
                  <w:r>
                    <w:rPr>
                      <w:rFonts w:hint="default" w:ascii="Times New Roman" w:hAnsi="Times New Roman" w:cs="Times New Roman"/>
                      <w:snapToGrid w:val="0"/>
                      <w:color w:val="auto"/>
                      <w:spacing w:val="3"/>
                      <w:sz w:val="21"/>
                      <w:szCs w:val="21"/>
                      <w:highlight w:val="none"/>
                      <w:lang w:val="en-US" w:eastAsia="zh-CN"/>
                    </w:rPr>
                    <w:t>无</w:t>
                  </w:r>
                </w:p>
              </w:tc>
              <w:tc>
                <w:tcPr>
                  <w:tcW w:w="1618" w:type="dxa"/>
                  <w:tcBorders>
                    <w:tl2br w:val="nil"/>
                    <w:tr2bl w:val="nil"/>
                  </w:tcBorders>
                  <w:noWrap w:val="0"/>
                  <w:vAlign w:val="center"/>
                </w:tcPr>
                <w:p w14:paraId="0323C3E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34968F3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65255D2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硅藻土</w:t>
                  </w:r>
                </w:p>
              </w:tc>
              <w:tc>
                <w:tcPr>
                  <w:tcW w:w="1142" w:type="dxa"/>
                  <w:tcBorders>
                    <w:tl2br w:val="nil"/>
                    <w:tr2bl w:val="nil"/>
                  </w:tcBorders>
                  <w:noWrap w:val="0"/>
                  <w:vAlign w:val="center"/>
                </w:tcPr>
                <w:p w14:paraId="5A3CAF9D">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SiO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·nH</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p>
              </w:tc>
              <w:tc>
                <w:tcPr>
                  <w:tcW w:w="2758" w:type="dxa"/>
                  <w:tcBorders>
                    <w:tl2br w:val="nil"/>
                    <w:tr2bl w:val="nil"/>
                  </w:tcBorders>
                  <w:noWrap w:val="0"/>
                  <w:vAlign w:val="center"/>
                </w:tcPr>
                <w:p w14:paraId="745F0163">
                  <w:pPr>
                    <w:bidi w:val="0"/>
                    <w:jc w:val="center"/>
                    <w:rPr>
                      <w:rFonts w:hint="default"/>
                      <w:snapToGrid w:val="0"/>
                      <w:color w:val="auto"/>
                      <w:highlight w:val="none"/>
                      <w:lang w:val="en-US" w:eastAsia="en-US"/>
                    </w:rPr>
                  </w:pPr>
                  <w:r>
                    <w:rPr>
                      <w:rFonts w:hint="default"/>
                      <w:snapToGrid w:val="0"/>
                      <w:color w:val="auto"/>
                      <w:highlight w:val="none"/>
                    </w:rPr>
                    <w:t>硅藻土的密度1.9</w:t>
                  </w:r>
                  <w:r>
                    <w:rPr>
                      <w:rFonts w:hint="eastAsia"/>
                      <w:snapToGrid w:val="0"/>
                      <w:color w:val="auto"/>
                      <w:highlight w:val="none"/>
                      <w:lang w:val="en-US" w:eastAsia="zh-CN"/>
                    </w:rPr>
                    <w:t>～</w:t>
                  </w:r>
                  <w:r>
                    <w:rPr>
                      <w:rFonts w:hint="default"/>
                      <w:snapToGrid w:val="0"/>
                      <w:color w:val="auto"/>
                      <w:highlight w:val="none"/>
                    </w:rPr>
                    <w:t>2.3g/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rPr>
                    <w:t>，</w:t>
                  </w:r>
                  <w:r>
                    <w:rPr>
                      <w:rFonts w:hint="default"/>
                      <w:snapToGrid w:val="0"/>
                      <w:color w:val="auto"/>
                      <w:highlight w:val="none"/>
                    </w:rPr>
                    <w:fldChar w:fldCharType="begin"/>
                  </w:r>
                  <w:r>
                    <w:rPr>
                      <w:rFonts w:hint="default"/>
                      <w:snapToGrid w:val="0"/>
                      <w:color w:val="auto"/>
                      <w:highlight w:val="none"/>
                    </w:rPr>
                    <w:instrText xml:space="preserve"> HYPERLINK "https://baike.baidu.com/item/%E5%A0%86%E5%AF%86%E5%BA%A6/8496875?fromModule=lemma_inlink"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堆密度</w:t>
                  </w:r>
                  <w:r>
                    <w:rPr>
                      <w:rFonts w:hint="default"/>
                      <w:snapToGrid w:val="0"/>
                      <w:color w:val="auto"/>
                      <w:highlight w:val="none"/>
                    </w:rPr>
                    <w:fldChar w:fldCharType="end"/>
                  </w:r>
                  <w:r>
                    <w:rPr>
                      <w:rFonts w:hint="default"/>
                      <w:snapToGrid w:val="0"/>
                      <w:color w:val="auto"/>
                      <w:highlight w:val="none"/>
                    </w:rPr>
                    <w:t>0.34</w:t>
                  </w:r>
                  <w:r>
                    <w:rPr>
                      <w:rFonts w:hint="eastAsia"/>
                      <w:snapToGrid w:val="0"/>
                      <w:color w:val="auto"/>
                      <w:highlight w:val="none"/>
                      <w:lang w:val="en-US" w:eastAsia="zh-CN"/>
                    </w:rPr>
                    <w:t>～</w:t>
                  </w:r>
                  <w:r>
                    <w:rPr>
                      <w:rFonts w:hint="default"/>
                      <w:snapToGrid w:val="0"/>
                      <w:color w:val="auto"/>
                      <w:highlight w:val="none"/>
                    </w:rPr>
                    <w:t>0.65g/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rPr>
                    <w:t>，</w:t>
                  </w:r>
                  <w:r>
                    <w:rPr>
                      <w:rFonts w:hint="default"/>
                      <w:snapToGrid w:val="0"/>
                      <w:color w:val="auto"/>
                      <w:highlight w:val="none"/>
                    </w:rPr>
                    <w:fldChar w:fldCharType="begin"/>
                  </w:r>
                  <w:r>
                    <w:rPr>
                      <w:rFonts w:hint="default"/>
                      <w:snapToGrid w:val="0"/>
                      <w:color w:val="auto"/>
                      <w:highlight w:val="none"/>
                    </w:rPr>
                    <w:instrText xml:space="preserve"> HYPERLINK "https://baike.baidu.com/item/%E6%AF%94%E8%A1%A8%E9%9D%A2%E7%A7%AF/1918432?fromModule=lemma_inlink"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比表面积</w:t>
                  </w:r>
                  <w:r>
                    <w:rPr>
                      <w:rFonts w:hint="default"/>
                      <w:snapToGrid w:val="0"/>
                      <w:color w:val="auto"/>
                      <w:highlight w:val="none"/>
                    </w:rPr>
                    <w:fldChar w:fldCharType="end"/>
                  </w:r>
                  <w:r>
                    <w:rPr>
                      <w:rFonts w:hint="default"/>
                      <w:snapToGrid w:val="0"/>
                      <w:color w:val="auto"/>
                      <w:highlight w:val="none"/>
                    </w:rPr>
                    <w:t>40</w:t>
                  </w:r>
                  <w:r>
                    <w:rPr>
                      <w:rFonts w:hint="eastAsia"/>
                      <w:snapToGrid w:val="0"/>
                      <w:color w:val="auto"/>
                      <w:highlight w:val="none"/>
                      <w:lang w:val="en-US" w:eastAsia="zh-CN"/>
                    </w:rPr>
                    <w:t>～</w:t>
                  </w:r>
                  <w:r>
                    <w:rPr>
                      <w:rFonts w:hint="default"/>
                      <w:snapToGrid w:val="0"/>
                      <w:color w:val="auto"/>
                      <w:highlight w:val="none"/>
                    </w:rPr>
                    <w:t>65</w:t>
                  </w:r>
                  <w:r>
                    <w:rPr>
                      <w:rFonts w:hint="default"/>
                      <w:snapToGrid w:val="0"/>
                      <w:color w:val="auto"/>
                      <w:highlight w:val="none"/>
                      <w:lang w:val="en-US" w:eastAsia="zh-CN"/>
                    </w:rPr>
                    <w:t>m</w:t>
                  </w:r>
                  <w:r>
                    <w:rPr>
                      <w:rFonts w:hint="default"/>
                      <w:snapToGrid w:val="0"/>
                      <w:color w:val="auto"/>
                      <w:highlight w:val="none"/>
                      <w:vertAlign w:val="superscript"/>
                      <w:lang w:val="en-US" w:eastAsia="zh-CN"/>
                    </w:rPr>
                    <w:t>2</w:t>
                  </w:r>
                  <w:r>
                    <w:rPr>
                      <w:rFonts w:hint="default"/>
                      <w:snapToGrid w:val="0"/>
                      <w:color w:val="auto"/>
                      <w:highlight w:val="none"/>
                    </w:rPr>
                    <w:t>/g，孔体积0.45</w:t>
                  </w:r>
                  <w:r>
                    <w:rPr>
                      <w:rFonts w:hint="eastAsia"/>
                      <w:snapToGrid w:val="0"/>
                      <w:color w:val="auto"/>
                      <w:highlight w:val="none"/>
                      <w:lang w:val="en-US" w:eastAsia="zh-CN"/>
                    </w:rPr>
                    <w:t>～</w:t>
                  </w:r>
                  <w:r>
                    <w:rPr>
                      <w:rFonts w:hint="default"/>
                      <w:snapToGrid w:val="0"/>
                      <w:color w:val="auto"/>
                      <w:highlight w:val="none"/>
                    </w:rPr>
                    <w:t>0.98</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rPr>
                    <w:t>/g，</w:t>
                  </w:r>
                  <w:r>
                    <w:rPr>
                      <w:rFonts w:hint="default"/>
                      <w:snapToGrid w:val="0"/>
                      <w:color w:val="auto"/>
                      <w:highlight w:val="none"/>
                    </w:rPr>
                    <w:fldChar w:fldCharType="begin"/>
                  </w:r>
                  <w:r>
                    <w:rPr>
                      <w:rFonts w:hint="default"/>
                      <w:snapToGrid w:val="0"/>
                      <w:color w:val="auto"/>
                      <w:highlight w:val="none"/>
                    </w:rPr>
                    <w:instrText xml:space="preserve"> HYPERLINK "https://baike.baidu.com/item/%E5%90%B8%E6%B0%B4%E7%8E%87/10912743?fromModule=lemma_inlink"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吸水率</w:t>
                  </w:r>
                  <w:r>
                    <w:rPr>
                      <w:rFonts w:hint="default"/>
                      <w:snapToGrid w:val="0"/>
                      <w:color w:val="auto"/>
                      <w:highlight w:val="none"/>
                    </w:rPr>
                    <w:fldChar w:fldCharType="end"/>
                  </w:r>
                  <w:r>
                    <w:rPr>
                      <w:rFonts w:hint="default"/>
                      <w:snapToGrid w:val="0"/>
                      <w:color w:val="auto"/>
                      <w:highlight w:val="none"/>
                    </w:rPr>
                    <w:t>是自身体积的2</w:t>
                  </w:r>
                  <w:r>
                    <w:rPr>
                      <w:rFonts w:hint="eastAsia"/>
                      <w:snapToGrid w:val="0"/>
                      <w:color w:val="auto"/>
                      <w:highlight w:val="none"/>
                      <w:lang w:val="en-US" w:eastAsia="zh-CN"/>
                    </w:rPr>
                    <w:t>～</w:t>
                  </w:r>
                  <w:r>
                    <w:rPr>
                      <w:rFonts w:hint="default"/>
                      <w:snapToGrid w:val="0"/>
                      <w:color w:val="auto"/>
                      <w:highlight w:val="none"/>
                    </w:rPr>
                    <w:t>4倍，熔点1650℃</w:t>
                  </w:r>
                  <w:r>
                    <w:rPr>
                      <w:rFonts w:hint="eastAsia"/>
                      <w:snapToGrid w:val="0"/>
                      <w:color w:val="auto"/>
                      <w:highlight w:val="none"/>
                      <w:lang w:val="en-US" w:eastAsia="zh-CN"/>
                    </w:rPr>
                    <w:t>～</w:t>
                  </w:r>
                  <w:r>
                    <w:rPr>
                      <w:rFonts w:hint="default"/>
                      <w:snapToGrid w:val="0"/>
                      <w:color w:val="auto"/>
                      <w:highlight w:val="none"/>
                    </w:rPr>
                    <w:t>1750℃，在电子显微镜下可以观察到特殊多孔的构造。</w:t>
                  </w:r>
                </w:p>
              </w:tc>
              <w:tc>
                <w:tcPr>
                  <w:tcW w:w="1296" w:type="dxa"/>
                  <w:tcBorders>
                    <w:tl2br w:val="nil"/>
                    <w:tr2bl w:val="nil"/>
                  </w:tcBorders>
                  <w:noWrap w:val="0"/>
                  <w:vAlign w:val="center"/>
                </w:tcPr>
                <w:p w14:paraId="2131E63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12E5D6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68D188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4FA8718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氯化钠</w:t>
                  </w:r>
                </w:p>
              </w:tc>
              <w:tc>
                <w:tcPr>
                  <w:tcW w:w="1142" w:type="dxa"/>
                  <w:tcBorders>
                    <w:tl2br w:val="nil"/>
                    <w:tr2bl w:val="nil"/>
                  </w:tcBorders>
                  <w:noWrap w:val="0"/>
                  <w:vAlign w:val="center"/>
                </w:tcPr>
                <w:p w14:paraId="0481001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NaCl</w:t>
                  </w:r>
                </w:p>
              </w:tc>
              <w:tc>
                <w:tcPr>
                  <w:tcW w:w="2758" w:type="dxa"/>
                  <w:tcBorders>
                    <w:tl2br w:val="nil"/>
                    <w:tr2bl w:val="nil"/>
                  </w:tcBorders>
                  <w:noWrap w:val="0"/>
                  <w:vAlign w:val="center"/>
                </w:tcPr>
                <w:p w14:paraId="3E7F92C9">
                  <w:pPr>
                    <w:bidi w:val="0"/>
                    <w:jc w:val="center"/>
                    <w:rPr>
                      <w:rFonts w:hint="default"/>
                      <w:snapToGrid w:val="0"/>
                      <w:color w:val="auto"/>
                      <w:highlight w:val="none"/>
                      <w:lang w:val="en-US" w:eastAsia="zh-CN"/>
                    </w:rPr>
                  </w:pPr>
                  <w:r>
                    <w:rPr>
                      <w:rFonts w:hint="default"/>
                      <w:snapToGrid w:val="0"/>
                      <w:color w:val="auto"/>
                      <w:highlight w:val="none"/>
                    </w:rPr>
                    <w:t>稳定性：在正常运输和装卸条件下稳定</w:t>
                  </w:r>
                  <w:r>
                    <w:rPr>
                      <w:rFonts w:hint="default"/>
                      <w:snapToGrid w:val="0"/>
                      <w:color w:val="auto"/>
                      <w:highlight w:val="none"/>
                      <w:lang w:eastAsia="zh-CN"/>
                    </w:rPr>
                    <w:t>，</w:t>
                  </w:r>
                  <w:r>
                    <w:rPr>
                      <w:rFonts w:hint="default"/>
                      <w:snapToGrid w:val="0"/>
                      <w:color w:val="auto"/>
                      <w:highlight w:val="none"/>
                    </w:rPr>
                    <w:t>储存条件：库房低温</w:t>
                  </w:r>
                  <w:r>
                    <w:rPr>
                      <w:rFonts w:hint="eastAsia"/>
                      <w:snapToGrid w:val="0"/>
                      <w:color w:val="auto"/>
                      <w:highlight w:val="none"/>
                      <w:lang w:eastAsia="zh-CN"/>
                    </w:rPr>
                    <w:t>，</w:t>
                  </w:r>
                  <w:r>
                    <w:rPr>
                      <w:rFonts w:hint="default"/>
                      <w:snapToGrid w:val="0"/>
                      <w:color w:val="auto"/>
                      <w:highlight w:val="none"/>
                    </w:rPr>
                    <w:t>通风</w:t>
                  </w:r>
                  <w:r>
                    <w:rPr>
                      <w:rFonts w:hint="eastAsia"/>
                      <w:snapToGrid w:val="0"/>
                      <w:color w:val="auto"/>
                      <w:highlight w:val="none"/>
                      <w:lang w:eastAsia="zh-CN"/>
                    </w:rPr>
                    <w:t>，</w:t>
                  </w:r>
                  <w:r>
                    <w:rPr>
                      <w:rFonts w:hint="default"/>
                      <w:snapToGrid w:val="0"/>
                      <w:color w:val="auto"/>
                      <w:highlight w:val="none"/>
                    </w:rPr>
                    <w:t>干燥</w:t>
                  </w:r>
                  <w:r>
                    <w:rPr>
                      <w:rFonts w:hint="default"/>
                      <w:snapToGrid w:val="0"/>
                      <w:color w:val="auto"/>
                      <w:highlight w:val="none"/>
                      <w:lang w:eastAsia="zh-CN"/>
                    </w:rPr>
                    <w:t>，</w:t>
                  </w:r>
                  <w:r>
                    <w:rPr>
                      <w:rFonts w:hint="eastAsia"/>
                      <w:snapToGrid w:val="0"/>
                      <w:color w:val="auto"/>
                      <w:highlight w:val="none"/>
                      <w:lang w:eastAsia="zh-CN"/>
                    </w:rPr>
                    <w:t>蒸气压</w:t>
                  </w:r>
                  <w:r>
                    <w:rPr>
                      <w:rFonts w:hint="default"/>
                      <w:snapToGrid w:val="0"/>
                      <w:color w:val="auto"/>
                      <w:highlight w:val="none"/>
                    </w:rPr>
                    <w:t>：1mmHg</w:t>
                  </w:r>
                  <w:r>
                    <w:rPr>
                      <w:rFonts w:hint="eastAsia"/>
                      <w:snapToGrid w:val="0"/>
                      <w:color w:val="auto"/>
                      <w:highlight w:val="none"/>
                      <w:lang w:eastAsia="zh-CN"/>
                    </w:rPr>
                    <w:t>（</w:t>
                  </w:r>
                  <w:r>
                    <w:rPr>
                      <w:rFonts w:hint="default"/>
                      <w:snapToGrid w:val="0"/>
                      <w:color w:val="auto"/>
                      <w:highlight w:val="none"/>
                    </w:rPr>
                    <w:t>865℃</w:t>
                  </w:r>
                  <w:r>
                    <w:rPr>
                      <w:rFonts w:hint="eastAsia"/>
                      <w:snapToGrid w:val="0"/>
                      <w:color w:val="auto"/>
                      <w:highlight w:val="none"/>
                      <w:lang w:eastAsia="zh-CN"/>
                    </w:rPr>
                    <w:t>）</w:t>
                  </w:r>
                  <w:r>
                    <w:rPr>
                      <w:rFonts w:hint="default"/>
                      <w:snapToGrid w:val="0"/>
                      <w:color w:val="auto"/>
                      <w:highlight w:val="none"/>
                    </w:rPr>
                    <w:t>。白色无臭结晶粉末。熔点801℃，沸点1465℃，微溶于乙醇、丙醇、丁烷，在和丁烷互溶后变为等离子体，易溶于水，水中溶解度为35.9g/100g水（室温）。几乎不溶于浓盐酸。易潮解。溶于甘油，1g氯化钠溶于10m</w:t>
                  </w:r>
                  <w:r>
                    <w:rPr>
                      <w:rFonts w:hint="eastAsia"/>
                      <w:snapToGrid w:val="0"/>
                      <w:color w:val="auto"/>
                      <w:highlight w:val="none"/>
                      <w:lang w:val="en-US" w:eastAsia="zh-CN"/>
                    </w:rPr>
                    <w:t>L</w:t>
                  </w:r>
                  <w:r>
                    <w:rPr>
                      <w:rFonts w:hint="default"/>
                      <w:snapToGrid w:val="0"/>
                      <w:color w:val="auto"/>
                      <w:highlight w:val="none"/>
                    </w:rPr>
                    <w:t>甘油，几乎不溶于乙醚</w:t>
                  </w:r>
                  <w:r>
                    <w:rPr>
                      <w:rFonts w:hint="default"/>
                      <w:snapToGrid w:val="0"/>
                      <w:color w:val="auto"/>
                      <w:highlight w:val="none"/>
                      <w:lang w:eastAsia="zh-CN"/>
                    </w:rPr>
                    <w:t>。</w:t>
                  </w:r>
                </w:p>
              </w:tc>
              <w:tc>
                <w:tcPr>
                  <w:tcW w:w="1296" w:type="dxa"/>
                  <w:tcBorders>
                    <w:tl2br w:val="nil"/>
                    <w:tr2bl w:val="nil"/>
                  </w:tcBorders>
                  <w:noWrap w:val="0"/>
                  <w:vAlign w:val="center"/>
                </w:tcPr>
                <w:p w14:paraId="60BEDC8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7BD6405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highlight w:val="none"/>
                      <w:lang w:val="en-US" w:eastAsia="zh-CN"/>
                    </w:rPr>
                  </w:pPr>
                  <w:r>
                    <w:rPr>
                      <w:rFonts w:hint="eastAsia" w:ascii="Times New Roman" w:hAnsi="Times New Roman" w:cs="Times New Roman"/>
                      <w:snapToGrid w:val="0"/>
                      <w:color w:val="auto"/>
                      <w:spacing w:val="3"/>
                      <w:sz w:val="21"/>
                      <w:szCs w:val="21"/>
                      <w:highlight w:val="none"/>
                      <w:lang w:val="en-US" w:eastAsia="zh-CN"/>
                    </w:rPr>
                    <w:t>无</w:t>
                  </w:r>
                </w:p>
              </w:tc>
            </w:tr>
            <w:tr w14:paraId="5C5F77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6A6076E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氢氧化钠</w:t>
                  </w:r>
                </w:p>
              </w:tc>
              <w:tc>
                <w:tcPr>
                  <w:tcW w:w="1142" w:type="dxa"/>
                  <w:tcBorders>
                    <w:tl2br w:val="nil"/>
                    <w:tr2bl w:val="nil"/>
                  </w:tcBorders>
                  <w:noWrap w:val="0"/>
                  <w:vAlign w:val="center"/>
                </w:tcPr>
                <w:p w14:paraId="4790921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NaOH</w:t>
                  </w:r>
                </w:p>
              </w:tc>
              <w:tc>
                <w:tcPr>
                  <w:tcW w:w="2758" w:type="dxa"/>
                  <w:tcBorders>
                    <w:tl2br w:val="nil"/>
                    <w:tr2bl w:val="nil"/>
                  </w:tcBorders>
                  <w:noWrap w:val="0"/>
                  <w:vAlign w:val="center"/>
                </w:tcPr>
                <w:p w14:paraId="112A9449">
                  <w:pPr>
                    <w:bidi w:val="0"/>
                    <w:jc w:val="center"/>
                    <w:rPr>
                      <w:rFonts w:hint="default"/>
                      <w:snapToGrid w:val="0"/>
                      <w:color w:val="auto"/>
                      <w:highlight w:val="none"/>
                      <w:lang w:val="en-US" w:eastAsia="en-US"/>
                    </w:rPr>
                  </w:pPr>
                  <w:r>
                    <w:rPr>
                      <w:rFonts w:hint="default"/>
                      <w:snapToGrid w:val="0"/>
                      <w:color w:val="auto"/>
                      <w:highlight w:val="none"/>
                      <w:lang w:val="en-US" w:eastAsia="zh-CN"/>
                    </w:rPr>
                    <w:t>密度：2.130</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熔点：318.4</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沸点：1390</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蒸汽压：24.5mmHg，饱和蒸汽压：0.13KPa，外观：白色结晶性粉末，溶解性：易溶于水、乙醇、甘油，不溶于丙酮、乙醚；</w:t>
                  </w:r>
                  <w:r>
                    <w:rPr>
                      <w:rFonts w:hint="default"/>
                      <w:snapToGrid w:val="0"/>
                      <w:color w:val="auto"/>
                      <w:highlight w:val="none"/>
                    </w:rPr>
                    <w:t>氢氧化钠对纤维、皮肤、玻璃、陶瓷等有腐蚀作用，溶解或浓溶液稀释时会放出热量；</w:t>
                  </w:r>
                </w:p>
              </w:tc>
              <w:tc>
                <w:tcPr>
                  <w:tcW w:w="1296" w:type="dxa"/>
                  <w:tcBorders>
                    <w:tl2br w:val="nil"/>
                    <w:tr2bl w:val="nil"/>
                  </w:tcBorders>
                  <w:noWrap w:val="0"/>
                  <w:vAlign w:val="center"/>
                </w:tcPr>
                <w:p w14:paraId="3EAA784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不燃物质</w:t>
                  </w:r>
                </w:p>
              </w:tc>
              <w:tc>
                <w:tcPr>
                  <w:tcW w:w="1618" w:type="dxa"/>
                  <w:tcBorders>
                    <w:tl2br w:val="nil"/>
                    <w:tr2bl w:val="nil"/>
                  </w:tcBorders>
                  <w:noWrap w:val="0"/>
                  <w:vAlign w:val="center"/>
                </w:tcPr>
                <w:p w14:paraId="259BC153">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sz w:val="21"/>
                      <w:szCs w:val="21"/>
                      <w:highlight w:val="none"/>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71BB5F7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98D02E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乙醇</w:t>
                  </w:r>
                </w:p>
              </w:tc>
              <w:tc>
                <w:tcPr>
                  <w:tcW w:w="1142" w:type="dxa"/>
                  <w:tcBorders>
                    <w:tl2br w:val="nil"/>
                    <w:tr2bl w:val="nil"/>
                  </w:tcBorders>
                  <w:noWrap w:val="0"/>
                  <w:vAlign w:val="center"/>
                </w:tcPr>
                <w:p w14:paraId="629B3D1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18"/>
                      <w:szCs w:val="18"/>
                      <w:highlight w:val="none"/>
                      <w:shd w:val="clear" w:color="auto" w:fill="FFFFFF"/>
                    </w:rPr>
                    <w:t>C</w:t>
                  </w:r>
                  <w:r>
                    <w:rPr>
                      <w:rFonts w:hint="default" w:ascii="Times New Roman" w:hAnsi="Times New Roman" w:eastAsia="宋体" w:cs="Times New Roman"/>
                      <w:i w:val="0"/>
                      <w:iCs w:val="0"/>
                      <w:caps w:val="0"/>
                      <w:snapToGrid w:val="0"/>
                      <w:color w:val="auto"/>
                      <w:spacing w:val="0"/>
                      <w:sz w:val="18"/>
                      <w:szCs w:val="18"/>
                      <w:highlight w:val="none"/>
                      <w:shd w:val="clear" w:color="auto" w:fill="FFFFFF"/>
                      <w:vertAlign w:val="subscript"/>
                    </w:rPr>
                    <w:t>2</w:t>
                  </w:r>
                  <w:r>
                    <w:rPr>
                      <w:rFonts w:hint="default" w:ascii="Times New Roman" w:hAnsi="Times New Roman" w:eastAsia="宋体" w:cs="Times New Roman"/>
                      <w:i w:val="0"/>
                      <w:iCs w:val="0"/>
                      <w:caps w:val="0"/>
                      <w:snapToGrid w:val="0"/>
                      <w:color w:val="auto"/>
                      <w:spacing w:val="0"/>
                      <w:sz w:val="18"/>
                      <w:szCs w:val="18"/>
                      <w:highlight w:val="none"/>
                      <w:shd w:val="clear" w:color="auto" w:fill="FFFFFF"/>
                    </w:rPr>
                    <w:t>H</w:t>
                  </w:r>
                  <w:r>
                    <w:rPr>
                      <w:rFonts w:hint="default" w:ascii="Times New Roman" w:hAnsi="Times New Roman" w:eastAsia="宋体" w:cs="Times New Roman"/>
                      <w:i w:val="0"/>
                      <w:iCs w:val="0"/>
                      <w:caps w:val="0"/>
                      <w:snapToGrid w:val="0"/>
                      <w:color w:val="auto"/>
                      <w:spacing w:val="0"/>
                      <w:sz w:val="18"/>
                      <w:szCs w:val="18"/>
                      <w:highlight w:val="none"/>
                      <w:shd w:val="clear" w:color="auto" w:fill="FFFFFF"/>
                      <w:vertAlign w:val="subscript"/>
                    </w:rPr>
                    <w:t>6</w:t>
                  </w:r>
                  <w:r>
                    <w:rPr>
                      <w:rFonts w:hint="default" w:ascii="Times New Roman" w:hAnsi="Times New Roman" w:eastAsia="宋体" w:cs="Times New Roman"/>
                      <w:i w:val="0"/>
                      <w:iCs w:val="0"/>
                      <w:caps w:val="0"/>
                      <w:snapToGrid w:val="0"/>
                      <w:color w:val="auto"/>
                      <w:spacing w:val="0"/>
                      <w:sz w:val="18"/>
                      <w:szCs w:val="18"/>
                      <w:highlight w:val="none"/>
                      <w:shd w:val="clear" w:color="auto" w:fill="FFFFFF"/>
                    </w:rPr>
                    <w:t>O</w:t>
                  </w:r>
                </w:p>
              </w:tc>
              <w:tc>
                <w:tcPr>
                  <w:tcW w:w="2758" w:type="dxa"/>
                  <w:tcBorders>
                    <w:tl2br w:val="nil"/>
                    <w:tr2bl w:val="nil"/>
                  </w:tcBorders>
                  <w:noWrap w:val="0"/>
                  <w:vAlign w:val="center"/>
                </w:tcPr>
                <w:p w14:paraId="031A2E61">
                  <w:pPr>
                    <w:bidi w:val="0"/>
                    <w:jc w:val="center"/>
                    <w:rPr>
                      <w:rFonts w:hint="default"/>
                      <w:snapToGrid w:val="0"/>
                      <w:color w:val="auto"/>
                      <w:highlight w:val="none"/>
                      <w:lang w:val="en-US" w:eastAsia="en-US"/>
                    </w:rPr>
                  </w:pPr>
                  <w:r>
                    <w:rPr>
                      <w:rFonts w:hint="default"/>
                      <w:snapToGrid w:val="0"/>
                      <w:color w:val="auto"/>
                      <w:highlight w:val="none"/>
                      <w:lang w:val="en-US" w:eastAsia="zh-CN"/>
                    </w:rPr>
                    <w:t>密度：0.78945</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熔点：-114.3</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沸点：78.4</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饱和蒸汽压：5.33KPa，外观：无色、透明，具有特殊香味的液体（易挥发），溶解性：与水混溶，可混溶于醚、氯仿、甘油等多数有机溶剂</w:t>
                  </w:r>
                  <w:r>
                    <w:rPr>
                      <w:rFonts w:hint="default"/>
                      <w:snapToGrid w:val="0"/>
                      <w:color w:val="auto"/>
                      <w:highlight w:val="none"/>
                    </w:rPr>
                    <w:t>；</w:t>
                  </w:r>
                </w:p>
              </w:tc>
              <w:tc>
                <w:tcPr>
                  <w:tcW w:w="1296" w:type="dxa"/>
                  <w:tcBorders>
                    <w:tl2br w:val="nil"/>
                    <w:tr2bl w:val="nil"/>
                  </w:tcBorders>
                  <w:noWrap w:val="0"/>
                  <w:vAlign w:val="center"/>
                </w:tcPr>
                <w:p w14:paraId="06C15D06">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易燃物质，</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"https://upimg.baike.so.com/doc/4338428-4543373.html" \t "https://upimg.baike.so.com/doc/_blank"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爆炸上限</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eastAsia" w:ascii="Times New Roman" w:hAnsi="Times New Roman"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V/V</w:t>
                  </w:r>
                  <w:r>
                    <w:rPr>
                      <w:rFonts w:hint="eastAsia" w:ascii="Times New Roman" w:hAnsi="Times New Roman"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：19.0</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begin"/>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instrText xml:space="preserve"> HYPERLINK "https://upimg.baike.so.com/doc/940274-993783.html" \t "https://upimg.baike.so.com/doc/_blank" </w:instrTex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separate"/>
                  </w:r>
                  <w:r>
                    <w:rPr>
                      <w:rStyle w:val="35"/>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t>爆炸下限</w:t>
                  </w:r>
                  <w:r>
                    <w:rPr>
                      <w:rFonts w:hint="default" w:ascii="Times New Roman" w:hAnsi="Times New Roman" w:eastAsia="宋体" w:cs="Times New Roman"/>
                      <w:i w:val="0"/>
                      <w:iCs w:val="0"/>
                      <w:caps w:val="0"/>
                      <w:snapToGrid w:val="0"/>
                      <w:color w:val="auto"/>
                      <w:spacing w:val="0"/>
                      <w:sz w:val="21"/>
                      <w:szCs w:val="21"/>
                      <w:highlight w:val="none"/>
                      <w:u w:val="none"/>
                      <w:shd w:val="clear" w:color="auto" w:fill="FFFFFF"/>
                    </w:rPr>
                    <w:fldChar w:fldCharType="end"/>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eastAsia" w:ascii="Times New Roman" w:hAnsi="Times New Roman"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V/V</w:t>
                  </w:r>
                  <w:r>
                    <w:rPr>
                      <w:rFonts w:hint="eastAsia" w:ascii="Times New Roman" w:hAnsi="Times New Roman"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：3.3</w:t>
                  </w:r>
                </w:p>
              </w:tc>
              <w:tc>
                <w:tcPr>
                  <w:tcW w:w="1618" w:type="dxa"/>
                  <w:tcBorders>
                    <w:tl2br w:val="nil"/>
                    <w:tr2bl w:val="nil"/>
                  </w:tcBorders>
                  <w:noWrap w:val="0"/>
                  <w:vAlign w:val="center"/>
                </w:tcPr>
                <w:p w14:paraId="4A091EA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7060mg/kg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兔经口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7340</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兔经皮</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37620mg/m</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perscript"/>
                    </w:rPr>
                    <w:t>3</w:t>
                  </w:r>
                </w:p>
              </w:tc>
            </w:tr>
            <w:tr w14:paraId="322923E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C9095C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碳酸钾</w:t>
                  </w:r>
                </w:p>
              </w:tc>
              <w:tc>
                <w:tcPr>
                  <w:tcW w:w="1142" w:type="dxa"/>
                  <w:tcBorders>
                    <w:tl2br w:val="nil"/>
                    <w:tr2bl w:val="nil"/>
                  </w:tcBorders>
                  <w:noWrap w:val="0"/>
                  <w:vAlign w:val="center"/>
                </w:tcPr>
                <w:p w14:paraId="311D49B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18"/>
                      <w:szCs w:val="18"/>
                      <w:highlight w:val="none"/>
                      <w:shd w:val="clear" w:color="auto" w:fill="FFFFFF"/>
                    </w:rPr>
                    <w:t>K</w:t>
                  </w:r>
                  <w:r>
                    <w:rPr>
                      <w:rFonts w:hint="default" w:ascii="Times New Roman" w:hAnsi="Times New Roman" w:eastAsia="宋体" w:cs="Times New Roman"/>
                      <w:i w:val="0"/>
                      <w:iCs w:val="0"/>
                      <w:caps w:val="0"/>
                      <w:snapToGrid w:val="0"/>
                      <w:color w:val="auto"/>
                      <w:spacing w:val="0"/>
                      <w:sz w:val="18"/>
                      <w:szCs w:val="18"/>
                      <w:highlight w:val="none"/>
                      <w:shd w:val="clear" w:color="auto" w:fill="FFFFFF"/>
                      <w:vertAlign w:val="subscript"/>
                    </w:rPr>
                    <w:t>2</w:t>
                  </w:r>
                  <w:r>
                    <w:rPr>
                      <w:rFonts w:hint="default" w:ascii="Times New Roman" w:hAnsi="Times New Roman" w:eastAsia="宋体" w:cs="Times New Roman"/>
                      <w:i w:val="0"/>
                      <w:iCs w:val="0"/>
                      <w:caps w:val="0"/>
                      <w:snapToGrid w:val="0"/>
                      <w:color w:val="auto"/>
                      <w:spacing w:val="0"/>
                      <w:sz w:val="18"/>
                      <w:szCs w:val="18"/>
                      <w:highlight w:val="none"/>
                      <w:shd w:val="clear" w:color="auto" w:fill="FFFFFF"/>
                    </w:rPr>
                    <w:t>CO</w:t>
                  </w:r>
                  <w:r>
                    <w:rPr>
                      <w:rFonts w:hint="default" w:ascii="Times New Roman" w:hAnsi="Times New Roman" w:eastAsia="宋体" w:cs="Times New Roman"/>
                      <w:i w:val="0"/>
                      <w:iCs w:val="0"/>
                      <w:caps w:val="0"/>
                      <w:snapToGrid w:val="0"/>
                      <w:color w:val="auto"/>
                      <w:spacing w:val="0"/>
                      <w:sz w:val="18"/>
                      <w:szCs w:val="18"/>
                      <w:highlight w:val="none"/>
                      <w:shd w:val="clear" w:color="auto" w:fill="FFFFFF"/>
                      <w:vertAlign w:val="subscript"/>
                    </w:rPr>
                    <w:t>3</w:t>
                  </w:r>
                </w:p>
              </w:tc>
              <w:tc>
                <w:tcPr>
                  <w:tcW w:w="2758" w:type="dxa"/>
                  <w:tcBorders>
                    <w:tl2br w:val="nil"/>
                    <w:tr2bl w:val="nil"/>
                  </w:tcBorders>
                  <w:noWrap w:val="0"/>
                  <w:vAlign w:val="center"/>
                </w:tcPr>
                <w:p w14:paraId="7F2C9C0A">
                  <w:pPr>
                    <w:bidi w:val="0"/>
                    <w:jc w:val="center"/>
                    <w:rPr>
                      <w:rFonts w:hint="default"/>
                      <w:snapToGrid w:val="0"/>
                      <w:color w:val="auto"/>
                      <w:highlight w:val="none"/>
                      <w:lang w:val="en-US" w:eastAsia="en-US"/>
                    </w:rPr>
                  </w:pPr>
                  <w:r>
                    <w:rPr>
                      <w:rFonts w:hint="default"/>
                      <w:snapToGrid w:val="0"/>
                      <w:color w:val="auto"/>
                      <w:highlight w:val="none"/>
                      <w:lang w:val="en-US" w:eastAsia="zh-CN"/>
                    </w:rPr>
                    <w:t>密度：2.428</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eastAsia"/>
                      <w:snapToGrid w:val="0"/>
                      <w:color w:val="auto"/>
                      <w:highlight w:val="none"/>
                      <w:lang w:eastAsia="zh-CN"/>
                    </w:rPr>
                    <w:t>，</w:t>
                  </w:r>
                  <w:r>
                    <w:rPr>
                      <w:rFonts w:hint="default"/>
                      <w:snapToGrid w:val="0"/>
                      <w:color w:val="auto"/>
                      <w:highlight w:val="none"/>
                      <w:lang w:val="en-US" w:eastAsia="zh-CN"/>
                    </w:rPr>
                    <w:t>熔点：891</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沸点：333.6</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外观：白色结晶粉末，无臭，有强碱味，相对密度：2.428，在水中溶解度为114.5g/100mL</w:t>
                  </w:r>
                  <w:r>
                    <w:rPr>
                      <w:rFonts w:hint="eastAsia"/>
                      <w:snapToGrid w:val="0"/>
                      <w:color w:val="auto"/>
                      <w:highlight w:val="none"/>
                      <w:lang w:val="en-US" w:eastAsia="zh-CN"/>
                    </w:rPr>
                    <w:t>（</w:t>
                  </w:r>
                  <w:r>
                    <w:rPr>
                      <w:rFonts w:hint="default"/>
                      <w:snapToGrid w:val="0"/>
                      <w:color w:val="auto"/>
                      <w:highlight w:val="none"/>
                      <w:lang w:val="en-US" w:eastAsia="zh-CN"/>
                    </w:rPr>
                    <w:t>25℃</w:t>
                  </w:r>
                  <w:r>
                    <w:rPr>
                      <w:rFonts w:hint="eastAsia"/>
                      <w:snapToGrid w:val="0"/>
                      <w:color w:val="auto"/>
                      <w:highlight w:val="none"/>
                      <w:lang w:val="en-US" w:eastAsia="zh-CN"/>
                    </w:rPr>
                    <w:t>）</w:t>
                  </w:r>
                  <w:r>
                    <w:rPr>
                      <w:rFonts w:hint="default"/>
                      <w:snapToGrid w:val="0"/>
                      <w:color w:val="auto"/>
                      <w:highlight w:val="none"/>
                      <w:lang w:val="en-US" w:eastAsia="zh-CN"/>
                    </w:rPr>
                    <w:t>，在湿空气中易吸湿潮解。</w:t>
                  </w:r>
                </w:p>
              </w:tc>
              <w:tc>
                <w:tcPr>
                  <w:tcW w:w="1296" w:type="dxa"/>
                  <w:tcBorders>
                    <w:tl2br w:val="nil"/>
                    <w:tr2bl w:val="nil"/>
                  </w:tcBorders>
                  <w:noWrap w:val="0"/>
                  <w:vAlign w:val="center"/>
                </w:tcPr>
                <w:p w14:paraId="589C5928">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23BB093A">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LD</w:t>
                  </w:r>
                  <w:r>
                    <w:rPr>
                      <w:rFonts w:hint="default" w:ascii="Times New Roman" w:hAnsi="Times New Roman" w:cs="Times New Roman"/>
                      <w:snapToGrid w:val="0"/>
                      <w:color w:val="auto"/>
                      <w:spacing w:val="3"/>
                      <w:kern w:val="0"/>
                      <w:sz w:val="21"/>
                      <w:szCs w:val="21"/>
                      <w:highlight w:val="none"/>
                      <w:vertAlign w:val="baseline"/>
                      <w:lang w:val="en-US" w:eastAsia="zh-CN" w:bidi="ar-SA"/>
                    </w:rPr>
                    <w:t>50</w:t>
                  </w:r>
                  <w:r>
                    <w:rPr>
                      <w:rFonts w:hint="eastAsia" w:ascii="Times New Roman" w:hAnsi="Times New Roman" w:cs="Times New Roman"/>
                      <w:snapToGrid w:val="0"/>
                      <w:color w:val="auto"/>
                      <w:spacing w:val="3"/>
                      <w:kern w:val="0"/>
                      <w:sz w:val="21"/>
                      <w:szCs w:val="21"/>
                      <w:highlight w:val="none"/>
                      <w:vertAlign w:val="baseline"/>
                      <w:lang w:val="en-US" w:eastAsia="zh-CN" w:bidi="ar-SA"/>
                    </w:rPr>
                    <w:t>：</w:t>
                  </w:r>
                  <w:r>
                    <w:rPr>
                      <w:rFonts w:hint="default" w:ascii="Times New Roman" w:hAnsi="Times New Roman" w:cs="Times New Roman"/>
                      <w:snapToGrid w:val="0"/>
                      <w:color w:val="auto"/>
                      <w:spacing w:val="3"/>
                      <w:kern w:val="0"/>
                      <w:sz w:val="21"/>
                      <w:szCs w:val="21"/>
                      <w:highlight w:val="none"/>
                      <w:lang w:val="en-US" w:eastAsia="zh-CN" w:bidi="ar-SA"/>
                    </w:rPr>
                    <w:t>1870mg/kg</w:t>
                  </w:r>
                  <w:r>
                    <w:rPr>
                      <w:rFonts w:hint="eastAsia" w:ascii="Times New Roman" w:hAnsi="Times New Roman" w:cs="Times New Roman"/>
                      <w:snapToGrid w:val="0"/>
                      <w:color w:val="auto"/>
                      <w:spacing w:val="3"/>
                      <w:kern w:val="0"/>
                      <w:sz w:val="21"/>
                      <w:szCs w:val="21"/>
                      <w:highlight w:val="none"/>
                      <w:lang w:val="en-US" w:eastAsia="zh-CN" w:bidi="ar-SA"/>
                    </w:rPr>
                    <w:t>（</w:t>
                  </w:r>
                  <w:r>
                    <w:rPr>
                      <w:rFonts w:hint="default" w:ascii="Times New Roman" w:hAnsi="Times New Roman" w:cs="Times New Roman"/>
                      <w:snapToGrid w:val="0"/>
                      <w:color w:val="auto"/>
                      <w:spacing w:val="3"/>
                      <w:kern w:val="0"/>
                      <w:sz w:val="21"/>
                      <w:szCs w:val="21"/>
                      <w:highlight w:val="none"/>
                      <w:lang w:val="en-US" w:eastAsia="zh-CN" w:bidi="ar-SA"/>
                    </w:rPr>
                    <w:t>大鼠经口</w:t>
                  </w:r>
                  <w:r>
                    <w:rPr>
                      <w:rFonts w:hint="eastAsia" w:ascii="Times New Roman" w:hAnsi="Times New Roman" w:cs="Times New Roman"/>
                      <w:snapToGrid w:val="0"/>
                      <w:color w:val="auto"/>
                      <w:spacing w:val="3"/>
                      <w:kern w:val="0"/>
                      <w:sz w:val="21"/>
                      <w:szCs w:val="21"/>
                      <w:highlight w:val="none"/>
                      <w:lang w:val="en-US" w:eastAsia="zh-CN" w:bidi="ar-SA"/>
                    </w:rPr>
                    <w:t>）</w:t>
                  </w:r>
                </w:p>
              </w:tc>
            </w:tr>
            <w:tr w14:paraId="5290FF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157BCC9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磷酸钾</w:t>
                  </w:r>
                </w:p>
              </w:tc>
              <w:tc>
                <w:tcPr>
                  <w:tcW w:w="1142" w:type="dxa"/>
                  <w:tcBorders>
                    <w:tl2br w:val="nil"/>
                    <w:tr2bl w:val="nil"/>
                  </w:tcBorders>
                  <w:noWrap w:val="0"/>
                  <w:vAlign w:val="center"/>
                </w:tcPr>
                <w:p w14:paraId="4FB5D6CD">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K</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bscript"/>
                    </w:rPr>
                    <w:t>3</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PO</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bscript"/>
                    </w:rPr>
                    <w:t>4</w:t>
                  </w:r>
                </w:p>
              </w:tc>
              <w:tc>
                <w:tcPr>
                  <w:tcW w:w="2758" w:type="dxa"/>
                  <w:tcBorders>
                    <w:tl2br w:val="nil"/>
                    <w:tr2bl w:val="nil"/>
                  </w:tcBorders>
                  <w:noWrap w:val="0"/>
                  <w:vAlign w:val="center"/>
                </w:tcPr>
                <w:p w14:paraId="43E3A6B3">
                  <w:pPr>
                    <w:bidi w:val="0"/>
                    <w:jc w:val="center"/>
                    <w:rPr>
                      <w:rFonts w:hint="default"/>
                      <w:snapToGrid w:val="0"/>
                      <w:color w:val="auto"/>
                      <w:highlight w:val="none"/>
                      <w:lang w:val="en-US" w:eastAsia="en-US"/>
                    </w:rPr>
                  </w:pPr>
                  <w:r>
                    <w:rPr>
                      <w:rFonts w:hint="default"/>
                      <w:snapToGrid w:val="0"/>
                      <w:color w:val="auto"/>
                      <w:highlight w:val="none"/>
                      <w:lang w:val="en-US" w:eastAsia="zh-CN"/>
                    </w:rPr>
                    <w:t>密度：</w:t>
                  </w:r>
                  <w:r>
                    <w:rPr>
                      <w:rFonts w:hint="default"/>
                      <w:snapToGrid w:val="0"/>
                      <w:color w:val="auto"/>
                      <w:highlight w:val="none"/>
                    </w:rPr>
                    <w:t>2</w:t>
                  </w:r>
                  <w:r>
                    <w:rPr>
                      <w:rFonts w:hint="eastAsia"/>
                      <w:snapToGrid w:val="0"/>
                      <w:color w:val="auto"/>
                      <w:highlight w:val="none"/>
                      <w:lang w:val="en-US" w:eastAsia="zh-CN"/>
                    </w:rPr>
                    <w:t>.</w:t>
                  </w:r>
                  <w:r>
                    <w:rPr>
                      <w:rFonts w:hint="default"/>
                      <w:snapToGrid w:val="0"/>
                      <w:color w:val="auto"/>
                      <w:highlight w:val="none"/>
                    </w:rPr>
                    <w:t>564g/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eastAsia"/>
                      <w:snapToGrid w:val="0"/>
                      <w:color w:val="auto"/>
                      <w:highlight w:val="none"/>
                      <w:lang w:eastAsia="zh-CN"/>
                    </w:rPr>
                    <w:t>，</w:t>
                  </w:r>
                  <w:r>
                    <w:rPr>
                      <w:rFonts w:hint="default"/>
                      <w:snapToGrid w:val="0"/>
                      <w:color w:val="auto"/>
                      <w:highlight w:val="none"/>
                      <w:lang w:val="en-US" w:eastAsia="zh-CN"/>
                    </w:rPr>
                    <w:t>熔点：1380</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外观：无色斜方晶系结晶或白色</w:t>
                  </w:r>
                  <w:r>
                    <w:rPr>
                      <w:rFonts w:hint="eastAsia"/>
                      <w:snapToGrid w:val="0"/>
                      <w:color w:val="auto"/>
                      <w:highlight w:val="none"/>
                      <w:lang w:val="en-US" w:eastAsia="zh-CN"/>
                    </w:rPr>
                    <w:t>结晶</w:t>
                  </w:r>
                  <w:r>
                    <w:rPr>
                      <w:rFonts w:hint="default"/>
                      <w:snapToGrid w:val="0"/>
                      <w:color w:val="auto"/>
                      <w:highlight w:val="none"/>
                      <w:lang w:val="en-US" w:eastAsia="zh-CN"/>
                    </w:rPr>
                    <w:t>粉末，溶解性：易溶于水，难溶于乙醇，水溶液呈碱性，有强腐蚀性，吸湿性较强。</w:t>
                  </w:r>
                </w:p>
              </w:tc>
              <w:tc>
                <w:tcPr>
                  <w:tcW w:w="1296" w:type="dxa"/>
                  <w:tcBorders>
                    <w:tl2br w:val="nil"/>
                    <w:tr2bl w:val="nil"/>
                  </w:tcBorders>
                  <w:noWrap w:val="0"/>
                  <w:vAlign w:val="center"/>
                </w:tcPr>
                <w:p w14:paraId="0B9E72C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74D9CEC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281A3B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FA4DD2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叔丁醇钠</w:t>
                  </w:r>
                </w:p>
              </w:tc>
              <w:tc>
                <w:tcPr>
                  <w:tcW w:w="1142" w:type="dxa"/>
                  <w:tcBorders>
                    <w:tl2br w:val="nil"/>
                    <w:tr2bl w:val="nil"/>
                  </w:tcBorders>
                  <w:noWrap w:val="0"/>
                  <w:vAlign w:val="center"/>
                </w:tcPr>
                <w:p w14:paraId="7096F3C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4</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9</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NaO</w:t>
                  </w:r>
                </w:p>
              </w:tc>
              <w:tc>
                <w:tcPr>
                  <w:tcW w:w="2758" w:type="dxa"/>
                  <w:tcBorders>
                    <w:tl2br w:val="nil"/>
                    <w:tr2bl w:val="nil"/>
                  </w:tcBorders>
                  <w:noWrap w:val="0"/>
                  <w:vAlign w:val="center"/>
                </w:tcPr>
                <w:p w14:paraId="5199D467">
                  <w:pPr>
                    <w:bidi w:val="0"/>
                    <w:jc w:val="center"/>
                    <w:rPr>
                      <w:rFonts w:hint="default"/>
                      <w:snapToGrid w:val="0"/>
                      <w:color w:val="auto"/>
                      <w:highlight w:val="none"/>
                      <w:lang w:val="en-US" w:eastAsia="en-US"/>
                    </w:rPr>
                  </w:pPr>
                  <w:r>
                    <w:rPr>
                      <w:rFonts w:hint="default"/>
                      <w:snapToGrid w:val="0"/>
                      <w:color w:val="auto"/>
                      <w:highlight w:val="none"/>
                      <w:lang w:val="en-US" w:eastAsia="zh-CN"/>
                    </w:rPr>
                    <w:t>密度：1.104</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eastAsia"/>
                      <w:snapToGrid w:val="0"/>
                      <w:color w:val="auto"/>
                      <w:highlight w:val="none"/>
                      <w:lang w:eastAsia="zh-CN"/>
                    </w:rPr>
                    <w:t>，</w:t>
                  </w:r>
                  <w:r>
                    <w:rPr>
                      <w:rFonts w:hint="default"/>
                      <w:snapToGrid w:val="0"/>
                      <w:color w:val="auto"/>
                      <w:highlight w:val="none"/>
                      <w:lang w:val="en-US" w:eastAsia="zh-CN"/>
                    </w:rPr>
                    <w:t>熔点：180</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外观：白色晶体，溶解性：与水反应。常温常压下稳定，避免强还原剂、水分、空气、酸接触</w:t>
                  </w:r>
                </w:p>
              </w:tc>
              <w:tc>
                <w:tcPr>
                  <w:tcW w:w="1296" w:type="dxa"/>
                  <w:tcBorders>
                    <w:tl2br w:val="nil"/>
                    <w:tr2bl w:val="nil"/>
                  </w:tcBorders>
                  <w:noWrap w:val="0"/>
                  <w:vAlign w:val="center"/>
                </w:tcPr>
                <w:p w14:paraId="3EE2C02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2C356F4B">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44E613C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BD8EC9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三乙胺</w:t>
                  </w:r>
                </w:p>
              </w:tc>
              <w:tc>
                <w:tcPr>
                  <w:tcW w:w="1142" w:type="dxa"/>
                  <w:tcBorders>
                    <w:tl2br w:val="nil"/>
                    <w:tr2bl w:val="nil"/>
                  </w:tcBorders>
                  <w:noWrap w:val="0"/>
                  <w:vAlign w:val="center"/>
                </w:tcPr>
                <w:p w14:paraId="4F10566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6</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15</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w:t>
                  </w:r>
                </w:p>
              </w:tc>
              <w:tc>
                <w:tcPr>
                  <w:tcW w:w="2758" w:type="dxa"/>
                  <w:tcBorders>
                    <w:tl2br w:val="nil"/>
                    <w:tr2bl w:val="nil"/>
                  </w:tcBorders>
                  <w:noWrap w:val="0"/>
                  <w:vAlign w:val="center"/>
                </w:tcPr>
                <w:p w14:paraId="43FD8A77">
                  <w:pPr>
                    <w:bidi w:val="0"/>
                    <w:jc w:val="center"/>
                    <w:rPr>
                      <w:rFonts w:hint="default"/>
                      <w:snapToGrid w:val="0"/>
                      <w:color w:val="auto"/>
                      <w:highlight w:val="none"/>
                      <w:lang w:val="en-US" w:eastAsia="en-US"/>
                    </w:rPr>
                  </w:pPr>
                  <w:r>
                    <w:rPr>
                      <w:rFonts w:hint="default"/>
                      <w:snapToGrid w:val="0"/>
                      <w:color w:val="auto"/>
                      <w:highlight w:val="none"/>
                      <w:lang w:val="en-US" w:eastAsia="zh-CN"/>
                    </w:rPr>
                    <w:t>密度：0.728</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val="en-US" w:eastAsia="zh-CN"/>
                    </w:rPr>
                    <w:t>熔点：-115</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沸点：90℃，</w:t>
                  </w:r>
                  <w:r>
                    <w:rPr>
                      <w:rFonts w:hint="eastAsia"/>
                      <w:snapToGrid w:val="0"/>
                      <w:color w:val="auto"/>
                      <w:highlight w:val="none"/>
                      <w:lang w:val="en-US" w:eastAsia="zh-CN"/>
                    </w:rPr>
                    <w:t>饱和蒸气</w:t>
                  </w:r>
                  <w:r>
                    <w:rPr>
                      <w:rFonts w:hint="default"/>
                      <w:snapToGrid w:val="0"/>
                      <w:color w:val="auto"/>
                      <w:highlight w:val="none"/>
                      <w:lang w:val="en-US" w:eastAsia="zh-CN"/>
                    </w:rPr>
                    <w:t>压：7.2KPa，外观：无色油状液体，溶解性：微溶于水，溶于乙醇、乙醚、丙酮等多数有机溶剂</w:t>
                  </w:r>
                </w:p>
              </w:tc>
              <w:tc>
                <w:tcPr>
                  <w:tcW w:w="1296" w:type="dxa"/>
                  <w:tcBorders>
                    <w:tl2br w:val="nil"/>
                    <w:tr2bl w:val="nil"/>
                  </w:tcBorders>
                  <w:noWrap w:val="0"/>
                  <w:vAlign w:val="center"/>
                </w:tcPr>
                <w:p w14:paraId="024474AC">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易燃</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爆炸上限（V/V）</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8.0</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，爆炸下限（V/V）：1.2</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p>
              </w:tc>
              <w:tc>
                <w:tcPr>
                  <w:tcW w:w="1618" w:type="dxa"/>
                  <w:tcBorders>
                    <w:tl2br w:val="nil"/>
                    <w:tr2bl w:val="nil"/>
                  </w:tcBorders>
                  <w:noWrap w:val="0"/>
                  <w:vAlign w:val="center"/>
                </w:tcPr>
                <w:p w14:paraId="6888AAC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Helvetica" w:cs="Times New Roman"/>
                      <w:i w:val="0"/>
                      <w:iCs w:val="0"/>
                      <w:caps w:val="0"/>
                      <w:snapToGrid w:val="0"/>
                      <w:color w:val="auto"/>
                      <w:spacing w:val="0"/>
                      <w:sz w:val="18"/>
                      <w:szCs w:val="18"/>
                      <w:highlight w:val="none"/>
                      <w:shd w:val="clear" w:color="auto" w:fill="FFFFFF"/>
                      <w:lang w:val="en-US" w:eastAsia="en-US"/>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：460mg/kg（大鼠经口）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570μL</w:t>
                  </w:r>
                  <w:r>
                    <w:rPr>
                      <w:rFonts w:hint="eastAsia"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416.1mg</w:t>
                  </w:r>
                  <w:r>
                    <w:rPr>
                      <w:rFonts w:hint="eastAsia"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/kg（兔经皮）</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：6g/m</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perscript"/>
                    </w:rPr>
                    <w:t>3</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（小鼠吸入）</w:t>
                  </w:r>
                </w:p>
              </w:tc>
            </w:tr>
            <w:tr w14:paraId="415E7A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07AD424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四丁基氟化铵</w:t>
                  </w:r>
                </w:p>
              </w:tc>
              <w:tc>
                <w:tcPr>
                  <w:tcW w:w="1142" w:type="dxa"/>
                  <w:tcBorders>
                    <w:tl2br w:val="nil"/>
                    <w:tr2bl w:val="nil"/>
                  </w:tcBorders>
                  <w:noWrap w:val="0"/>
                  <w:vAlign w:val="center"/>
                </w:tcPr>
                <w:p w14:paraId="3E00273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C</w:t>
                  </w:r>
                  <w:r>
                    <w:rPr>
                      <w:rFonts w:hint="default" w:ascii="Times New Roman" w:hAnsi="Times New Roman" w:eastAsia="宋体" w:cs="Times New Roman"/>
                      <w:i w:val="0"/>
                      <w:iCs w:val="0"/>
                      <w:caps w:val="0"/>
                      <w:snapToGrid w:val="0"/>
                      <w:color w:val="auto"/>
                      <w:spacing w:val="0"/>
                      <w:sz w:val="15"/>
                      <w:szCs w:val="15"/>
                      <w:highlight w:val="none"/>
                      <w:shd w:val="clear" w:color="auto" w:fill="FFFFFF"/>
                      <w:vertAlign w:val="baseline"/>
                    </w:rPr>
                    <w:t>16</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H</w:t>
                  </w:r>
                  <w:r>
                    <w:rPr>
                      <w:rFonts w:hint="default" w:ascii="Times New Roman" w:hAnsi="Times New Roman" w:eastAsia="宋体" w:cs="Times New Roman"/>
                      <w:i w:val="0"/>
                      <w:iCs w:val="0"/>
                      <w:caps w:val="0"/>
                      <w:snapToGrid w:val="0"/>
                      <w:color w:val="auto"/>
                      <w:spacing w:val="0"/>
                      <w:sz w:val="15"/>
                      <w:szCs w:val="15"/>
                      <w:highlight w:val="none"/>
                      <w:shd w:val="clear" w:color="auto" w:fill="FFFFFF"/>
                      <w:vertAlign w:val="baseline"/>
                    </w:rPr>
                    <w:t>36</w:t>
                  </w: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FN</w:t>
                  </w:r>
                </w:p>
              </w:tc>
              <w:tc>
                <w:tcPr>
                  <w:tcW w:w="2758" w:type="dxa"/>
                  <w:tcBorders>
                    <w:tl2br w:val="nil"/>
                    <w:tr2bl w:val="nil"/>
                  </w:tcBorders>
                  <w:noWrap w:val="0"/>
                  <w:vAlign w:val="center"/>
                </w:tcPr>
                <w:p w14:paraId="1E2C4D57">
                  <w:pPr>
                    <w:bidi w:val="0"/>
                    <w:jc w:val="center"/>
                    <w:rPr>
                      <w:rFonts w:hint="default"/>
                      <w:snapToGrid w:val="0"/>
                      <w:color w:val="auto"/>
                      <w:highlight w:val="none"/>
                      <w:lang w:val="en-US" w:eastAsia="en-US"/>
                    </w:rPr>
                  </w:pPr>
                  <w:r>
                    <w:rPr>
                      <w:rFonts w:hint="default"/>
                      <w:snapToGrid w:val="0"/>
                      <w:color w:val="auto"/>
                      <w:highlight w:val="none"/>
                      <w:lang w:val="en-US" w:eastAsia="zh-CN"/>
                    </w:rPr>
                    <w:t>密度：2.6</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eastAsia"/>
                      <w:snapToGrid w:val="0"/>
                      <w:color w:val="auto"/>
                      <w:highlight w:val="none"/>
                      <w:lang w:eastAsia="zh-CN"/>
                    </w:rPr>
                    <w:t>，</w:t>
                  </w:r>
                  <w:r>
                    <w:rPr>
                      <w:rFonts w:hint="default"/>
                      <w:snapToGrid w:val="0"/>
                      <w:color w:val="auto"/>
                      <w:highlight w:val="none"/>
                      <w:lang w:val="en-US" w:eastAsia="zh-CN"/>
                    </w:rPr>
                    <w:t>熔点：62</w:t>
                  </w:r>
                  <w:r>
                    <w:rPr>
                      <w:rFonts w:hint="eastAsia"/>
                      <w:snapToGrid w:val="0"/>
                      <w:color w:val="auto"/>
                      <w:highlight w:val="none"/>
                      <w:lang w:val="en-US" w:eastAsia="zh-CN"/>
                    </w:rPr>
                    <w:t>～</w:t>
                  </w:r>
                  <w:r>
                    <w:rPr>
                      <w:rFonts w:hint="default"/>
                      <w:snapToGrid w:val="0"/>
                      <w:color w:val="auto"/>
                      <w:highlight w:val="none"/>
                      <w:lang w:val="en-US" w:eastAsia="zh-CN"/>
                    </w:rPr>
                    <w:t>63</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水溶性：溶于水，外观：白色固体，应用：良好的阳离子型相转移催化剂</w:t>
                  </w:r>
                </w:p>
              </w:tc>
              <w:tc>
                <w:tcPr>
                  <w:tcW w:w="1296" w:type="dxa"/>
                  <w:tcBorders>
                    <w:tl2br w:val="nil"/>
                    <w:tr2bl w:val="nil"/>
                  </w:tcBorders>
                  <w:noWrap w:val="0"/>
                  <w:vAlign w:val="center"/>
                </w:tcPr>
                <w:p w14:paraId="27376280">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472E8588">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56AAD8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CBFDB5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三溴化硼</w:t>
                  </w:r>
                </w:p>
              </w:tc>
              <w:tc>
                <w:tcPr>
                  <w:tcW w:w="1142" w:type="dxa"/>
                  <w:tcBorders>
                    <w:tl2br w:val="nil"/>
                    <w:tr2bl w:val="nil"/>
                  </w:tcBorders>
                  <w:noWrap w:val="0"/>
                  <w:vAlign w:val="center"/>
                </w:tcPr>
                <w:p w14:paraId="2A3D87F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BBr</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3</w:t>
                  </w:r>
                </w:p>
              </w:tc>
              <w:tc>
                <w:tcPr>
                  <w:tcW w:w="2758" w:type="dxa"/>
                  <w:tcBorders>
                    <w:tl2br w:val="nil"/>
                    <w:tr2bl w:val="nil"/>
                  </w:tcBorders>
                  <w:noWrap w:val="0"/>
                  <w:vAlign w:val="center"/>
                </w:tcPr>
                <w:p w14:paraId="2E500094">
                  <w:pPr>
                    <w:bidi w:val="0"/>
                    <w:jc w:val="center"/>
                    <w:rPr>
                      <w:rFonts w:hint="default"/>
                      <w:snapToGrid w:val="0"/>
                      <w:color w:val="auto"/>
                      <w:highlight w:val="none"/>
                      <w:lang w:val="en-US" w:eastAsia="en-US"/>
                    </w:rPr>
                  </w:pPr>
                  <w:r>
                    <w:rPr>
                      <w:rFonts w:hint="default"/>
                      <w:snapToGrid w:val="0"/>
                      <w:color w:val="auto"/>
                      <w:highlight w:val="none"/>
                      <w:lang w:val="en-US" w:eastAsia="zh-CN"/>
                    </w:rPr>
                    <w:t>密度：0.953</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熔点：-46</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沸点：约90℃，</w:t>
                  </w:r>
                  <w:r>
                    <w:rPr>
                      <w:rFonts w:hint="eastAsia"/>
                      <w:snapToGrid w:val="0"/>
                      <w:color w:val="auto"/>
                      <w:highlight w:val="none"/>
                      <w:lang w:val="en-US" w:eastAsia="zh-CN"/>
                    </w:rPr>
                    <w:t>饱和蒸气</w:t>
                  </w:r>
                  <w:r>
                    <w:rPr>
                      <w:rFonts w:hint="default"/>
                      <w:snapToGrid w:val="0"/>
                      <w:color w:val="auto"/>
                      <w:highlight w:val="none"/>
                      <w:lang w:val="en-US" w:eastAsia="zh-CN"/>
                    </w:rPr>
                    <w:t>压：5.33kPa，外观：无色透明液体，溶解性：溶于四氯化碳、二氧化硫（液体）、二硫化碳</w:t>
                  </w:r>
                </w:p>
              </w:tc>
              <w:tc>
                <w:tcPr>
                  <w:tcW w:w="1296" w:type="dxa"/>
                  <w:tcBorders>
                    <w:tl2br w:val="nil"/>
                    <w:tr2bl w:val="nil"/>
                  </w:tcBorders>
                  <w:noWrap w:val="0"/>
                  <w:vAlign w:val="center"/>
                </w:tcPr>
                <w:p w14:paraId="110A0E44">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201DBD4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3C7AE9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25D3F5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三氟乙酸</w:t>
                  </w:r>
                </w:p>
              </w:tc>
              <w:tc>
                <w:tcPr>
                  <w:tcW w:w="1142" w:type="dxa"/>
                  <w:tcBorders>
                    <w:tl2br w:val="nil"/>
                    <w:tr2bl w:val="nil"/>
                  </w:tcBorders>
                  <w:noWrap w:val="0"/>
                  <w:vAlign w:val="center"/>
                </w:tcPr>
                <w:p w14:paraId="4DACDE7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HF</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3</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p>
              </w:tc>
              <w:tc>
                <w:tcPr>
                  <w:tcW w:w="2758" w:type="dxa"/>
                  <w:tcBorders>
                    <w:tl2br w:val="nil"/>
                    <w:tr2bl w:val="nil"/>
                  </w:tcBorders>
                  <w:noWrap w:val="0"/>
                  <w:vAlign w:val="center"/>
                </w:tcPr>
                <w:p w14:paraId="37269E87">
                  <w:pPr>
                    <w:bidi w:val="0"/>
                    <w:jc w:val="center"/>
                    <w:rPr>
                      <w:rFonts w:hint="default"/>
                      <w:snapToGrid w:val="0"/>
                      <w:color w:val="auto"/>
                      <w:highlight w:val="none"/>
                      <w:lang w:val="en-US" w:eastAsia="en-US"/>
                    </w:rPr>
                  </w:pPr>
                  <w:r>
                    <w:rPr>
                      <w:rFonts w:hint="default"/>
                      <w:snapToGrid w:val="0"/>
                      <w:color w:val="auto"/>
                      <w:highlight w:val="none"/>
                      <w:lang w:val="en-US" w:eastAsia="zh-CN"/>
                    </w:rPr>
                    <w:t>密度：1.535</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熔点：-15</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沸点：72.4℃，</w:t>
                  </w:r>
                  <w:r>
                    <w:rPr>
                      <w:rFonts w:hint="eastAsia"/>
                      <w:snapToGrid w:val="0"/>
                      <w:color w:val="auto"/>
                      <w:highlight w:val="none"/>
                      <w:lang w:val="en-US" w:eastAsia="zh-CN"/>
                    </w:rPr>
                    <w:t>饱和蒸气</w:t>
                  </w:r>
                  <w:r>
                    <w:rPr>
                      <w:rFonts w:hint="default"/>
                      <w:snapToGrid w:val="0"/>
                      <w:color w:val="auto"/>
                      <w:highlight w:val="none"/>
                      <w:lang w:val="en-US" w:eastAsia="zh-CN"/>
                    </w:rPr>
                    <w:t>压：14.23kPa，外观：无色透明液体，溶解性：易溶于水、乙醇、乙醚、丙酮、苯</w:t>
                  </w:r>
                </w:p>
              </w:tc>
              <w:tc>
                <w:tcPr>
                  <w:tcW w:w="1296" w:type="dxa"/>
                  <w:tcBorders>
                    <w:tl2br w:val="nil"/>
                    <w:tr2bl w:val="nil"/>
                  </w:tcBorders>
                  <w:noWrap w:val="0"/>
                  <w:vAlign w:val="center"/>
                </w:tcPr>
                <w:p w14:paraId="0DD65E9F">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无</w:t>
                  </w:r>
                </w:p>
              </w:tc>
              <w:tc>
                <w:tcPr>
                  <w:tcW w:w="1618" w:type="dxa"/>
                  <w:tcBorders>
                    <w:tl2br w:val="nil"/>
                    <w:tr2bl w:val="nil"/>
                  </w:tcBorders>
                  <w:noWrap w:val="0"/>
                  <w:vAlign w:val="center"/>
                </w:tcPr>
                <w:p w14:paraId="761337C8">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baseline"/>
                    </w:rPr>
                    <w:t>50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500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mg/kg（大鼠经口）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baseline"/>
                      <w:lang w:val="en-US" w:eastAsia="zh-CN"/>
                    </w:rPr>
                    <w:t>3</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baseline"/>
                    </w:rPr>
                    <w:t>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10mg/m</w:t>
                  </w:r>
                  <w:r>
                    <w:rPr>
                      <w:rFonts w:hint="default" w:ascii="Times New Roman" w:hAnsi="Times New Roman" w:eastAsia="宋体" w:cs="Times New Roman"/>
                      <w:i w:val="0"/>
                      <w:iCs w:val="0"/>
                      <w:caps w:val="0"/>
                      <w:snapToGrid w:val="0"/>
                      <w:color w:val="auto"/>
                      <w:spacing w:val="0"/>
                      <w:sz w:val="21"/>
                      <w:szCs w:val="21"/>
                      <w:highlight w:val="none"/>
                      <w:shd w:val="clear" w:color="auto" w:fill="FFFFFF"/>
                      <w:vertAlign w:val="superscript"/>
                      <w:lang w:val="en-US" w:eastAsia="zh-CN"/>
                    </w:rPr>
                    <w:t>3</w:t>
                  </w:r>
                </w:p>
              </w:tc>
            </w:tr>
            <w:tr w14:paraId="3103FB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15A282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snapToGrid w:val="0"/>
                      <w:color w:val="auto"/>
                      <w:sz w:val="21"/>
                      <w:szCs w:val="21"/>
                      <w:highlight w:val="none"/>
                      <w:lang w:val="en-US" w:eastAsia="zh-CN"/>
                    </w:rPr>
                    <w:t>甲酸</w:t>
                  </w:r>
                </w:p>
              </w:tc>
              <w:tc>
                <w:tcPr>
                  <w:tcW w:w="1142" w:type="dxa"/>
                  <w:tcBorders>
                    <w:tl2br w:val="nil"/>
                    <w:tr2bl w:val="nil"/>
                  </w:tcBorders>
                  <w:noWrap w:val="0"/>
                  <w:vAlign w:val="center"/>
                </w:tcPr>
                <w:p w14:paraId="38F005D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HCOOH</w:t>
                  </w:r>
                </w:p>
              </w:tc>
              <w:tc>
                <w:tcPr>
                  <w:tcW w:w="2758" w:type="dxa"/>
                  <w:tcBorders>
                    <w:tl2br w:val="nil"/>
                    <w:tr2bl w:val="nil"/>
                  </w:tcBorders>
                  <w:noWrap w:val="0"/>
                  <w:vAlign w:val="center"/>
                </w:tcPr>
                <w:p w14:paraId="492DAFCB">
                  <w:pPr>
                    <w:bidi w:val="0"/>
                    <w:jc w:val="center"/>
                    <w:rPr>
                      <w:rFonts w:hint="default"/>
                      <w:snapToGrid w:val="0"/>
                      <w:color w:val="auto"/>
                      <w:highlight w:val="none"/>
                      <w:lang w:val="en-US" w:eastAsia="zh-CN"/>
                    </w:rPr>
                  </w:pPr>
                  <w:r>
                    <w:rPr>
                      <w:rFonts w:hint="default"/>
                      <w:snapToGrid w:val="0"/>
                      <w:color w:val="auto"/>
                      <w:highlight w:val="none"/>
                      <w:lang w:val="en-US" w:eastAsia="zh-CN"/>
                    </w:rPr>
                    <w:t>密度：1.220</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熔点：-15</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沸点：72.4℃，</w:t>
                  </w:r>
                  <w:r>
                    <w:rPr>
                      <w:rFonts w:hint="eastAsia"/>
                      <w:snapToGrid w:val="0"/>
                      <w:color w:val="auto"/>
                      <w:highlight w:val="none"/>
                      <w:lang w:val="en-US" w:eastAsia="zh-CN"/>
                    </w:rPr>
                    <w:t>饱和蒸气</w:t>
                  </w:r>
                  <w:r>
                    <w:rPr>
                      <w:rFonts w:hint="default"/>
                      <w:snapToGrid w:val="0"/>
                      <w:color w:val="auto"/>
                      <w:highlight w:val="none"/>
                      <w:lang w:val="en-US" w:eastAsia="zh-CN"/>
                    </w:rPr>
                    <w:t>压：5.33kPa，外观：无色透明液体，溶解性：能与水、乙醇、乙醚和甘油任意混溶，和大多数的极性有机溶剂混溶，在烃中也有一定的溶解性。</w:t>
                  </w:r>
                </w:p>
              </w:tc>
              <w:tc>
                <w:tcPr>
                  <w:tcW w:w="1296" w:type="dxa"/>
                  <w:tcBorders>
                    <w:tl2br w:val="nil"/>
                    <w:tr2bl w:val="nil"/>
                  </w:tcBorders>
                  <w:noWrap w:val="0"/>
                  <w:vAlign w:val="center"/>
                </w:tcPr>
                <w:p w14:paraId="78C88A9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爆炸上限（V/V）</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57.0</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，爆炸下限（V/V）：18.0</w:t>
                  </w:r>
                  <w:r>
                    <w:rPr>
                      <w:rFonts w:hint="eastAsia" w:ascii="Times New Roman" w:hAnsi="Times New Roman" w:cs="Times New Roman"/>
                      <w:i w:val="0"/>
                      <w:iCs w:val="0"/>
                      <w:caps w:val="0"/>
                      <w:snapToGrid w:val="0"/>
                      <w:color w:val="auto"/>
                      <w:spacing w:val="0"/>
                      <w:sz w:val="21"/>
                      <w:szCs w:val="21"/>
                      <w:highlight w:val="none"/>
                      <w:shd w:val="clear" w:color="auto" w:fill="FFFFFF"/>
                      <w:lang w:val="en-US" w:eastAsia="zh-CN"/>
                    </w:rPr>
                    <w:t>%</w:t>
                  </w:r>
                </w:p>
              </w:tc>
              <w:tc>
                <w:tcPr>
                  <w:tcW w:w="1618" w:type="dxa"/>
                  <w:tcBorders>
                    <w:tl2br w:val="nil"/>
                    <w:tr2bl w:val="nil"/>
                  </w:tcBorders>
                  <w:noWrap w:val="0"/>
                  <w:vAlign w:val="center"/>
                </w:tcPr>
                <w:p w14:paraId="10289EE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5058E0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E40DC2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双（三甲硅基）铵基锂</w:t>
                  </w:r>
                </w:p>
              </w:tc>
              <w:tc>
                <w:tcPr>
                  <w:tcW w:w="1142" w:type="dxa"/>
                  <w:tcBorders>
                    <w:tl2br w:val="nil"/>
                    <w:tr2bl w:val="nil"/>
                  </w:tcBorders>
                  <w:noWrap w:val="0"/>
                  <w:vAlign w:val="center"/>
                </w:tcPr>
                <w:p w14:paraId="488F0D57">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highlight w:val="none"/>
                      <w:lang w:val="en-US" w:eastAsia="zh-CN" w:bidi="ar-SA"/>
                    </w:rPr>
                  </w:pPr>
                  <w:r>
                    <w:rPr>
                      <w:rFonts w:hint="default" w:ascii="Times New Roman" w:hAnsi="Times New Roman" w:cs="Times New Roman"/>
                      <w:snapToGrid w:val="0"/>
                      <w:color w:val="auto"/>
                      <w:spacing w:val="3"/>
                      <w:kern w:val="0"/>
                      <w:sz w:val="21"/>
                      <w:szCs w:val="21"/>
                      <w:highlight w:val="none"/>
                      <w:lang w:val="en-US" w:eastAsia="zh-CN" w:bidi="ar-SA"/>
                    </w:rPr>
                    <w:t>C</w:t>
                  </w:r>
                  <w:r>
                    <w:rPr>
                      <w:rFonts w:hint="default" w:ascii="Times New Roman" w:hAnsi="Times New Roman" w:cs="Times New Roman"/>
                      <w:snapToGrid w:val="0"/>
                      <w:color w:val="auto"/>
                      <w:spacing w:val="3"/>
                      <w:kern w:val="0"/>
                      <w:sz w:val="21"/>
                      <w:szCs w:val="21"/>
                      <w:highlight w:val="none"/>
                      <w:vertAlign w:val="subscript"/>
                      <w:lang w:val="en-US" w:eastAsia="zh-CN" w:bidi="ar-SA"/>
                    </w:rPr>
                    <w:t>6</w:t>
                  </w:r>
                  <w:r>
                    <w:rPr>
                      <w:rFonts w:hint="default" w:ascii="Times New Roman" w:hAnsi="Times New Roman" w:cs="Times New Roman"/>
                      <w:snapToGrid w:val="0"/>
                      <w:color w:val="auto"/>
                      <w:spacing w:val="3"/>
                      <w:kern w:val="0"/>
                      <w:sz w:val="21"/>
                      <w:szCs w:val="21"/>
                      <w:highlight w:val="none"/>
                      <w:lang w:val="en-US" w:eastAsia="zh-CN" w:bidi="ar-SA"/>
                    </w:rPr>
                    <w:t>H</w:t>
                  </w:r>
                  <w:r>
                    <w:rPr>
                      <w:rFonts w:hint="default" w:ascii="Times New Roman" w:hAnsi="Times New Roman" w:cs="Times New Roman"/>
                      <w:snapToGrid w:val="0"/>
                      <w:color w:val="auto"/>
                      <w:spacing w:val="3"/>
                      <w:kern w:val="0"/>
                      <w:sz w:val="21"/>
                      <w:szCs w:val="21"/>
                      <w:highlight w:val="none"/>
                      <w:vertAlign w:val="subscript"/>
                      <w:lang w:val="en-US" w:eastAsia="zh-CN" w:bidi="ar-SA"/>
                    </w:rPr>
                    <w:t>18</w:t>
                  </w:r>
                  <w:r>
                    <w:rPr>
                      <w:rFonts w:hint="default" w:ascii="Times New Roman" w:hAnsi="Times New Roman" w:cs="Times New Roman"/>
                      <w:snapToGrid w:val="0"/>
                      <w:color w:val="auto"/>
                      <w:spacing w:val="3"/>
                      <w:kern w:val="0"/>
                      <w:sz w:val="21"/>
                      <w:szCs w:val="21"/>
                      <w:highlight w:val="none"/>
                      <w:lang w:val="en-US" w:eastAsia="zh-CN" w:bidi="ar-SA"/>
                    </w:rPr>
                    <w:t>LiNSi</w:t>
                  </w:r>
                  <w:r>
                    <w:rPr>
                      <w:rFonts w:hint="default" w:ascii="Times New Roman" w:hAnsi="Times New Roman" w:cs="Times New Roman"/>
                      <w:snapToGrid w:val="0"/>
                      <w:color w:val="auto"/>
                      <w:spacing w:val="3"/>
                      <w:kern w:val="0"/>
                      <w:sz w:val="21"/>
                      <w:szCs w:val="21"/>
                      <w:highlight w:val="none"/>
                      <w:vertAlign w:val="subscript"/>
                      <w:lang w:val="en-US" w:eastAsia="zh-CN" w:bidi="ar-SA"/>
                    </w:rPr>
                    <w:t>2</w:t>
                  </w:r>
                </w:p>
              </w:tc>
              <w:tc>
                <w:tcPr>
                  <w:tcW w:w="2758" w:type="dxa"/>
                  <w:tcBorders>
                    <w:tl2br w:val="nil"/>
                    <w:tr2bl w:val="nil"/>
                  </w:tcBorders>
                  <w:noWrap w:val="0"/>
                  <w:vAlign w:val="center"/>
                </w:tcPr>
                <w:p w14:paraId="6FF80AF5">
                  <w:pPr>
                    <w:bidi w:val="0"/>
                    <w:jc w:val="center"/>
                    <w:rPr>
                      <w:rFonts w:hint="default"/>
                      <w:snapToGrid w:val="0"/>
                      <w:color w:val="auto"/>
                      <w:highlight w:val="none"/>
                      <w:lang w:val="en-US" w:eastAsia="zh-CN"/>
                    </w:rPr>
                  </w:pPr>
                  <w:r>
                    <w:rPr>
                      <w:rFonts w:hint="default"/>
                      <w:snapToGrid w:val="0"/>
                      <w:color w:val="auto"/>
                      <w:highlight w:val="none"/>
                      <w:lang w:val="en-US" w:eastAsia="zh-CN"/>
                    </w:rPr>
                    <w:t>密度：0.860</w:t>
                  </w:r>
                  <w:r>
                    <w:rPr>
                      <w:rFonts w:hint="default"/>
                      <w:snapToGrid w:val="0"/>
                      <w:color w:val="auto"/>
                      <w:highlight w:val="none"/>
                    </w:rPr>
                    <w:t>g/</w:t>
                  </w:r>
                  <w:r>
                    <w:rPr>
                      <w:rFonts w:hint="eastAsia"/>
                      <w:snapToGrid w:val="0"/>
                      <w:color w:val="auto"/>
                      <w:highlight w:val="none"/>
                      <w:vertAlign w:val="baseline"/>
                      <w:lang w:eastAsia="zh-CN"/>
                    </w:rPr>
                    <w:t>cm</w:t>
                  </w:r>
                  <w:r>
                    <w:rPr>
                      <w:rFonts w:hint="eastAsia"/>
                      <w:snapToGrid w:val="0"/>
                      <w:color w:val="auto"/>
                      <w:highlight w:val="none"/>
                      <w:vertAlign w:val="superscript"/>
                      <w:lang w:eastAsia="zh-CN"/>
                    </w:rPr>
                    <w:t>3</w:t>
                  </w:r>
                  <w:r>
                    <w:rPr>
                      <w:rFonts w:hint="default"/>
                      <w:snapToGrid w:val="0"/>
                      <w:color w:val="auto"/>
                      <w:highlight w:val="none"/>
                      <w:lang w:eastAsia="zh-CN"/>
                    </w:rPr>
                    <w:t>，</w:t>
                  </w:r>
                  <w:r>
                    <w:rPr>
                      <w:rFonts w:hint="default"/>
                      <w:snapToGrid w:val="0"/>
                      <w:color w:val="auto"/>
                      <w:highlight w:val="none"/>
                      <w:lang w:val="en-US" w:eastAsia="zh-CN"/>
                    </w:rPr>
                    <w:t>熔点：73</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沸点：55</w:t>
                  </w:r>
                  <w:r>
                    <w:rPr>
                      <w:rFonts w:hint="eastAsia"/>
                      <w:snapToGrid w:val="0"/>
                      <w:color w:val="auto"/>
                      <w:highlight w:val="none"/>
                      <w:lang w:val="en-US" w:eastAsia="zh-CN"/>
                    </w:rPr>
                    <w:t>～</w:t>
                  </w:r>
                  <w:r>
                    <w:rPr>
                      <w:rFonts w:hint="default"/>
                      <w:snapToGrid w:val="0"/>
                      <w:color w:val="auto"/>
                      <w:highlight w:val="none"/>
                      <w:lang w:val="en-US" w:eastAsia="zh-CN"/>
                    </w:rPr>
                    <w:t>56℃，闪点：48℉，外观：白色粉末，溶解度：水解。</w:t>
                  </w:r>
                </w:p>
              </w:tc>
              <w:tc>
                <w:tcPr>
                  <w:tcW w:w="1296" w:type="dxa"/>
                  <w:tcBorders>
                    <w:tl2br w:val="nil"/>
                    <w:tr2bl w:val="nil"/>
                  </w:tcBorders>
                  <w:noWrap w:val="0"/>
                  <w:vAlign w:val="center"/>
                </w:tcPr>
                <w:p w14:paraId="0AF9E4F0">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snapToGrid w:val="0"/>
                      <w:color w:val="auto"/>
                      <w:kern w:val="0"/>
                      <w:sz w:val="21"/>
                      <w:szCs w:val="21"/>
                      <w:highlight w:val="none"/>
                      <w:lang w:val="en-US" w:eastAsia="zh-CN" w:bidi="ar-SA"/>
                    </w:rPr>
                  </w:pPr>
                  <w:r>
                    <w:rPr>
                      <w:rFonts w:hint="default" w:ascii="Times New Roman" w:hAnsi="Times New Roman" w:eastAsia="宋体" w:cs="Times New Roman"/>
                      <w:b w:val="0"/>
                      <w:bCs/>
                      <w:snapToGrid w:val="0"/>
                      <w:color w:val="auto"/>
                      <w:kern w:val="0"/>
                      <w:sz w:val="21"/>
                      <w:szCs w:val="21"/>
                      <w:highlight w:val="none"/>
                      <w:lang w:val="en-US" w:eastAsia="zh-CN" w:bidi="ar-SA"/>
                    </w:rPr>
                    <w:t>无</w:t>
                  </w:r>
                </w:p>
              </w:tc>
              <w:tc>
                <w:tcPr>
                  <w:tcW w:w="1618" w:type="dxa"/>
                  <w:tcBorders>
                    <w:tl2br w:val="nil"/>
                    <w:tr2bl w:val="nil"/>
                  </w:tcBorders>
                  <w:noWrap w:val="0"/>
                  <w:vAlign w:val="center"/>
                </w:tcPr>
                <w:p w14:paraId="1A389A85">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6641E8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A559FE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丙二酸二甲酯</w:t>
                  </w:r>
                </w:p>
              </w:tc>
              <w:tc>
                <w:tcPr>
                  <w:tcW w:w="1142" w:type="dxa"/>
                  <w:tcBorders>
                    <w:tl2br w:val="nil"/>
                    <w:tr2bl w:val="nil"/>
                  </w:tcBorders>
                  <w:noWrap w:val="0"/>
                  <w:vAlign w:val="center"/>
                </w:tcPr>
                <w:p w14:paraId="0367ED4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5</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8</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4</w:t>
                  </w:r>
                </w:p>
              </w:tc>
              <w:tc>
                <w:tcPr>
                  <w:tcW w:w="2758" w:type="dxa"/>
                  <w:tcBorders>
                    <w:tl2br w:val="nil"/>
                    <w:tr2bl w:val="nil"/>
                  </w:tcBorders>
                  <w:noWrap w:val="0"/>
                  <w:vAlign w:val="center"/>
                </w:tcPr>
                <w:p w14:paraId="22B1EBF7">
                  <w:pPr>
                    <w:bidi w:val="0"/>
                    <w:jc w:val="center"/>
                    <w:rPr>
                      <w:rFonts w:hint="default"/>
                      <w:snapToGrid w:val="0"/>
                      <w:color w:val="auto"/>
                      <w:highlight w:val="none"/>
                    </w:rPr>
                  </w:pPr>
                  <w:r>
                    <w:rPr>
                      <w:rFonts w:hint="default"/>
                      <w:snapToGrid w:val="0"/>
                      <w:color w:val="auto"/>
                      <w:highlight w:val="none"/>
                      <w:lang w:val="en-US" w:eastAsia="zh-CN"/>
                    </w:rPr>
                    <w:t>密度：1.156</w:t>
                  </w:r>
                  <w:r>
                    <w:rPr>
                      <w:rFonts w:hint="default"/>
                      <w:snapToGrid w:val="0"/>
                      <w:color w:val="auto"/>
                      <w:highlight w:val="none"/>
                    </w:rPr>
                    <w:t>g/</w:t>
                  </w:r>
                  <w:r>
                    <w:rPr>
                      <w:rFonts w:hint="default"/>
                      <w:snapToGrid w:val="0"/>
                      <w:color w:val="auto"/>
                      <w:highlight w:val="none"/>
                      <w:lang w:val="en-US" w:eastAsia="zh-CN"/>
                    </w:rPr>
                    <w:t>m</w:t>
                  </w:r>
                  <w:r>
                    <w:rPr>
                      <w:rFonts w:hint="eastAsia"/>
                      <w:snapToGrid w:val="0"/>
                      <w:color w:val="auto"/>
                      <w:highlight w:val="none"/>
                      <w:lang w:val="en-US" w:eastAsia="zh-CN"/>
                    </w:rPr>
                    <w:t>L</w:t>
                  </w:r>
                  <w:r>
                    <w:rPr>
                      <w:rFonts w:hint="default"/>
                      <w:snapToGrid w:val="0"/>
                      <w:color w:val="auto"/>
                      <w:highlight w:val="none"/>
                      <w:lang w:eastAsia="zh-CN"/>
                    </w:rPr>
                    <w:t>，</w:t>
                  </w:r>
                  <w:r>
                    <w:rPr>
                      <w:rFonts w:hint="default"/>
                      <w:snapToGrid w:val="0"/>
                      <w:color w:val="auto"/>
                      <w:highlight w:val="none"/>
                      <w:lang w:val="en-US" w:eastAsia="zh-CN"/>
                    </w:rPr>
                    <w:t>熔点：-62</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沸点：181.4℃，外观：无色液体，溶解性：溶于醇、醚等有机溶剂，微溶于水。</w:t>
                  </w:r>
                </w:p>
              </w:tc>
              <w:tc>
                <w:tcPr>
                  <w:tcW w:w="1296" w:type="dxa"/>
                  <w:tcBorders>
                    <w:tl2br w:val="nil"/>
                    <w:tr2bl w:val="nil"/>
                  </w:tcBorders>
                  <w:noWrap w:val="0"/>
                  <w:vAlign w:val="center"/>
                </w:tcPr>
                <w:p w14:paraId="11448174">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snapToGrid w:val="0"/>
                      <w:color w:val="auto"/>
                      <w:kern w:val="0"/>
                      <w:sz w:val="21"/>
                      <w:szCs w:val="21"/>
                      <w:highlight w:val="none"/>
                      <w:lang w:val="en-US" w:eastAsia="zh-CN" w:bidi="ar-SA"/>
                    </w:rPr>
                  </w:pPr>
                  <w:r>
                    <w:rPr>
                      <w:rFonts w:hint="default" w:ascii="Times New Roman" w:hAnsi="Times New Roman" w:eastAsia="宋体" w:cs="Times New Roman"/>
                      <w:b w:val="0"/>
                      <w:bCs/>
                      <w:snapToGrid w:val="0"/>
                      <w:color w:val="auto"/>
                      <w:kern w:val="0"/>
                      <w:sz w:val="21"/>
                      <w:szCs w:val="21"/>
                      <w:highlight w:val="none"/>
                      <w:lang w:val="en-US" w:eastAsia="zh-CN" w:bidi="ar-SA"/>
                    </w:rPr>
                    <w:t>无</w:t>
                  </w:r>
                </w:p>
              </w:tc>
              <w:tc>
                <w:tcPr>
                  <w:tcW w:w="1618" w:type="dxa"/>
                  <w:tcBorders>
                    <w:tl2br w:val="nil"/>
                    <w:tr2bl w:val="nil"/>
                  </w:tcBorders>
                  <w:noWrap w:val="0"/>
                  <w:vAlign w:val="center"/>
                </w:tcPr>
                <w:p w14:paraId="786118BE">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spacing w:val="3"/>
                      <w:kern w:val="0"/>
                      <w:sz w:val="21"/>
                      <w:szCs w:val="21"/>
                      <w:highlight w:val="none"/>
                      <w:lang w:val="en-US" w:eastAsia="en-US"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571885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1E423867">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乙二醇二甲</w:t>
                  </w:r>
                  <w:r>
                    <w:rPr>
                      <w:rFonts w:hint="eastAsia" w:ascii="Times New Roman" w:hAnsi="Times New Roman" w:cs="Times New Roman"/>
                      <w:snapToGrid w:val="0"/>
                      <w:color w:val="auto"/>
                      <w:sz w:val="21"/>
                      <w:szCs w:val="21"/>
                      <w:highlight w:val="none"/>
                      <w:lang w:val="en-US" w:eastAsia="zh-CN"/>
                    </w:rPr>
                    <w:t xml:space="preserve">     </w:t>
                  </w:r>
                  <w:r>
                    <w:rPr>
                      <w:rFonts w:hint="default" w:ascii="Times New Roman" w:hAnsi="Times New Roman" w:eastAsia="宋体" w:cs="Times New Roman"/>
                      <w:snapToGrid w:val="0"/>
                      <w:color w:val="auto"/>
                      <w:sz w:val="21"/>
                      <w:szCs w:val="21"/>
                      <w:highlight w:val="none"/>
                      <w:lang w:val="en-US" w:eastAsia="zh-CN"/>
                    </w:rPr>
                    <w:t>醚</w:t>
                  </w:r>
                </w:p>
              </w:tc>
              <w:tc>
                <w:tcPr>
                  <w:tcW w:w="1142" w:type="dxa"/>
                  <w:tcBorders>
                    <w:tl2br w:val="nil"/>
                    <w:tr2bl w:val="nil"/>
                  </w:tcBorders>
                  <w:noWrap w:val="0"/>
                  <w:vAlign w:val="center"/>
                </w:tcPr>
                <w:p w14:paraId="003F222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4</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10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2</w:t>
                  </w:r>
                </w:p>
              </w:tc>
              <w:tc>
                <w:tcPr>
                  <w:tcW w:w="2758" w:type="dxa"/>
                  <w:tcBorders>
                    <w:tl2br w:val="nil"/>
                    <w:tr2bl w:val="nil"/>
                  </w:tcBorders>
                  <w:noWrap w:val="0"/>
                  <w:vAlign w:val="center"/>
                </w:tcPr>
                <w:p w14:paraId="3581E78B">
                  <w:pPr>
                    <w:bidi w:val="0"/>
                    <w:jc w:val="center"/>
                    <w:rPr>
                      <w:rFonts w:hint="default"/>
                      <w:snapToGrid w:val="0"/>
                      <w:color w:val="auto"/>
                      <w:highlight w:val="none"/>
                    </w:rPr>
                  </w:pPr>
                  <w:r>
                    <w:rPr>
                      <w:rFonts w:hint="default"/>
                      <w:snapToGrid w:val="0"/>
                      <w:color w:val="auto"/>
                      <w:highlight w:val="none"/>
                      <w:lang w:val="en-US" w:eastAsia="zh-CN"/>
                    </w:rPr>
                    <w:t>密度：0.867</w:t>
                  </w:r>
                  <w:r>
                    <w:rPr>
                      <w:rFonts w:hint="default"/>
                      <w:snapToGrid w:val="0"/>
                      <w:color w:val="auto"/>
                      <w:highlight w:val="none"/>
                    </w:rPr>
                    <w:t>g/</w:t>
                  </w:r>
                  <w:r>
                    <w:rPr>
                      <w:rFonts w:hint="default"/>
                      <w:snapToGrid w:val="0"/>
                      <w:color w:val="auto"/>
                      <w:highlight w:val="none"/>
                      <w:lang w:val="en-US" w:eastAsia="zh-CN"/>
                    </w:rPr>
                    <w:t>m</w:t>
                  </w:r>
                  <w:r>
                    <w:rPr>
                      <w:rFonts w:hint="eastAsia"/>
                      <w:snapToGrid w:val="0"/>
                      <w:color w:val="auto"/>
                      <w:highlight w:val="none"/>
                      <w:lang w:val="en-US" w:eastAsia="zh-CN"/>
                    </w:rPr>
                    <w:t>L</w:t>
                  </w:r>
                  <w:r>
                    <w:rPr>
                      <w:rFonts w:hint="default"/>
                      <w:snapToGrid w:val="0"/>
                      <w:color w:val="auto"/>
                      <w:highlight w:val="none"/>
                      <w:lang w:eastAsia="zh-CN"/>
                    </w:rPr>
                    <w:t>，</w:t>
                  </w:r>
                  <w:r>
                    <w:rPr>
                      <w:rFonts w:hint="default"/>
                      <w:snapToGrid w:val="0"/>
                      <w:color w:val="auto"/>
                      <w:highlight w:val="none"/>
                      <w:lang w:val="en-US" w:eastAsia="zh-CN"/>
                    </w:rPr>
                    <w:t>熔点：-58</w:t>
                  </w:r>
                  <w:r>
                    <w:rPr>
                      <w:rFonts w:hint="default"/>
                      <w:snapToGrid w:val="0"/>
                      <w:color w:val="auto"/>
                      <w:highlight w:val="none"/>
                    </w:rPr>
                    <w:t>℃</w:t>
                  </w:r>
                  <w:r>
                    <w:rPr>
                      <w:rFonts w:hint="default"/>
                      <w:snapToGrid w:val="0"/>
                      <w:color w:val="auto"/>
                      <w:highlight w:val="none"/>
                      <w:lang w:eastAsia="zh-CN"/>
                    </w:rPr>
                    <w:t>，</w:t>
                  </w:r>
                  <w:r>
                    <w:rPr>
                      <w:rFonts w:hint="default"/>
                      <w:snapToGrid w:val="0"/>
                      <w:color w:val="auto"/>
                      <w:highlight w:val="none"/>
                      <w:lang w:val="en-US" w:eastAsia="zh-CN"/>
                    </w:rPr>
                    <w:t>沸点：82</w:t>
                  </w:r>
                  <w:r>
                    <w:rPr>
                      <w:rFonts w:hint="eastAsia"/>
                      <w:snapToGrid w:val="0"/>
                      <w:color w:val="auto"/>
                      <w:highlight w:val="none"/>
                      <w:lang w:val="en-US" w:eastAsia="zh-CN"/>
                    </w:rPr>
                    <w:t>～</w:t>
                  </w:r>
                  <w:r>
                    <w:rPr>
                      <w:rFonts w:hint="default"/>
                      <w:snapToGrid w:val="0"/>
                      <w:color w:val="auto"/>
                      <w:highlight w:val="none"/>
                      <w:lang w:val="en-US" w:eastAsia="zh-CN"/>
                    </w:rPr>
                    <w:t>83℃，外观：无色液体，</w:t>
                  </w:r>
                  <w:r>
                    <w:rPr>
                      <w:rFonts w:hint="eastAsia"/>
                      <w:snapToGrid w:val="0"/>
                      <w:color w:val="auto"/>
                      <w:highlight w:val="none"/>
                      <w:lang w:val="en-US" w:eastAsia="zh-CN"/>
                    </w:rPr>
                    <w:t>饱和蒸气</w:t>
                  </w:r>
                  <w:r>
                    <w:rPr>
                      <w:rFonts w:hint="default"/>
                      <w:snapToGrid w:val="0"/>
                      <w:color w:val="auto"/>
                      <w:highlight w:val="none"/>
                      <w:lang w:val="en-US" w:eastAsia="zh-CN"/>
                    </w:rPr>
                    <w:t>压：6.40kPa，溶解性：溶于水、乙醇、烃类。</w:t>
                  </w:r>
                </w:p>
              </w:tc>
              <w:tc>
                <w:tcPr>
                  <w:tcW w:w="1296" w:type="dxa"/>
                  <w:tcBorders>
                    <w:tl2br w:val="nil"/>
                    <w:tr2bl w:val="nil"/>
                  </w:tcBorders>
                  <w:noWrap w:val="0"/>
                  <w:vAlign w:val="center"/>
                </w:tcPr>
                <w:p w14:paraId="69F64AFE">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易燃，遇明火、高热易引起燃烧爆炸</w:t>
                  </w:r>
                </w:p>
              </w:tc>
              <w:tc>
                <w:tcPr>
                  <w:tcW w:w="1618" w:type="dxa"/>
                  <w:tcBorders>
                    <w:tl2br w:val="nil"/>
                    <w:tr2bl w:val="nil"/>
                  </w:tcBorders>
                  <w:noWrap w:val="0"/>
                  <w:vAlign w:val="center"/>
                </w:tcPr>
                <w:p w14:paraId="57479178">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LC</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50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：3200mg/kg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小鼠经口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p w14:paraId="6246D221">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Helvetica" w:cs="Times New Roman"/>
                      <w:i w:val="0"/>
                      <w:iCs w:val="0"/>
                      <w:caps w:val="0"/>
                      <w:snapToGrid w:val="0"/>
                      <w:color w:val="auto"/>
                      <w:spacing w:val="0"/>
                      <w:sz w:val="15"/>
                      <w:szCs w:val="15"/>
                      <w:highlight w:val="none"/>
                      <w:shd w:val="clear" w:color="auto" w:fill="FFFFFF"/>
                      <w:vertAlign w:val="baseline"/>
                    </w:rPr>
                    <w:t>50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：&gt;5000mg/kg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tc>
            </w:tr>
            <w:tr w14:paraId="0DEE1B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1148" w:hRule="atLeast"/>
              </w:trPr>
              <w:tc>
                <w:tcPr>
                  <w:tcW w:w="1044" w:type="dxa"/>
                  <w:tcBorders>
                    <w:tl2br w:val="nil"/>
                    <w:tr2bl w:val="nil"/>
                  </w:tcBorders>
                  <w:noWrap w:val="0"/>
                  <w:vAlign w:val="center"/>
                </w:tcPr>
                <w:p w14:paraId="342202B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（R）-3-甲基吗啉</w:t>
                  </w:r>
                </w:p>
              </w:tc>
              <w:tc>
                <w:tcPr>
                  <w:tcW w:w="1142" w:type="dxa"/>
                  <w:tcBorders>
                    <w:tl2br w:val="nil"/>
                    <w:tr2bl w:val="nil"/>
                  </w:tcBorders>
                  <w:noWrap w:val="0"/>
                  <w:vAlign w:val="center"/>
                </w:tcPr>
                <w:p w14:paraId="3AB41E6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wordWrap/>
                    <w:overflowPunct/>
                    <w:topLinePunct w:val="0"/>
                    <w:bidi w:val="0"/>
                    <w:adjustRightInd w:val="0"/>
                    <w:snapToGrid w:val="0"/>
                    <w:spacing w:beforeAutospacing="0" w:afterAutospacing="0"/>
                    <w:ind w:left="0" w:leftChars="0" w:right="0" w:rightChars="0" w:firstLine="0" w:firstLineChars="0"/>
                    <w:jc w:val="center"/>
                    <w:rPr>
                      <w:rFonts w:hint="default" w:ascii="Times New Roman" w:hAnsi="Times New Roman" w:cs="Times New Roman"/>
                      <w:snapToGrid w:val="0"/>
                      <w:color w:val="auto"/>
                      <w:spacing w:val="3"/>
                      <w:kern w:val="0"/>
                      <w:sz w:val="21"/>
                      <w:szCs w:val="21"/>
                      <w:highlight w:val="none"/>
                      <w:lang w:val="en-US" w:eastAsia="zh-CN" w:bidi="ar-SA"/>
                    </w:rPr>
                  </w:pPr>
                  <w:r>
                    <w:rPr>
                      <w:rFonts w:hint="default" w:ascii="Times New Roman" w:hAnsi="Times New Roman" w:eastAsia="微软雅黑" w:cs="Times New Roman"/>
                      <w:i w:val="0"/>
                      <w:iCs w:val="0"/>
                      <w:caps w:val="0"/>
                      <w:snapToGrid w:val="0"/>
                      <w:color w:val="auto"/>
                      <w:spacing w:val="0"/>
                      <w:sz w:val="21"/>
                      <w:szCs w:val="21"/>
                      <w:highlight w:val="none"/>
                      <w:lang w:val="en-US" w:eastAsia="zh-CN"/>
                    </w:rPr>
                    <w:t>C</w:t>
                  </w:r>
                  <w:r>
                    <w:rPr>
                      <w:rFonts w:hint="default" w:ascii="Times New Roman" w:hAnsi="Times New Roman" w:eastAsia="微软雅黑" w:cs="Times New Roman"/>
                      <w:i w:val="0"/>
                      <w:iCs w:val="0"/>
                      <w:caps w:val="0"/>
                      <w:snapToGrid w:val="0"/>
                      <w:color w:val="auto"/>
                      <w:spacing w:val="0"/>
                      <w:sz w:val="21"/>
                      <w:szCs w:val="21"/>
                      <w:highlight w:val="none"/>
                      <w:vertAlign w:val="subscript"/>
                      <w:lang w:val="en-US" w:eastAsia="zh-CN"/>
                    </w:rPr>
                    <w:t>5</w:t>
                  </w:r>
                  <w:r>
                    <w:rPr>
                      <w:rFonts w:hint="default" w:ascii="Times New Roman" w:hAnsi="Times New Roman" w:eastAsia="微软雅黑" w:cs="Times New Roman"/>
                      <w:i w:val="0"/>
                      <w:iCs w:val="0"/>
                      <w:caps w:val="0"/>
                      <w:snapToGrid w:val="0"/>
                      <w:color w:val="auto"/>
                      <w:spacing w:val="0"/>
                      <w:sz w:val="21"/>
                      <w:szCs w:val="21"/>
                      <w:highlight w:val="none"/>
                      <w:lang w:val="en-US" w:eastAsia="zh-CN"/>
                    </w:rPr>
                    <w:t>H</w:t>
                  </w:r>
                  <w:r>
                    <w:rPr>
                      <w:rFonts w:hint="default" w:ascii="Times New Roman" w:hAnsi="Times New Roman" w:eastAsia="微软雅黑" w:cs="Times New Roman"/>
                      <w:i w:val="0"/>
                      <w:iCs w:val="0"/>
                      <w:caps w:val="0"/>
                      <w:snapToGrid w:val="0"/>
                      <w:color w:val="auto"/>
                      <w:spacing w:val="0"/>
                      <w:sz w:val="21"/>
                      <w:szCs w:val="21"/>
                      <w:highlight w:val="none"/>
                      <w:vertAlign w:val="subscript"/>
                      <w:lang w:val="en-US" w:eastAsia="zh-CN"/>
                    </w:rPr>
                    <w:t>11</w:t>
                  </w:r>
                  <w:r>
                    <w:rPr>
                      <w:rFonts w:hint="default" w:ascii="Times New Roman" w:hAnsi="Times New Roman" w:eastAsia="微软雅黑" w:cs="Times New Roman"/>
                      <w:i w:val="0"/>
                      <w:iCs w:val="0"/>
                      <w:caps w:val="0"/>
                      <w:snapToGrid w:val="0"/>
                      <w:color w:val="auto"/>
                      <w:spacing w:val="0"/>
                      <w:sz w:val="21"/>
                      <w:szCs w:val="21"/>
                      <w:highlight w:val="none"/>
                      <w:lang w:val="en-US" w:eastAsia="zh-CN"/>
                    </w:rPr>
                    <w:t>NO</w:t>
                  </w:r>
                </w:p>
              </w:tc>
              <w:tc>
                <w:tcPr>
                  <w:tcW w:w="2758" w:type="dxa"/>
                  <w:tcBorders>
                    <w:tl2br w:val="nil"/>
                    <w:tr2bl w:val="nil"/>
                  </w:tcBorders>
                  <w:noWrap w:val="0"/>
                  <w:vAlign w:val="center"/>
                </w:tcPr>
                <w:p w14:paraId="5F135173">
                  <w:pPr>
                    <w:bidi w:val="0"/>
                    <w:jc w:val="center"/>
                    <w:rPr>
                      <w:rFonts w:hint="default"/>
                      <w:snapToGrid w:val="0"/>
                      <w:color w:val="auto"/>
                      <w:highlight w:val="none"/>
                    </w:rPr>
                  </w:pPr>
                  <w:r>
                    <w:rPr>
                      <w:rFonts w:hint="default"/>
                      <w:snapToGrid w:val="0"/>
                      <w:color w:val="auto"/>
                      <w:highlight w:val="none"/>
                      <w:lang w:val="en-US" w:eastAsia="zh-CN"/>
                    </w:rPr>
                    <w:t>密度：0.9±0.1</w:t>
                  </w:r>
                  <w:r>
                    <w:rPr>
                      <w:rFonts w:hint="default"/>
                      <w:snapToGrid w:val="0"/>
                      <w:color w:val="auto"/>
                      <w:highlight w:val="none"/>
                    </w:rPr>
                    <w:t>g/</w:t>
                  </w:r>
                  <w:r>
                    <w:rPr>
                      <w:rFonts w:hint="eastAsia"/>
                      <w:snapToGrid w:val="0"/>
                      <w:color w:val="auto"/>
                      <w:highlight w:val="none"/>
                      <w:vertAlign w:val="baseline"/>
                      <w:lang w:val="en-US" w:eastAsia="zh-CN"/>
                    </w:rPr>
                    <w:t>cm</w:t>
                  </w:r>
                  <w:r>
                    <w:rPr>
                      <w:rFonts w:hint="eastAsia"/>
                      <w:snapToGrid w:val="0"/>
                      <w:color w:val="auto"/>
                      <w:highlight w:val="none"/>
                      <w:vertAlign w:val="superscript"/>
                      <w:lang w:val="en-US" w:eastAsia="zh-CN"/>
                    </w:rPr>
                    <w:t>3</w:t>
                  </w:r>
                  <w:r>
                    <w:rPr>
                      <w:rFonts w:hint="default"/>
                      <w:snapToGrid w:val="0"/>
                      <w:color w:val="auto"/>
                      <w:highlight w:val="none"/>
                      <w:lang w:eastAsia="zh-CN"/>
                    </w:rPr>
                    <w:t>，</w:t>
                  </w:r>
                  <w:r>
                    <w:rPr>
                      <w:rFonts w:hint="default"/>
                      <w:snapToGrid w:val="0"/>
                      <w:color w:val="auto"/>
                      <w:highlight w:val="none"/>
                      <w:lang w:val="en-US" w:eastAsia="zh-CN"/>
                    </w:rPr>
                    <w:t>沸点：137.1±15.0℃at760mmHg，外观：无色液体，蒸汽压：7.1±0.3mmHgat25℃</w:t>
                  </w:r>
                </w:p>
              </w:tc>
              <w:tc>
                <w:tcPr>
                  <w:tcW w:w="1296" w:type="dxa"/>
                  <w:tcBorders>
                    <w:tl2br w:val="nil"/>
                    <w:tr2bl w:val="nil"/>
                  </w:tcBorders>
                  <w:noWrap w:val="0"/>
                  <w:vAlign w:val="center"/>
                </w:tcPr>
                <w:p w14:paraId="730A7A88">
                  <w:pPr>
                    <w:keepNext w:val="0"/>
                    <w:keepLines w:val="0"/>
                    <w:pageBreakBefore w:val="0"/>
                    <w:widowControl/>
                    <w:kinsoku/>
                    <w:wordWrap/>
                    <w:overflowPunct/>
                    <w:topLinePunct w:val="0"/>
                    <w:autoSpaceDE/>
                    <w:autoSpaceDN/>
                    <w:bidi w:val="0"/>
                    <w:adjustRightInd w:val="0"/>
                    <w:snapToGrid w:val="0"/>
                    <w:ind w:left="0" w:right="0" w:firstLine="0" w:firstLineChars="0"/>
                    <w:jc w:val="center"/>
                    <w:textAlignment w:val="auto"/>
                    <w:rPr>
                      <w:rFonts w:hint="default" w:ascii="Times New Roman" w:hAnsi="Times New Roman" w:eastAsia="宋体" w:cs="Times New Roman"/>
                      <w:snapToGrid w:val="0"/>
                      <w:color w:val="auto"/>
                      <w:highlight w:val="none"/>
                      <w:lang w:val="en-US" w:eastAsia="zh-CN"/>
                    </w:rPr>
                  </w:pPr>
                  <w:r>
                    <w:rPr>
                      <w:rFonts w:hint="default" w:ascii="Times New Roman" w:hAnsi="Times New Roman" w:cs="Times New Roman"/>
                      <w:snapToGrid w:val="0"/>
                      <w:color w:val="auto"/>
                      <w:highlight w:val="none"/>
                      <w:lang w:val="en-US" w:eastAsia="zh-CN"/>
                    </w:rPr>
                    <w:t>无</w:t>
                  </w:r>
                </w:p>
              </w:tc>
              <w:tc>
                <w:tcPr>
                  <w:tcW w:w="1618" w:type="dxa"/>
                  <w:tcBorders>
                    <w:tl2br w:val="nil"/>
                    <w:tr2bl w:val="nil"/>
                  </w:tcBorders>
                  <w:noWrap w:val="0"/>
                  <w:vAlign w:val="center"/>
                </w:tcPr>
                <w:p w14:paraId="14691F4C">
                  <w:pPr>
                    <w:keepNext w:val="0"/>
                    <w:keepLines w:val="0"/>
                    <w:pageBreakBefore w:val="0"/>
                    <w:widowControl/>
                    <w:kinsoku/>
                    <w:wordWrap/>
                    <w:overflowPunct/>
                    <w:topLinePunct w:val="0"/>
                    <w:autoSpaceDE/>
                    <w:autoSpaceDN/>
                    <w:bidi w:val="0"/>
                    <w:adjustRightInd w:val="0"/>
                    <w:snapToGrid w:val="0"/>
                    <w:ind w:left="0" w:right="0" w:firstLine="0" w:firstLineChars="0"/>
                    <w:jc w:val="center"/>
                    <w:textAlignment w:val="auto"/>
                    <w:rPr>
                      <w:rFonts w:hint="default" w:ascii="Times New Roman" w:hAnsi="Times New Roman" w:cs="Times New Roman"/>
                      <w:snapToGrid w:val="0"/>
                      <w:color w:val="auto"/>
                      <w:highlight w:val="none"/>
                      <w:lang w:val="en-US" w:eastAsia="en-US"/>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0F8CDC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C0CF03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3,5-双三氟甲基苯腈</w:t>
                  </w:r>
                </w:p>
              </w:tc>
              <w:tc>
                <w:tcPr>
                  <w:tcW w:w="1142" w:type="dxa"/>
                  <w:tcBorders>
                    <w:tl2br w:val="nil"/>
                    <w:tr2bl w:val="nil"/>
                  </w:tcBorders>
                  <w:noWrap w:val="0"/>
                  <w:vAlign w:val="center"/>
                </w:tcPr>
                <w:p w14:paraId="6402B10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4"/>
                      <w:szCs w:val="24"/>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9</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3</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F</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6</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w:t>
                  </w:r>
                </w:p>
              </w:tc>
              <w:tc>
                <w:tcPr>
                  <w:tcW w:w="2758" w:type="dxa"/>
                  <w:tcBorders>
                    <w:tl2br w:val="nil"/>
                    <w:tr2bl w:val="nil"/>
                  </w:tcBorders>
                  <w:noWrap w:val="0"/>
                  <w:vAlign w:val="center"/>
                </w:tcPr>
                <w:p w14:paraId="1CDA4B8D">
                  <w:pPr>
                    <w:bidi w:val="0"/>
                    <w:jc w:val="center"/>
                    <w:rPr>
                      <w:rFonts w:hint="default"/>
                      <w:snapToGrid w:val="0"/>
                      <w:color w:val="auto"/>
                      <w:highlight w:val="none"/>
                      <w:lang w:val="en-US"/>
                    </w:rPr>
                  </w:pPr>
                  <w:r>
                    <w:rPr>
                      <w:rFonts w:hint="default"/>
                      <w:snapToGrid w:val="0"/>
                      <w:color w:val="auto"/>
                      <w:highlight w:val="none"/>
                      <w:lang w:val="en-US" w:eastAsia="zh-CN"/>
                    </w:rPr>
                    <w:t>密度：1.42</w:t>
                  </w:r>
                  <w:r>
                    <w:rPr>
                      <w:rFonts w:hint="default"/>
                      <w:snapToGrid w:val="0"/>
                      <w:color w:val="auto"/>
                      <w:highlight w:val="none"/>
                    </w:rPr>
                    <w:t>g/</w:t>
                  </w:r>
                  <w:r>
                    <w:rPr>
                      <w:rFonts w:hint="eastAsia"/>
                      <w:snapToGrid w:val="0"/>
                      <w:color w:val="auto"/>
                      <w:highlight w:val="none"/>
                      <w:vertAlign w:val="baseline"/>
                      <w:lang w:val="en-US" w:eastAsia="zh-CN"/>
                    </w:rPr>
                    <w:t>cm</w:t>
                  </w:r>
                  <w:r>
                    <w:rPr>
                      <w:rFonts w:hint="eastAsia"/>
                      <w:snapToGrid w:val="0"/>
                      <w:color w:val="auto"/>
                      <w:highlight w:val="none"/>
                      <w:vertAlign w:val="superscript"/>
                      <w:lang w:val="en-US" w:eastAsia="zh-CN"/>
                    </w:rPr>
                    <w:t>3</w:t>
                  </w:r>
                  <w:r>
                    <w:rPr>
                      <w:rFonts w:hint="default"/>
                      <w:snapToGrid w:val="0"/>
                      <w:color w:val="auto"/>
                      <w:highlight w:val="none"/>
                      <w:lang w:eastAsia="zh-CN"/>
                    </w:rPr>
                    <w:t>，</w:t>
                  </w:r>
                  <w:r>
                    <w:rPr>
                      <w:rFonts w:hint="default"/>
                      <w:snapToGrid w:val="0"/>
                      <w:color w:val="auto"/>
                      <w:highlight w:val="none"/>
                      <w:lang w:val="en-US" w:eastAsia="zh-CN"/>
                    </w:rPr>
                    <w:t>沸点：155℃，闪点：163℃，外观：无色至淡黄色透明液体</w:t>
                  </w:r>
                </w:p>
              </w:tc>
              <w:tc>
                <w:tcPr>
                  <w:tcW w:w="1296" w:type="dxa"/>
                  <w:tcBorders>
                    <w:tl2br w:val="nil"/>
                    <w:tr2bl w:val="nil"/>
                  </w:tcBorders>
                  <w:noWrap w:val="0"/>
                  <w:vAlign w:val="center"/>
                </w:tcPr>
                <w:p w14:paraId="12C052FF">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highlight w:val="none"/>
                      <w:lang w:val="en-US" w:eastAsia="zh-CN"/>
                    </w:rPr>
                  </w:pPr>
                  <w:r>
                    <w:rPr>
                      <w:rFonts w:hint="default" w:ascii="Times New Roman" w:hAnsi="Times New Roman" w:cs="Times New Roman"/>
                      <w:snapToGrid w:val="0"/>
                      <w:color w:val="auto"/>
                      <w:highlight w:val="none"/>
                      <w:lang w:val="en-US" w:eastAsia="zh-CN"/>
                    </w:rPr>
                    <w:t>无</w:t>
                  </w:r>
                </w:p>
              </w:tc>
              <w:tc>
                <w:tcPr>
                  <w:tcW w:w="1618" w:type="dxa"/>
                  <w:tcBorders>
                    <w:tl2br w:val="nil"/>
                    <w:tr2bl w:val="nil"/>
                  </w:tcBorders>
                  <w:noWrap w:val="0"/>
                  <w:vAlign w:val="center"/>
                </w:tcPr>
                <w:p w14:paraId="66B41D0D">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08CE16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792C2F3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2,4-二氯-5-硝基嘧啶</w:t>
                  </w:r>
                </w:p>
              </w:tc>
              <w:tc>
                <w:tcPr>
                  <w:tcW w:w="1142" w:type="dxa"/>
                  <w:tcBorders>
                    <w:tl2br w:val="nil"/>
                    <w:tr2bl w:val="nil"/>
                  </w:tcBorders>
                  <w:noWrap w:val="0"/>
                  <w:vAlign w:val="center"/>
                </w:tcPr>
                <w:p w14:paraId="0404024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4"/>
                      <w:szCs w:val="24"/>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4</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HCl</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2</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N</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3</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2</w:t>
                  </w:r>
                </w:p>
              </w:tc>
              <w:tc>
                <w:tcPr>
                  <w:tcW w:w="2758" w:type="dxa"/>
                  <w:tcBorders>
                    <w:tl2br w:val="nil"/>
                    <w:tr2bl w:val="nil"/>
                  </w:tcBorders>
                  <w:noWrap w:val="0"/>
                  <w:vAlign w:val="center"/>
                </w:tcPr>
                <w:p w14:paraId="0962CC3D">
                  <w:pPr>
                    <w:bidi w:val="0"/>
                    <w:jc w:val="center"/>
                    <w:rPr>
                      <w:rFonts w:hint="default"/>
                      <w:snapToGrid w:val="0"/>
                      <w:color w:val="auto"/>
                      <w:highlight w:val="none"/>
                      <w:lang w:val="en-US" w:eastAsia="zh-CN"/>
                    </w:rPr>
                  </w:pPr>
                  <w:r>
                    <w:rPr>
                      <w:rFonts w:hint="default"/>
                      <w:snapToGrid w:val="0"/>
                      <w:color w:val="auto"/>
                      <w:highlight w:val="none"/>
                      <w:lang w:val="en-US" w:eastAsia="zh-CN"/>
                    </w:rPr>
                    <w:t>沸点：0.9℃/0.5mmHg，闪点：＞110℃，熔点：28</w:t>
                  </w:r>
                  <w:r>
                    <w:rPr>
                      <w:rFonts w:hint="eastAsia"/>
                      <w:snapToGrid w:val="0"/>
                      <w:color w:val="auto"/>
                      <w:highlight w:val="none"/>
                      <w:lang w:val="en-US" w:eastAsia="zh-CN"/>
                    </w:rPr>
                    <w:t>～</w:t>
                  </w:r>
                  <w:r>
                    <w:rPr>
                      <w:rFonts w:hint="default"/>
                      <w:snapToGrid w:val="0"/>
                      <w:color w:val="auto"/>
                      <w:highlight w:val="none"/>
                      <w:lang w:val="en-US" w:eastAsia="zh-CN"/>
                    </w:rPr>
                    <w:t>32℃，用途说明：固相合成二氨基嘌呤的中间体，外观：淡黄色结晶或液体</w:t>
                  </w:r>
                </w:p>
              </w:tc>
              <w:tc>
                <w:tcPr>
                  <w:tcW w:w="1296" w:type="dxa"/>
                  <w:tcBorders>
                    <w:tl2br w:val="nil"/>
                    <w:tr2bl w:val="nil"/>
                  </w:tcBorders>
                  <w:noWrap w:val="0"/>
                  <w:vAlign w:val="center"/>
                </w:tcPr>
                <w:p w14:paraId="11DB635C">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snapToGrid w:val="0"/>
                      <w:color w:val="auto"/>
                      <w:kern w:val="2"/>
                      <w:sz w:val="21"/>
                      <w:szCs w:val="24"/>
                      <w:highlight w:val="none"/>
                      <w:lang w:val="en-US" w:eastAsia="zh-CN" w:bidi="ar-SA"/>
                    </w:rPr>
                  </w:pPr>
                  <w:r>
                    <w:rPr>
                      <w:rFonts w:hint="default" w:ascii="Times New Roman" w:hAnsi="Times New Roman" w:eastAsia="宋体" w:cs="Times New Roman"/>
                      <w:b w:val="0"/>
                      <w:bCs/>
                      <w:snapToGrid w:val="0"/>
                      <w:color w:val="auto"/>
                      <w:kern w:val="2"/>
                      <w:sz w:val="21"/>
                      <w:szCs w:val="24"/>
                      <w:highlight w:val="none"/>
                      <w:lang w:val="en-US" w:eastAsia="zh-CN" w:bidi="ar-SA"/>
                    </w:rPr>
                    <w:t>无</w:t>
                  </w:r>
                </w:p>
              </w:tc>
              <w:tc>
                <w:tcPr>
                  <w:tcW w:w="1618" w:type="dxa"/>
                  <w:tcBorders>
                    <w:tl2br w:val="nil"/>
                    <w:tr2bl w:val="nil"/>
                  </w:tcBorders>
                  <w:noWrap w:val="0"/>
                  <w:vAlign w:val="center"/>
                </w:tcPr>
                <w:p w14:paraId="632EB299">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0598BB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14B544F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2-溴-5-甲氧基苯甲醛</w:t>
                  </w:r>
                </w:p>
              </w:tc>
              <w:tc>
                <w:tcPr>
                  <w:tcW w:w="1142" w:type="dxa"/>
                  <w:tcBorders>
                    <w:tl2br w:val="nil"/>
                    <w:tr2bl w:val="nil"/>
                  </w:tcBorders>
                  <w:noWrap w:val="0"/>
                  <w:vAlign w:val="center"/>
                </w:tcPr>
                <w:p w14:paraId="6AF98B6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4"/>
                      <w:szCs w:val="24"/>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8</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7</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BrO</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2</w:t>
                  </w:r>
                </w:p>
              </w:tc>
              <w:tc>
                <w:tcPr>
                  <w:tcW w:w="2758" w:type="dxa"/>
                  <w:tcBorders>
                    <w:tl2br w:val="nil"/>
                    <w:tr2bl w:val="nil"/>
                  </w:tcBorders>
                  <w:noWrap w:val="0"/>
                  <w:vAlign w:val="center"/>
                </w:tcPr>
                <w:p w14:paraId="7886B6AC">
                  <w:pPr>
                    <w:bidi w:val="0"/>
                    <w:jc w:val="center"/>
                    <w:rPr>
                      <w:rFonts w:hint="default"/>
                      <w:snapToGrid w:val="0"/>
                      <w:color w:val="auto"/>
                      <w:highlight w:val="none"/>
                      <w:lang w:val="en-US"/>
                    </w:rPr>
                  </w:pPr>
                  <w:r>
                    <w:rPr>
                      <w:rFonts w:hint="default"/>
                      <w:snapToGrid w:val="0"/>
                      <w:color w:val="auto"/>
                      <w:highlight w:val="none"/>
                      <w:lang w:val="en-US" w:eastAsia="zh-CN"/>
                    </w:rPr>
                    <w:t>熔点：71</w:t>
                  </w:r>
                  <w:r>
                    <w:rPr>
                      <w:rFonts w:hint="eastAsia"/>
                      <w:snapToGrid w:val="0"/>
                      <w:color w:val="auto"/>
                      <w:highlight w:val="none"/>
                      <w:lang w:val="en-US" w:eastAsia="zh-CN"/>
                    </w:rPr>
                    <w:t>～</w:t>
                  </w:r>
                  <w:r>
                    <w:rPr>
                      <w:rFonts w:hint="default"/>
                      <w:snapToGrid w:val="0"/>
                      <w:color w:val="auto"/>
                      <w:highlight w:val="none"/>
                      <w:lang w:val="en-US" w:eastAsia="zh-CN"/>
                    </w:rPr>
                    <w:t>76℃</w:t>
                  </w:r>
                  <w:r>
                    <w:rPr>
                      <w:rFonts w:hint="default"/>
                      <w:snapToGrid w:val="0"/>
                      <w:color w:val="auto"/>
                      <w:highlight w:val="none"/>
                      <w:lang w:eastAsia="zh-CN"/>
                    </w:rPr>
                    <w:t>，</w:t>
                  </w:r>
                  <w:r>
                    <w:rPr>
                      <w:rFonts w:hint="default"/>
                      <w:snapToGrid w:val="0"/>
                      <w:color w:val="auto"/>
                      <w:highlight w:val="none"/>
                      <w:lang w:val="en-US" w:eastAsia="zh-CN"/>
                    </w:rPr>
                    <w:t>沸点：284.3±20.0℃at760mmHg，密度：1.5±0.1g/</w:t>
                  </w:r>
                  <w:r>
                    <w:rPr>
                      <w:rFonts w:hint="eastAsia"/>
                      <w:snapToGrid w:val="0"/>
                      <w:color w:val="auto"/>
                      <w:highlight w:val="none"/>
                      <w:vertAlign w:val="baseline"/>
                      <w:lang w:val="en-US" w:eastAsia="zh-CN"/>
                    </w:rPr>
                    <w:t>cm</w:t>
                  </w:r>
                  <w:r>
                    <w:rPr>
                      <w:rFonts w:hint="eastAsia"/>
                      <w:snapToGrid w:val="0"/>
                      <w:color w:val="auto"/>
                      <w:highlight w:val="none"/>
                      <w:vertAlign w:val="superscript"/>
                      <w:lang w:val="en-US" w:eastAsia="zh-CN"/>
                    </w:rPr>
                    <w:t>3</w:t>
                  </w:r>
                  <w:r>
                    <w:rPr>
                      <w:rFonts w:hint="default"/>
                      <w:snapToGrid w:val="0"/>
                      <w:color w:val="auto"/>
                      <w:highlight w:val="none"/>
                      <w:lang w:val="en-US" w:eastAsia="zh-CN"/>
                    </w:rPr>
                    <w:t>，闪点：125.7±21.8℃，外观：白色到黄色到褐色固体</w:t>
                  </w:r>
                </w:p>
              </w:tc>
              <w:tc>
                <w:tcPr>
                  <w:tcW w:w="1296" w:type="dxa"/>
                  <w:tcBorders>
                    <w:tl2br w:val="nil"/>
                    <w:tr2bl w:val="nil"/>
                  </w:tcBorders>
                  <w:noWrap w:val="0"/>
                  <w:vAlign w:val="center"/>
                </w:tcPr>
                <w:p w14:paraId="64C5DAE5">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rPr>
                  </w:pPr>
                  <w:r>
                    <w:rPr>
                      <w:rFonts w:hint="default" w:ascii="Times New Roman" w:hAnsi="Times New Roman" w:eastAsia="宋体" w:cs="Times New Roman"/>
                      <w:b w:val="0"/>
                      <w:bCs/>
                      <w:snapToGrid w:val="0"/>
                      <w:color w:val="auto"/>
                      <w:kern w:val="2"/>
                      <w:sz w:val="21"/>
                      <w:szCs w:val="24"/>
                      <w:highlight w:val="none"/>
                      <w:lang w:val="en-US" w:eastAsia="zh-CN" w:bidi="ar-SA"/>
                    </w:rPr>
                    <w:t>无</w:t>
                  </w:r>
                </w:p>
              </w:tc>
              <w:tc>
                <w:tcPr>
                  <w:tcW w:w="1618" w:type="dxa"/>
                  <w:tcBorders>
                    <w:tl2br w:val="nil"/>
                    <w:tr2bl w:val="nil"/>
                  </w:tcBorders>
                  <w:noWrap w:val="0"/>
                  <w:vAlign w:val="center"/>
                </w:tcPr>
                <w:p w14:paraId="30E68CD8">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highlight w:val="none"/>
                      <w:lang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2D23EEC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D5501D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丙二酸</w:t>
                  </w:r>
                </w:p>
              </w:tc>
              <w:tc>
                <w:tcPr>
                  <w:tcW w:w="1142" w:type="dxa"/>
                  <w:tcBorders>
                    <w:tl2br w:val="nil"/>
                    <w:tr2bl w:val="nil"/>
                  </w:tcBorders>
                  <w:noWrap w:val="0"/>
                  <w:vAlign w:val="center"/>
                </w:tcPr>
                <w:p w14:paraId="75F4C03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pacing w:val="3"/>
                      <w:kern w:val="0"/>
                      <w:sz w:val="21"/>
                      <w:szCs w:val="21"/>
                      <w:highlight w:val="none"/>
                      <w:lang w:val="en-US" w:eastAsia="zh-CN" w:bidi="ar-SA"/>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3</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4</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O</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4</w:t>
                  </w:r>
                </w:p>
              </w:tc>
              <w:tc>
                <w:tcPr>
                  <w:tcW w:w="2758" w:type="dxa"/>
                  <w:tcBorders>
                    <w:tl2br w:val="nil"/>
                    <w:tr2bl w:val="nil"/>
                  </w:tcBorders>
                  <w:noWrap w:val="0"/>
                  <w:vAlign w:val="center"/>
                </w:tcPr>
                <w:p w14:paraId="1B1DACBF">
                  <w:pPr>
                    <w:bidi w:val="0"/>
                    <w:jc w:val="center"/>
                    <w:rPr>
                      <w:rFonts w:hint="default"/>
                      <w:snapToGrid w:val="0"/>
                      <w:color w:val="auto"/>
                      <w:highlight w:val="none"/>
                    </w:rPr>
                  </w:pPr>
                  <w:r>
                    <w:rPr>
                      <w:rFonts w:hint="default"/>
                      <w:snapToGrid w:val="0"/>
                      <w:color w:val="auto"/>
                      <w:highlight w:val="none"/>
                      <w:lang w:val="en-US" w:eastAsia="zh-CN"/>
                    </w:rPr>
                    <w:t>熔点：135℃</w:t>
                  </w:r>
                  <w:r>
                    <w:rPr>
                      <w:rFonts w:hint="default"/>
                      <w:snapToGrid w:val="0"/>
                      <w:color w:val="auto"/>
                      <w:highlight w:val="none"/>
                      <w:lang w:eastAsia="zh-CN"/>
                    </w:rPr>
                    <w:t>，</w:t>
                  </w:r>
                  <w:r>
                    <w:rPr>
                      <w:rFonts w:hint="default"/>
                      <w:snapToGrid w:val="0"/>
                      <w:color w:val="auto"/>
                      <w:highlight w:val="none"/>
                      <w:lang w:val="en-US" w:eastAsia="zh-CN"/>
                    </w:rPr>
                    <w:t>沸点：140℃（分解），密度：1.619g/</w:t>
                  </w:r>
                  <w:r>
                    <w:rPr>
                      <w:rFonts w:hint="eastAsia"/>
                      <w:snapToGrid w:val="0"/>
                      <w:color w:val="auto"/>
                      <w:highlight w:val="none"/>
                      <w:vertAlign w:val="baseline"/>
                      <w:lang w:val="en-US" w:eastAsia="zh-CN"/>
                    </w:rPr>
                    <w:t>cm</w:t>
                  </w:r>
                  <w:r>
                    <w:rPr>
                      <w:rFonts w:hint="eastAsia"/>
                      <w:snapToGrid w:val="0"/>
                      <w:color w:val="auto"/>
                      <w:highlight w:val="none"/>
                      <w:vertAlign w:val="superscript"/>
                      <w:lang w:val="en-US" w:eastAsia="zh-CN"/>
                    </w:rPr>
                    <w:t>3</w:t>
                  </w:r>
                  <w:r>
                    <w:rPr>
                      <w:rFonts w:hint="default"/>
                      <w:snapToGrid w:val="0"/>
                      <w:color w:val="auto"/>
                      <w:highlight w:val="none"/>
                      <w:lang w:val="en-US" w:eastAsia="zh-CN"/>
                    </w:rPr>
                    <w:t>，闪点：157℃，外观：无色片状晶体；</w:t>
                  </w:r>
                  <w:r>
                    <w:rPr>
                      <w:rFonts w:hint="default"/>
                      <w:snapToGrid w:val="0"/>
                      <w:color w:val="auto"/>
                      <w:highlight w:val="none"/>
                    </w:rPr>
                    <w:t>溶于水，溶于乙醇、</w:t>
                  </w:r>
                  <w:r>
                    <w:rPr>
                      <w:rFonts w:hint="default"/>
                      <w:snapToGrid w:val="0"/>
                      <w:color w:val="auto"/>
                      <w:highlight w:val="none"/>
                    </w:rPr>
                    <w:fldChar w:fldCharType="begin"/>
                  </w:r>
                  <w:r>
                    <w:rPr>
                      <w:rFonts w:hint="default"/>
                      <w:snapToGrid w:val="0"/>
                      <w:color w:val="auto"/>
                      <w:highlight w:val="none"/>
                    </w:rPr>
                    <w:instrText xml:space="preserve"> HYPERLINK "https://baike.baidu.com/item/%E4%B9%99%E9%86%9A/0?fromModule=lemma_inlink" \t "https://baike.baidu.com/item/_blank" </w:instrText>
                  </w:r>
                  <w:r>
                    <w:rPr>
                      <w:rFonts w:hint="default"/>
                      <w:snapToGrid w:val="0"/>
                      <w:color w:val="auto"/>
                      <w:highlight w:val="none"/>
                    </w:rPr>
                    <w:fldChar w:fldCharType="separate"/>
                  </w:r>
                  <w:r>
                    <w:rPr>
                      <w:rStyle w:val="35"/>
                      <w:rFonts w:hint="default" w:ascii="Times New Roman" w:hAnsi="Times New Roman" w:eastAsia="Helvetica" w:cs="Times New Roman"/>
                      <w:i w:val="0"/>
                      <w:iCs w:val="0"/>
                      <w:caps w:val="0"/>
                      <w:snapToGrid w:val="0"/>
                      <w:color w:val="auto"/>
                      <w:spacing w:val="0"/>
                      <w:szCs w:val="21"/>
                      <w:highlight w:val="none"/>
                      <w:u w:val="none"/>
                      <w:shd w:val="clear" w:color="auto" w:fill="FFFFFF"/>
                    </w:rPr>
                    <w:t>乙醚</w:t>
                  </w:r>
                  <w:r>
                    <w:rPr>
                      <w:rFonts w:hint="default"/>
                      <w:snapToGrid w:val="0"/>
                      <w:color w:val="auto"/>
                      <w:highlight w:val="none"/>
                    </w:rPr>
                    <w:fldChar w:fldCharType="end"/>
                  </w:r>
                  <w:r>
                    <w:rPr>
                      <w:rFonts w:hint="default"/>
                      <w:snapToGrid w:val="0"/>
                      <w:color w:val="auto"/>
                      <w:highlight w:val="none"/>
                      <w:lang w:eastAsia="zh-CN"/>
                    </w:rPr>
                    <w:t>、</w:t>
                  </w:r>
                  <w:r>
                    <w:rPr>
                      <w:rFonts w:hint="default"/>
                      <w:snapToGrid w:val="0"/>
                      <w:color w:val="auto"/>
                      <w:highlight w:val="none"/>
                    </w:rPr>
                    <w:t>溶于丙酮</w:t>
                  </w:r>
                </w:p>
              </w:tc>
              <w:tc>
                <w:tcPr>
                  <w:tcW w:w="1296" w:type="dxa"/>
                  <w:tcBorders>
                    <w:tl2br w:val="nil"/>
                    <w:tr2bl w:val="nil"/>
                  </w:tcBorders>
                  <w:noWrap w:val="0"/>
                  <w:vAlign w:val="center"/>
                </w:tcPr>
                <w:p w14:paraId="44EC0653">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snapToGrid w:val="0"/>
                      <w:color w:val="auto"/>
                      <w:highlight w:val="none"/>
                      <w:lang w:val="en-US" w:eastAsia="zh-CN"/>
                    </w:rPr>
                  </w:pPr>
                  <w:r>
                    <w:rPr>
                      <w:rFonts w:hint="default" w:ascii="Times New Roman" w:hAnsi="Times New Roman" w:eastAsia="宋体" w:cs="Times New Roman"/>
                      <w:snapToGrid w:val="0"/>
                      <w:color w:val="auto"/>
                      <w:highlight w:val="none"/>
                      <w:lang w:val="en-US" w:eastAsia="zh-CN"/>
                    </w:rPr>
                    <w:t>本品为易燃物品</w:t>
                  </w:r>
                </w:p>
              </w:tc>
              <w:tc>
                <w:tcPr>
                  <w:tcW w:w="1618" w:type="dxa"/>
                  <w:tcBorders>
                    <w:tl2br w:val="nil"/>
                    <w:tr2bl w:val="nil"/>
                  </w:tcBorders>
                  <w:noWrap w:val="0"/>
                  <w:vAlign w:val="center"/>
                </w:tcPr>
                <w:p w14:paraId="4EB5B2BE">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Helvetica" w:cs="Times New Roman"/>
                      <w:i w:val="0"/>
                      <w:iCs w:val="0"/>
                      <w:caps w:val="0"/>
                      <w:snapToGrid w:val="0"/>
                      <w:color w:val="auto"/>
                      <w:spacing w:val="0"/>
                      <w:sz w:val="21"/>
                      <w:szCs w:val="21"/>
                      <w:highlight w:val="none"/>
                      <w:shd w:val="clear" w:color="auto" w:fill="FFFFFF"/>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LD</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50</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：1310mg/kg</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大鼠经口</w:t>
                  </w: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eastAsia="zh-CN"/>
                    </w:rPr>
                    <w:t>）；</w:t>
                  </w:r>
                </w:p>
              </w:tc>
            </w:tr>
            <w:tr w14:paraId="553CCE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B00303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甲胺盐酸盐</w:t>
                  </w:r>
                </w:p>
              </w:tc>
              <w:tc>
                <w:tcPr>
                  <w:tcW w:w="1142" w:type="dxa"/>
                  <w:tcBorders>
                    <w:tl2br w:val="nil"/>
                    <w:tr2bl w:val="nil"/>
                  </w:tcBorders>
                  <w:noWrap w:val="0"/>
                  <w:vAlign w:val="center"/>
                </w:tcPr>
                <w:p w14:paraId="70C1E54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sz w:val="21"/>
                      <w:szCs w:val="21"/>
                      <w:highlight w:val="none"/>
                    </w:rPr>
                  </w:pP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CH</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vertAlign w:val="subscript"/>
                    </w:rPr>
                    <w:t>6</w:t>
                  </w:r>
                  <w:r>
                    <w:rPr>
                      <w:rFonts w:hint="default" w:ascii="Times New Roman" w:hAnsi="Times New Roman" w:eastAsia="Helvetica" w:cs="Times New Roman"/>
                      <w:i w:val="0"/>
                      <w:iCs w:val="0"/>
                      <w:caps w:val="0"/>
                      <w:snapToGrid w:val="0"/>
                      <w:color w:val="auto"/>
                      <w:spacing w:val="0"/>
                      <w:sz w:val="21"/>
                      <w:szCs w:val="21"/>
                      <w:highlight w:val="none"/>
                      <w:shd w:val="clear" w:color="auto" w:fill="FFFFFF"/>
                    </w:rPr>
                    <w:t>CLN</w:t>
                  </w:r>
                </w:p>
              </w:tc>
              <w:tc>
                <w:tcPr>
                  <w:tcW w:w="2758" w:type="dxa"/>
                  <w:tcBorders>
                    <w:tl2br w:val="nil"/>
                    <w:tr2bl w:val="nil"/>
                  </w:tcBorders>
                  <w:noWrap w:val="0"/>
                  <w:vAlign w:val="center"/>
                </w:tcPr>
                <w:p w14:paraId="3E10BD44">
                  <w:pPr>
                    <w:bidi w:val="0"/>
                    <w:jc w:val="center"/>
                    <w:rPr>
                      <w:rFonts w:hint="default"/>
                      <w:snapToGrid w:val="0"/>
                      <w:color w:val="auto"/>
                      <w:highlight w:val="none"/>
                      <w:lang w:val="en-US"/>
                    </w:rPr>
                  </w:pPr>
                  <w:r>
                    <w:rPr>
                      <w:rFonts w:hint="default"/>
                      <w:snapToGrid w:val="0"/>
                      <w:color w:val="auto"/>
                      <w:highlight w:val="none"/>
                      <w:lang w:val="en-US" w:eastAsia="zh-CN"/>
                    </w:rPr>
                    <w:t>熔点：228</w:t>
                  </w:r>
                  <w:r>
                    <w:rPr>
                      <w:rFonts w:hint="eastAsia"/>
                      <w:snapToGrid w:val="0"/>
                      <w:color w:val="auto"/>
                      <w:highlight w:val="none"/>
                      <w:lang w:val="en-US" w:eastAsia="zh-CN"/>
                    </w:rPr>
                    <w:t>～</w:t>
                  </w:r>
                  <w:r>
                    <w:rPr>
                      <w:rFonts w:hint="default"/>
                      <w:snapToGrid w:val="0"/>
                      <w:color w:val="auto"/>
                      <w:highlight w:val="none"/>
                      <w:lang w:val="en-US" w:eastAsia="zh-CN"/>
                    </w:rPr>
                    <w:t>233℃</w:t>
                  </w:r>
                  <w:r>
                    <w:rPr>
                      <w:rFonts w:hint="default"/>
                      <w:snapToGrid w:val="0"/>
                      <w:color w:val="auto"/>
                      <w:highlight w:val="none"/>
                      <w:lang w:eastAsia="zh-CN"/>
                    </w:rPr>
                    <w:t>，</w:t>
                  </w:r>
                  <w:r>
                    <w:rPr>
                      <w:rFonts w:hint="default"/>
                      <w:snapToGrid w:val="0"/>
                      <w:color w:val="auto"/>
                      <w:highlight w:val="none"/>
                      <w:lang w:val="en-US" w:eastAsia="zh-CN"/>
                    </w:rPr>
                    <w:t>沸点：225</w:t>
                  </w:r>
                  <w:r>
                    <w:rPr>
                      <w:rFonts w:hint="eastAsia"/>
                      <w:snapToGrid w:val="0"/>
                      <w:color w:val="auto"/>
                      <w:highlight w:val="none"/>
                      <w:lang w:val="en-US" w:eastAsia="zh-CN"/>
                    </w:rPr>
                    <w:t>～</w:t>
                  </w:r>
                  <w:r>
                    <w:rPr>
                      <w:rFonts w:hint="default"/>
                      <w:snapToGrid w:val="0"/>
                      <w:color w:val="auto"/>
                      <w:highlight w:val="none"/>
                      <w:lang w:val="en-US" w:eastAsia="zh-CN"/>
                    </w:rPr>
                    <w:t>230℃（15mmHg），</w:t>
                  </w:r>
                  <w:r>
                    <w:rPr>
                      <w:rFonts w:hint="eastAsia"/>
                      <w:snapToGrid w:val="0"/>
                      <w:color w:val="auto"/>
                      <w:highlight w:val="none"/>
                      <w:lang w:val="en-US" w:eastAsia="zh-CN"/>
                    </w:rPr>
                    <w:t>蒸气压</w:t>
                  </w:r>
                  <w:r>
                    <w:rPr>
                      <w:rFonts w:hint="default"/>
                      <w:snapToGrid w:val="0"/>
                      <w:color w:val="auto"/>
                      <w:highlight w:val="none"/>
                      <w:lang w:val="en-US" w:eastAsia="zh-CN"/>
                    </w:rPr>
                    <w:t>：3970mmHgat25℃，水溶性：可溶</w:t>
                  </w:r>
                </w:p>
              </w:tc>
              <w:tc>
                <w:tcPr>
                  <w:tcW w:w="1296" w:type="dxa"/>
                  <w:tcBorders>
                    <w:tl2br w:val="nil"/>
                    <w:tr2bl w:val="nil"/>
                  </w:tcBorders>
                  <w:noWrap w:val="0"/>
                  <w:vAlign w:val="center"/>
                </w:tcPr>
                <w:p w14:paraId="5EFC996C">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lang w:val="en-US" w:eastAsia="zh-CN"/>
                    </w:rPr>
                  </w:pPr>
                  <w:r>
                    <w:rPr>
                      <w:rFonts w:hint="default" w:ascii="Times New Roman" w:hAnsi="Times New Roman" w:eastAsia="宋体" w:cs="Times New Roman"/>
                      <w:b w:val="0"/>
                      <w:bCs/>
                      <w:snapToGrid w:val="0"/>
                      <w:color w:val="auto"/>
                      <w:kern w:val="2"/>
                      <w:sz w:val="21"/>
                      <w:szCs w:val="24"/>
                      <w:highlight w:val="none"/>
                      <w:lang w:val="en-US" w:eastAsia="zh-CN" w:bidi="ar-SA"/>
                    </w:rPr>
                    <w:t>无</w:t>
                  </w:r>
                </w:p>
              </w:tc>
              <w:tc>
                <w:tcPr>
                  <w:tcW w:w="1618" w:type="dxa"/>
                  <w:tcBorders>
                    <w:tl2br w:val="nil"/>
                    <w:tr2bl w:val="nil"/>
                  </w:tcBorders>
                  <w:noWrap w:val="0"/>
                  <w:vAlign w:val="center"/>
                </w:tcPr>
                <w:p w14:paraId="4E121BF9">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highlight w:val="none"/>
                      <w:shd w:val="clear" w:color="auto" w:fill="F5F5F5"/>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7D4C99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803136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醋酸硼氢化钠</w:t>
                  </w:r>
                </w:p>
              </w:tc>
              <w:tc>
                <w:tcPr>
                  <w:tcW w:w="1142" w:type="dxa"/>
                  <w:tcBorders>
                    <w:tl2br w:val="nil"/>
                    <w:tr2bl w:val="nil"/>
                  </w:tcBorders>
                  <w:noWrap w:val="0"/>
                  <w:vAlign w:val="center"/>
                </w:tcPr>
                <w:p w14:paraId="6895E4A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0"/>
                      <w:szCs w:val="20"/>
                      <w:highlight w:val="none"/>
                      <w:lang w:val="en-US" w:eastAsia="zh-CN"/>
                    </w:rPr>
                  </w:pPr>
                  <w:r>
                    <w:rPr>
                      <w:rFonts w:hint="default" w:ascii="Times New Roman" w:hAnsi="Times New Roman" w:eastAsia="Segoe UI" w:cs="Times New Roman"/>
                      <w:i w:val="0"/>
                      <w:iCs w:val="0"/>
                      <w:caps w:val="0"/>
                      <w:snapToGrid w:val="0"/>
                      <w:color w:val="auto"/>
                      <w:spacing w:val="0"/>
                      <w:sz w:val="21"/>
                      <w:szCs w:val="21"/>
                      <w:highlight w:val="none"/>
                      <w:u w:val="none"/>
                    </w:rPr>
                    <w:fldChar w:fldCharType="begin"/>
                  </w:r>
                  <w:r>
                    <w:rPr>
                      <w:rFonts w:hint="default" w:ascii="Times New Roman" w:hAnsi="Times New Roman" w:eastAsia="Segoe UI" w:cs="Times New Roman"/>
                      <w:i w:val="0"/>
                      <w:iCs w:val="0"/>
                      <w:caps w:val="0"/>
                      <w:snapToGrid w:val="0"/>
                      <w:color w:val="auto"/>
                      <w:spacing w:val="0"/>
                      <w:sz w:val="21"/>
                      <w:szCs w:val="21"/>
                      <w:highlight w:val="none"/>
                      <w:u w:val="none"/>
                    </w:rPr>
                    <w:instrText xml:space="preserve"> HYPERLINK "https://www.chembk.com/cn/search/C6H10BNaO6" </w:instrText>
                  </w:r>
                  <w:r>
                    <w:rPr>
                      <w:rFonts w:hint="default" w:ascii="Times New Roman" w:hAnsi="Times New Roman" w:eastAsia="Segoe UI" w:cs="Times New Roman"/>
                      <w:i w:val="0"/>
                      <w:iCs w:val="0"/>
                      <w:caps w:val="0"/>
                      <w:snapToGrid w:val="0"/>
                      <w:color w:val="auto"/>
                      <w:spacing w:val="0"/>
                      <w:sz w:val="21"/>
                      <w:szCs w:val="21"/>
                      <w:highlight w:val="none"/>
                      <w:u w:val="none"/>
                    </w:rPr>
                    <w:fldChar w:fldCharType="separate"/>
                  </w:r>
                  <w:r>
                    <w:rPr>
                      <w:rStyle w:val="35"/>
                      <w:rFonts w:hint="default" w:ascii="Times New Roman" w:hAnsi="Times New Roman" w:eastAsia="Segoe UI" w:cs="Times New Roman"/>
                      <w:i w:val="0"/>
                      <w:iCs w:val="0"/>
                      <w:caps w:val="0"/>
                      <w:snapToGrid w:val="0"/>
                      <w:color w:val="auto"/>
                      <w:spacing w:val="0"/>
                      <w:sz w:val="21"/>
                      <w:szCs w:val="21"/>
                      <w:highlight w:val="none"/>
                      <w:u w:val="none"/>
                    </w:rPr>
                    <w:t>C</w:t>
                  </w:r>
                  <w:r>
                    <w:rPr>
                      <w:rStyle w:val="35"/>
                      <w:rFonts w:hint="default" w:ascii="Times New Roman" w:hAnsi="Times New Roman" w:eastAsia="Segoe UI" w:cs="Times New Roman"/>
                      <w:i w:val="0"/>
                      <w:iCs w:val="0"/>
                      <w:caps w:val="0"/>
                      <w:snapToGrid w:val="0"/>
                      <w:color w:val="auto"/>
                      <w:spacing w:val="0"/>
                      <w:sz w:val="21"/>
                      <w:szCs w:val="21"/>
                      <w:highlight w:val="none"/>
                      <w:u w:val="none"/>
                      <w:vertAlign w:val="subscript"/>
                    </w:rPr>
                    <w:t>6</w:t>
                  </w:r>
                  <w:r>
                    <w:rPr>
                      <w:rStyle w:val="35"/>
                      <w:rFonts w:hint="default" w:ascii="Times New Roman" w:hAnsi="Times New Roman" w:eastAsia="Segoe UI" w:cs="Times New Roman"/>
                      <w:i w:val="0"/>
                      <w:iCs w:val="0"/>
                      <w:caps w:val="0"/>
                      <w:snapToGrid w:val="0"/>
                      <w:color w:val="auto"/>
                      <w:spacing w:val="0"/>
                      <w:sz w:val="21"/>
                      <w:szCs w:val="21"/>
                      <w:highlight w:val="none"/>
                      <w:u w:val="none"/>
                    </w:rPr>
                    <w:t>H</w:t>
                  </w:r>
                  <w:r>
                    <w:rPr>
                      <w:rStyle w:val="35"/>
                      <w:rFonts w:hint="default" w:ascii="Times New Roman" w:hAnsi="Times New Roman" w:eastAsia="Segoe UI" w:cs="Times New Roman"/>
                      <w:i w:val="0"/>
                      <w:iCs w:val="0"/>
                      <w:caps w:val="0"/>
                      <w:snapToGrid w:val="0"/>
                      <w:color w:val="auto"/>
                      <w:spacing w:val="0"/>
                      <w:sz w:val="21"/>
                      <w:szCs w:val="21"/>
                      <w:highlight w:val="none"/>
                      <w:u w:val="none"/>
                      <w:vertAlign w:val="subscript"/>
                    </w:rPr>
                    <w:t>10</w:t>
                  </w:r>
                  <w:r>
                    <w:rPr>
                      <w:rStyle w:val="35"/>
                      <w:rFonts w:hint="default" w:ascii="Times New Roman" w:hAnsi="Times New Roman" w:eastAsia="Segoe UI" w:cs="Times New Roman"/>
                      <w:i w:val="0"/>
                      <w:iCs w:val="0"/>
                      <w:caps w:val="0"/>
                      <w:snapToGrid w:val="0"/>
                      <w:color w:val="auto"/>
                      <w:spacing w:val="0"/>
                      <w:sz w:val="21"/>
                      <w:szCs w:val="21"/>
                      <w:highlight w:val="none"/>
                      <w:u w:val="none"/>
                    </w:rPr>
                    <w:t>BNaO</w:t>
                  </w:r>
                  <w:r>
                    <w:rPr>
                      <w:rStyle w:val="35"/>
                      <w:rFonts w:hint="default" w:ascii="Times New Roman" w:hAnsi="Times New Roman" w:eastAsia="Segoe UI" w:cs="Times New Roman"/>
                      <w:i w:val="0"/>
                      <w:iCs w:val="0"/>
                      <w:caps w:val="0"/>
                      <w:snapToGrid w:val="0"/>
                      <w:color w:val="auto"/>
                      <w:spacing w:val="0"/>
                      <w:sz w:val="21"/>
                      <w:szCs w:val="21"/>
                      <w:highlight w:val="none"/>
                      <w:u w:val="none"/>
                      <w:vertAlign w:val="subscript"/>
                    </w:rPr>
                    <w:t>6</w:t>
                  </w:r>
                  <w:r>
                    <w:rPr>
                      <w:rFonts w:hint="default" w:ascii="Times New Roman" w:hAnsi="Times New Roman" w:eastAsia="Segoe UI" w:cs="Times New Roman"/>
                      <w:i w:val="0"/>
                      <w:iCs w:val="0"/>
                      <w:caps w:val="0"/>
                      <w:snapToGrid w:val="0"/>
                      <w:color w:val="auto"/>
                      <w:spacing w:val="0"/>
                      <w:sz w:val="21"/>
                      <w:szCs w:val="21"/>
                      <w:highlight w:val="none"/>
                      <w:u w:val="none"/>
                    </w:rPr>
                    <w:fldChar w:fldCharType="end"/>
                  </w:r>
                </w:p>
              </w:tc>
              <w:tc>
                <w:tcPr>
                  <w:tcW w:w="2758" w:type="dxa"/>
                  <w:tcBorders>
                    <w:tl2br w:val="nil"/>
                    <w:tr2bl w:val="nil"/>
                  </w:tcBorders>
                  <w:noWrap w:val="0"/>
                  <w:vAlign w:val="center"/>
                </w:tcPr>
                <w:p w14:paraId="7FAEC695">
                  <w:pPr>
                    <w:bidi w:val="0"/>
                    <w:jc w:val="center"/>
                    <w:rPr>
                      <w:rFonts w:hint="default"/>
                      <w:snapToGrid w:val="0"/>
                      <w:color w:val="auto"/>
                      <w:highlight w:val="none"/>
                      <w:lang w:val="en-US" w:eastAsia="zh-CN"/>
                    </w:rPr>
                  </w:pPr>
                  <w:r>
                    <w:rPr>
                      <w:rFonts w:hint="default"/>
                      <w:snapToGrid w:val="0"/>
                      <w:color w:val="auto"/>
                      <w:highlight w:val="none"/>
                      <w:lang w:val="en-US" w:eastAsia="zh-CN"/>
                    </w:rPr>
                    <w:t>熔点：116</w:t>
                  </w:r>
                  <w:r>
                    <w:rPr>
                      <w:rFonts w:hint="eastAsia"/>
                      <w:snapToGrid w:val="0"/>
                      <w:color w:val="auto"/>
                      <w:highlight w:val="none"/>
                      <w:lang w:val="en-US" w:eastAsia="zh-CN"/>
                    </w:rPr>
                    <w:t>～</w:t>
                  </w:r>
                  <w:r>
                    <w:rPr>
                      <w:rFonts w:hint="default"/>
                      <w:snapToGrid w:val="0"/>
                      <w:color w:val="auto"/>
                      <w:highlight w:val="none"/>
                      <w:lang w:val="en-US" w:eastAsia="zh-CN"/>
                    </w:rPr>
                    <w:t>120℃</w:t>
                  </w:r>
                  <w:r>
                    <w:rPr>
                      <w:rFonts w:hint="default"/>
                      <w:snapToGrid w:val="0"/>
                      <w:color w:val="auto"/>
                      <w:highlight w:val="none"/>
                      <w:lang w:eastAsia="zh-CN"/>
                    </w:rPr>
                    <w:t>，</w:t>
                  </w:r>
                  <w:r>
                    <w:rPr>
                      <w:rFonts w:hint="default"/>
                      <w:snapToGrid w:val="0"/>
                      <w:color w:val="auto"/>
                      <w:highlight w:val="none"/>
                      <w:lang w:val="en-US" w:eastAsia="zh-CN"/>
                    </w:rPr>
                    <w:t>沸点：111.1℃（at101325Pa），密度：1.36[at20℃]，外观：白色粉末；</w:t>
                  </w:r>
                  <w:r>
                    <w:rPr>
                      <w:rFonts w:hint="default"/>
                      <w:snapToGrid w:val="0"/>
                      <w:color w:val="auto"/>
                      <w:highlight w:val="none"/>
                    </w:rPr>
                    <w:t>溶于</w:t>
                  </w:r>
                  <w:r>
                    <w:rPr>
                      <w:rFonts w:hint="default"/>
                      <w:snapToGrid w:val="0"/>
                      <w:color w:val="auto"/>
                      <w:highlight w:val="none"/>
                      <w:lang w:val="en-US" w:eastAsia="zh-CN"/>
                    </w:rPr>
                    <w:t>二甲亚砜、甲醇、苯、甲苯、四氢呋喃、二恶烷和二氯甲烷</w:t>
                  </w:r>
                </w:p>
              </w:tc>
              <w:tc>
                <w:tcPr>
                  <w:tcW w:w="1296" w:type="dxa"/>
                  <w:tcBorders>
                    <w:tl2br w:val="nil"/>
                    <w:tr2bl w:val="nil"/>
                  </w:tcBorders>
                  <w:noWrap w:val="0"/>
                  <w:vAlign w:val="center"/>
                </w:tcPr>
                <w:p w14:paraId="3FF0AEB1">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lang w:val="en-US" w:eastAsia="zh-CN"/>
                    </w:rPr>
                  </w:pPr>
                  <w:r>
                    <w:rPr>
                      <w:rFonts w:hint="default" w:ascii="Times New Roman" w:hAnsi="Times New Roman" w:cs="Times New Roman"/>
                      <w:snapToGrid w:val="0"/>
                      <w:color w:val="auto"/>
                      <w:highlight w:val="none"/>
                      <w:lang w:val="en-US" w:eastAsia="zh-CN"/>
                    </w:rPr>
                    <w:t>本品为易燃物品</w:t>
                  </w:r>
                </w:p>
              </w:tc>
              <w:tc>
                <w:tcPr>
                  <w:tcW w:w="1618" w:type="dxa"/>
                  <w:tcBorders>
                    <w:tl2br w:val="nil"/>
                    <w:tr2bl w:val="nil"/>
                  </w:tcBorders>
                  <w:noWrap w:val="0"/>
                  <w:vAlign w:val="center"/>
                </w:tcPr>
                <w:p w14:paraId="57E09F78">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highlight w:val="none"/>
                      <w:shd w:val="clear" w:color="auto" w:fill="F5F5F5"/>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13F5FD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050E5B7D">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cs="Times New Roman"/>
                      <w:snapToGrid w:val="0"/>
                      <w:color w:val="auto"/>
                      <w:kern w:val="0"/>
                      <w:sz w:val="21"/>
                      <w:szCs w:val="21"/>
                      <w:highlight w:val="none"/>
                    </w:rPr>
                  </w:pPr>
                  <w:r>
                    <w:rPr>
                      <w:rFonts w:hint="default" w:ascii="Times New Roman" w:hAnsi="Times New Roman" w:eastAsia="宋体" w:cs="Times New Roman"/>
                      <w:snapToGrid w:val="0"/>
                      <w:color w:val="auto"/>
                      <w:sz w:val="21"/>
                      <w:szCs w:val="21"/>
                      <w:highlight w:val="none"/>
                      <w:lang w:val="en-US" w:eastAsia="zh-CN"/>
                    </w:rPr>
                    <w:t>联硼酸频</w:t>
                  </w:r>
                  <w:r>
                    <w:rPr>
                      <w:rFonts w:hint="default" w:ascii="Times New Roman" w:hAnsi="Times New Roman" w:cs="Times New Roman"/>
                      <w:snapToGrid w:val="0"/>
                      <w:color w:val="auto"/>
                      <w:sz w:val="21"/>
                      <w:szCs w:val="21"/>
                      <w:highlight w:val="none"/>
                      <w:lang w:val="en-US" w:eastAsia="zh-CN"/>
                    </w:rPr>
                    <w:t>那</w:t>
                  </w:r>
                  <w:r>
                    <w:rPr>
                      <w:rFonts w:hint="default" w:ascii="Times New Roman" w:hAnsi="Times New Roman" w:eastAsia="宋体" w:cs="Times New Roman"/>
                      <w:snapToGrid w:val="0"/>
                      <w:color w:val="auto"/>
                      <w:sz w:val="21"/>
                      <w:szCs w:val="21"/>
                      <w:highlight w:val="none"/>
                      <w:lang w:val="en-US" w:eastAsia="zh-CN"/>
                    </w:rPr>
                    <w:t>醇酯</w:t>
                  </w:r>
                </w:p>
              </w:tc>
              <w:tc>
                <w:tcPr>
                  <w:tcW w:w="1142" w:type="dxa"/>
                  <w:tcBorders>
                    <w:tl2br w:val="nil"/>
                    <w:tr2bl w:val="nil"/>
                  </w:tcBorders>
                  <w:noWrap w:val="0"/>
                  <w:vAlign w:val="center"/>
                </w:tcPr>
                <w:p w14:paraId="19F5212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0"/>
                      <w:szCs w:val="20"/>
                      <w:highlight w:val="none"/>
                      <w:lang w:val="en-US" w:eastAsia="zh-CN"/>
                    </w:rPr>
                  </w:pPr>
                  <w:r>
                    <w:rPr>
                      <w:rFonts w:hint="default" w:ascii="Times New Roman" w:hAnsi="Times New Roman" w:eastAsia="宋体" w:cs="Times New Roman"/>
                      <w:snapToGrid w:val="0"/>
                      <w:color w:val="auto"/>
                      <w:sz w:val="21"/>
                      <w:szCs w:val="21"/>
                      <w:highlight w:val="none"/>
                    </w:rPr>
                    <w:t>C</w:t>
                  </w:r>
                  <w:r>
                    <w:rPr>
                      <w:rFonts w:hint="default" w:ascii="Times New Roman" w:hAnsi="Times New Roman" w:eastAsia="宋体" w:cs="Times New Roman"/>
                      <w:snapToGrid w:val="0"/>
                      <w:color w:val="auto"/>
                      <w:sz w:val="21"/>
                      <w:szCs w:val="21"/>
                      <w:highlight w:val="none"/>
                      <w:vertAlign w:val="subscript"/>
                    </w:rPr>
                    <w:t>12</w:t>
                  </w:r>
                  <w:r>
                    <w:rPr>
                      <w:rFonts w:hint="default" w:ascii="Times New Roman" w:hAnsi="Times New Roman" w:eastAsia="宋体" w:cs="Times New Roman"/>
                      <w:snapToGrid w:val="0"/>
                      <w:color w:val="auto"/>
                      <w:sz w:val="21"/>
                      <w:szCs w:val="21"/>
                      <w:highlight w:val="none"/>
                    </w:rPr>
                    <w:t>H</w:t>
                  </w:r>
                  <w:r>
                    <w:rPr>
                      <w:rFonts w:hint="default" w:ascii="Times New Roman" w:hAnsi="Times New Roman" w:eastAsia="宋体" w:cs="Times New Roman"/>
                      <w:snapToGrid w:val="0"/>
                      <w:color w:val="auto"/>
                      <w:sz w:val="21"/>
                      <w:szCs w:val="21"/>
                      <w:highlight w:val="none"/>
                      <w:vertAlign w:val="subscript"/>
                    </w:rPr>
                    <w:t>24</w:t>
                  </w:r>
                  <w:r>
                    <w:rPr>
                      <w:rFonts w:hint="default" w:ascii="Times New Roman" w:hAnsi="Times New Roman" w:eastAsia="宋体" w:cs="Times New Roman"/>
                      <w:snapToGrid w:val="0"/>
                      <w:color w:val="auto"/>
                      <w:sz w:val="21"/>
                      <w:szCs w:val="21"/>
                      <w:highlight w:val="none"/>
                    </w:rPr>
                    <w:t>B</w:t>
                  </w:r>
                  <w:r>
                    <w:rPr>
                      <w:rFonts w:hint="default" w:ascii="Times New Roman" w:hAnsi="Times New Roman" w:eastAsia="宋体" w:cs="Times New Roman"/>
                      <w:snapToGrid w:val="0"/>
                      <w:color w:val="auto"/>
                      <w:sz w:val="21"/>
                      <w:szCs w:val="21"/>
                      <w:highlight w:val="none"/>
                      <w:vertAlign w:val="subscript"/>
                    </w:rPr>
                    <w:t>2</w:t>
                  </w:r>
                  <w:r>
                    <w:rPr>
                      <w:rFonts w:hint="default" w:ascii="Times New Roman" w:hAnsi="Times New Roman" w:eastAsia="宋体" w:cs="Times New Roman"/>
                      <w:snapToGrid w:val="0"/>
                      <w:color w:val="auto"/>
                      <w:sz w:val="21"/>
                      <w:szCs w:val="21"/>
                      <w:highlight w:val="none"/>
                    </w:rPr>
                    <w:t>O</w:t>
                  </w:r>
                  <w:r>
                    <w:rPr>
                      <w:rFonts w:hint="default" w:ascii="Times New Roman" w:hAnsi="Times New Roman" w:eastAsia="宋体" w:cs="Times New Roman"/>
                      <w:snapToGrid w:val="0"/>
                      <w:color w:val="auto"/>
                      <w:sz w:val="21"/>
                      <w:szCs w:val="21"/>
                      <w:highlight w:val="none"/>
                      <w:vertAlign w:val="subscript"/>
                    </w:rPr>
                    <w:t>4</w:t>
                  </w:r>
                </w:p>
              </w:tc>
              <w:tc>
                <w:tcPr>
                  <w:tcW w:w="2758" w:type="dxa"/>
                  <w:tcBorders>
                    <w:tl2br w:val="nil"/>
                    <w:tr2bl w:val="nil"/>
                  </w:tcBorders>
                  <w:noWrap w:val="0"/>
                  <w:vAlign w:val="center"/>
                </w:tcPr>
                <w:p w14:paraId="25F59A4D">
                  <w:pPr>
                    <w:bidi w:val="0"/>
                    <w:jc w:val="center"/>
                    <w:rPr>
                      <w:rFonts w:hint="default"/>
                      <w:snapToGrid w:val="0"/>
                      <w:color w:val="auto"/>
                      <w:highlight w:val="none"/>
                      <w:lang w:val="en-US"/>
                    </w:rPr>
                  </w:pPr>
                  <w:r>
                    <w:rPr>
                      <w:rFonts w:hint="default"/>
                      <w:snapToGrid w:val="0"/>
                      <w:color w:val="auto"/>
                      <w:highlight w:val="none"/>
                      <w:lang w:val="en-US" w:eastAsia="zh-CN"/>
                    </w:rPr>
                    <w:t>熔点：137</w:t>
                  </w:r>
                  <w:r>
                    <w:rPr>
                      <w:rFonts w:hint="eastAsia"/>
                      <w:snapToGrid w:val="0"/>
                      <w:color w:val="auto"/>
                      <w:highlight w:val="none"/>
                      <w:lang w:val="en-US" w:eastAsia="zh-CN"/>
                    </w:rPr>
                    <w:t>～</w:t>
                  </w:r>
                  <w:r>
                    <w:rPr>
                      <w:rFonts w:hint="default"/>
                      <w:snapToGrid w:val="0"/>
                      <w:color w:val="auto"/>
                      <w:highlight w:val="none"/>
                      <w:lang w:val="en-US" w:eastAsia="zh-CN"/>
                    </w:rPr>
                    <w:t>140℃</w:t>
                  </w:r>
                  <w:r>
                    <w:rPr>
                      <w:rFonts w:hint="default"/>
                      <w:snapToGrid w:val="0"/>
                      <w:color w:val="auto"/>
                      <w:highlight w:val="none"/>
                      <w:lang w:eastAsia="zh-CN"/>
                    </w:rPr>
                    <w:t>，</w:t>
                  </w:r>
                  <w:r>
                    <w:rPr>
                      <w:rFonts w:hint="default"/>
                      <w:snapToGrid w:val="0"/>
                      <w:color w:val="auto"/>
                      <w:highlight w:val="none"/>
                      <w:lang w:val="en-US" w:eastAsia="zh-CN"/>
                    </w:rPr>
                    <w:t>沸点：226±7℃，密度：0.98，外观：白色粉末或板状；</w:t>
                  </w:r>
                  <w:r>
                    <w:rPr>
                      <w:rFonts w:hint="default"/>
                      <w:snapToGrid w:val="0"/>
                      <w:color w:val="auto"/>
                      <w:highlight w:val="none"/>
                    </w:rPr>
                    <w:t>溶于</w:t>
                  </w:r>
                  <w:r>
                    <w:rPr>
                      <w:rFonts w:hint="default"/>
                      <w:snapToGrid w:val="0"/>
                      <w:color w:val="auto"/>
                      <w:highlight w:val="none"/>
                      <w:lang w:val="en-US" w:eastAsia="zh-CN"/>
                    </w:rPr>
                    <w:t>四氢呋喃、二氯甲烷、甲苯、正己烷和庚烷中，不溶于水</w:t>
                  </w:r>
                </w:p>
              </w:tc>
              <w:tc>
                <w:tcPr>
                  <w:tcW w:w="1296" w:type="dxa"/>
                  <w:tcBorders>
                    <w:tl2br w:val="nil"/>
                    <w:tr2bl w:val="nil"/>
                  </w:tcBorders>
                  <w:noWrap w:val="0"/>
                  <w:vAlign w:val="center"/>
                </w:tcPr>
                <w:p w14:paraId="2C945ADB">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cs="Times New Roman"/>
                      <w:snapToGrid w:val="0"/>
                      <w:color w:val="auto"/>
                      <w:highlight w:val="none"/>
                      <w:lang w:val="en-US" w:eastAsia="zh-CN"/>
                    </w:rPr>
                  </w:pPr>
                  <w:r>
                    <w:rPr>
                      <w:rFonts w:hint="default" w:ascii="Times New Roman" w:hAnsi="Times New Roman" w:eastAsia="宋体" w:cs="Times New Roman"/>
                      <w:b w:val="0"/>
                      <w:bCs/>
                      <w:snapToGrid w:val="0"/>
                      <w:color w:val="auto"/>
                      <w:kern w:val="2"/>
                      <w:sz w:val="21"/>
                      <w:szCs w:val="24"/>
                      <w:highlight w:val="none"/>
                      <w:lang w:val="en-US" w:eastAsia="zh-CN" w:bidi="ar-SA"/>
                    </w:rPr>
                    <w:t>无</w:t>
                  </w:r>
                </w:p>
              </w:tc>
              <w:tc>
                <w:tcPr>
                  <w:tcW w:w="1618" w:type="dxa"/>
                  <w:tcBorders>
                    <w:tl2br w:val="nil"/>
                    <w:tr2bl w:val="nil"/>
                  </w:tcBorders>
                  <w:noWrap w:val="0"/>
                  <w:vAlign w:val="center"/>
                </w:tcPr>
                <w:p w14:paraId="1BB19465">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18"/>
                      <w:szCs w:val="18"/>
                      <w:highlight w:val="none"/>
                      <w:shd w:val="clear" w:color="auto" w:fill="F5F5F5"/>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783D795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9CAA14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盐酸肼</w:t>
                  </w:r>
                </w:p>
              </w:tc>
              <w:tc>
                <w:tcPr>
                  <w:tcW w:w="1142" w:type="dxa"/>
                  <w:tcBorders>
                    <w:tl2br w:val="nil"/>
                    <w:tr2bl w:val="nil"/>
                  </w:tcBorders>
                  <w:noWrap w:val="0"/>
                  <w:vAlign w:val="center"/>
                </w:tcPr>
                <w:p w14:paraId="2A9F2D7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NH</w:t>
                  </w:r>
                  <w:r>
                    <w:rPr>
                      <w:rFonts w:hint="default" w:ascii="Times New Roman" w:hAnsi="Times New Roman" w:eastAsia="Helvetica" w:cs="Times New Roman"/>
                      <w:i w:val="0"/>
                      <w:iCs w:val="0"/>
                      <w:caps w:val="0"/>
                      <w:snapToGrid w:val="0"/>
                      <w:color w:val="auto"/>
                      <w:spacing w:val="0"/>
                      <w:sz w:val="15"/>
                      <w:szCs w:val="15"/>
                      <w:highlight w:val="none"/>
                      <w:shd w:val="clear" w:fill="FFFFFF"/>
                      <w:vertAlign w:val="baseline"/>
                    </w:rPr>
                    <w:t>2</w:t>
                  </w:r>
                  <w:r>
                    <w:rPr>
                      <w:rFonts w:hint="default" w:ascii="Times New Roman" w:hAnsi="Times New Roman" w:eastAsia="Helvetica" w:cs="Times New Roman"/>
                      <w:i w:val="0"/>
                      <w:iCs w:val="0"/>
                      <w:caps w:val="0"/>
                      <w:snapToGrid w:val="0"/>
                      <w:color w:val="auto"/>
                      <w:spacing w:val="0"/>
                      <w:sz w:val="21"/>
                      <w:szCs w:val="21"/>
                      <w:highlight w:val="none"/>
                      <w:shd w:val="clear" w:fill="FFFFFF"/>
                    </w:rPr>
                    <w:t>NH</w:t>
                  </w:r>
                  <w:r>
                    <w:rPr>
                      <w:rFonts w:hint="default" w:ascii="Times New Roman" w:hAnsi="Times New Roman" w:eastAsia="Helvetica" w:cs="Times New Roman"/>
                      <w:i w:val="0"/>
                      <w:iCs w:val="0"/>
                      <w:caps w:val="0"/>
                      <w:snapToGrid w:val="0"/>
                      <w:color w:val="auto"/>
                      <w:spacing w:val="0"/>
                      <w:sz w:val="15"/>
                      <w:szCs w:val="15"/>
                      <w:highlight w:val="none"/>
                      <w:shd w:val="clear" w:fill="FFFFFF"/>
                      <w:vertAlign w:val="baseline"/>
                    </w:rPr>
                    <w:t>2</w:t>
                  </w:r>
                  <w:r>
                    <w:rPr>
                      <w:rFonts w:hint="default" w:ascii="Times New Roman" w:hAnsi="Times New Roman" w:eastAsia="Helvetica" w:cs="Times New Roman"/>
                      <w:i w:val="0"/>
                      <w:iCs w:val="0"/>
                      <w:caps w:val="0"/>
                      <w:snapToGrid w:val="0"/>
                      <w:color w:val="auto"/>
                      <w:spacing w:val="0"/>
                      <w:sz w:val="21"/>
                      <w:szCs w:val="21"/>
                      <w:highlight w:val="none"/>
                      <w:shd w:val="clear" w:fill="FFFFFF"/>
                    </w:rPr>
                    <w:t>·2HC</w:t>
                  </w:r>
                </w:p>
              </w:tc>
              <w:tc>
                <w:tcPr>
                  <w:tcW w:w="2758" w:type="dxa"/>
                  <w:tcBorders>
                    <w:tl2br w:val="nil"/>
                    <w:tr2bl w:val="nil"/>
                  </w:tcBorders>
                  <w:noWrap w:val="0"/>
                  <w:vAlign w:val="center"/>
                </w:tcPr>
                <w:p w14:paraId="4F722494">
                  <w:pPr>
                    <w:bidi w:val="0"/>
                    <w:jc w:val="both"/>
                    <w:rPr>
                      <w:rFonts w:hint="default"/>
                      <w:snapToGrid w:val="0"/>
                      <w:color w:val="auto"/>
                      <w:highlight w:val="none"/>
                      <w:lang w:val="en-US" w:eastAsia="zh-CN"/>
                    </w:rPr>
                  </w:pPr>
                  <w:r>
                    <w:rPr>
                      <w:rFonts w:hint="eastAsia"/>
                      <w:snapToGrid w:val="0"/>
                      <w:color w:val="auto"/>
                      <w:highlight w:val="none"/>
                      <w:lang w:val="en-US" w:eastAsia="zh-CN"/>
                    </w:rPr>
                    <w:t>外观：</w:t>
                  </w:r>
                  <w:r>
                    <w:rPr>
                      <w:rFonts w:hint="default"/>
                      <w:snapToGrid w:val="0"/>
                      <w:color w:val="auto"/>
                      <w:highlight w:val="none"/>
                      <w:lang w:val="en-US" w:eastAsia="zh-CN"/>
                    </w:rPr>
                    <w:t>白色晶体</w:t>
                  </w:r>
                  <w:r>
                    <w:rPr>
                      <w:rFonts w:hint="eastAsia"/>
                      <w:snapToGrid w:val="0"/>
                      <w:color w:val="auto"/>
                      <w:highlight w:val="none"/>
                      <w:lang w:val="en-US" w:eastAsia="zh-CN"/>
                    </w:rPr>
                    <w:t>，</w:t>
                  </w:r>
                  <w:r>
                    <w:rPr>
                      <w:rFonts w:hint="default"/>
                      <w:snapToGrid w:val="0"/>
                      <w:color w:val="auto"/>
                      <w:highlight w:val="none"/>
                      <w:lang w:val="en-US" w:eastAsia="zh-CN"/>
                    </w:rPr>
                    <w:t>熔点：89°C(lit.)</w:t>
                  </w:r>
                </w:p>
                <w:p w14:paraId="455545C9">
                  <w:pPr>
                    <w:bidi w:val="0"/>
                    <w:jc w:val="both"/>
                    <w:rPr>
                      <w:rFonts w:hint="default"/>
                      <w:snapToGrid w:val="0"/>
                      <w:color w:val="auto"/>
                      <w:highlight w:val="none"/>
                      <w:lang w:val="en-US" w:eastAsia="zh-CN"/>
                    </w:rPr>
                  </w:pPr>
                  <w:r>
                    <w:rPr>
                      <w:rFonts w:hint="default"/>
                      <w:snapToGrid w:val="0"/>
                      <w:color w:val="auto"/>
                      <w:highlight w:val="none"/>
                      <w:lang w:val="en-US" w:eastAsia="zh-CN"/>
                    </w:rPr>
                    <w:t>沸点：240°C</w:t>
                  </w:r>
                  <w:r>
                    <w:rPr>
                      <w:rFonts w:hint="eastAsia"/>
                      <w:snapToGrid w:val="0"/>
                      <w:color w:val="auto"/>
                      <w:highlight w:val="none"/>
                      <w:lang w:val="en-US" w:eastAsia="zh-CN"/>
                    </w:rPr>
                    <w:t>，</w:t>
                  </w:r>
                  <w:r>
                    <w:rPr>
                      <w:rFonts w:hint="default"/>
                      <w:snapToGrid w:val="0"/>
                      <w:color w:val="auto"/>
                      <w:highlight w:val="none"/>
                      <w:lang w:val="en-US" w:eastAsia="zh-CN"/>
                    </w:rPr>
                    <w:t xml:space="preserve">易溶于水，微溶于乙醇 </w:t>
                  </w:r>
                </w:p>
              </w:tc>
              <w:tc>
                <w:tcPr>
                  <w:tcW w:w="1296" w:type="dxa"/>
                  <w:tcBorders>
                    <w:tl2br w:val="nil"/>
                    <w:tr2bl w:val="nil"/>
                  </w:tcBorders>
                  <w:noWrap w:val="0"/>
                  <w:vAlign w:val="center"/>
                </w:tcPr>
                <w:p w14:paraId="1B02AA3D">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b w:val="0"/>
                      <w:bCs/>
                      <w:snapToGrid w:val="0"/>
                      <w:color w:val="auto"/>
                      <w:kern w:val="2"/>
                      <w:sz w:val="21"/>
                      <w:szCs w:val="24"/>
                      <w:highlight w:val="none"/>
                      <w:lang w:val="en-US" w:eastAsia="zh-CN" w:bidi="ar-SA"/>
                    </w:rPr>
                  </w:pPr>
                  <w:r>
                    <w:rPr>
                      <w:rFonts w:hint="eastAsia" w:cs="Times New Roman"/>
                      <w:b w:val="0"/>
                      <w:bCs/>
                      <w:snapToGrid w:val="0"/>
                      <w:color w:val="auto"/>
                      <w:kern w:val="2"/>
                      <w:sz w:val="21"/>
                      <w:szCs w:val="24"/>
                      <w:highlight w:val="none"/>
                      <w:lang w:val="en-US" w:eastAsia="zh-CN" w:bidi="ar-SA"/>
                    </w:rPr>
                    <w:t>无</w:t>
                  </w:r>
                </w:p>
              </w:tc>
              <w:tc>
                <w:tcPr>
                  <w:tcW w:w="1618" w:type="dxa"/>
                  <w:tcBorders>
                    <w:tl2br w:val="nil"/>
                    <w:tr2bl w:val="nil"/>
                  </w:tcBorders>
                  <w:noWrap w:val="0"/>
                  <w:vAlign w:val="center"/>
                </w:tcPr>
                <w:p w14:paraId="69F1F744">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2C386A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34FF42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br w:type="textWrapping"/>
                  </w:r>
                  <w:r>
                    <w:rPr>
                      <w:rFonts w:hint="default" w:ascii="Times New Roman" w:hAnsi="Times New Roman" w:eastAsia="宋体" w:cs="Times New Roman"/>
                      <w:snapToGrid w:val="0"/>
                      <w:color w:val="auto"/>
                      <w:sz w:val="21"/>
                      <w:szCs w:val="21"/>
                      <w:highlight w:val="none"/>
                      <w:lang w:val="en-US" w:eastAsia="zh-CN"/>
                    </w:rPr>
                    <w:t>丙二酸</w:t>
                  </w:r>
                </w:p>
              </w:tc>
              <w:tc>
                <w:tcPr>
                  <w:tcW w:w="1142" w:type="dxa"/>
                  <w:tcBorders>
                    <w:tl2br w:val="nil"/>
                    <w:tr2bl w:val="nil"/>
                  </w:tcBorders>
                  <w:noWrap w:val="0"/>
                  <w:vAlign w:val="center"/>
                </w:tcPr>
                <w:p w14:paraId="2E4620D8">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br w:type="textWrapping"/>
                  </w:r>
                  <w:r>
                    <w:rPr>
                      <w:rFonts w:hint="default" w:ascii="Times New Roman" w:hAnsi="Times New Roman" w:eastAsia="宋体" w:cs="Times New Roman"/>
                      <w:snapToGrid w:val="0"/>
                      <w:color w:val="auto"/>
                      <w:sz w:val="21"/>
                      <w:szCs w:val="21"/>
                      <w:highlight w:val="none"/>
                      <w:lang w:val="en-US" w:eastAsia="zh-CN"/>
                    </w:rPr>
                    <w:t>C</w:t>
                  </w:r>
                  <w:r>
                    <w:rPr>
                      <w:rFonts w:hint="default" w:ascii="Times New Roman" w:hAnsi="Times New Roman" w:eastAsia="宋体" w:cs="Times New Roman"/>
                      <w:snapToGrid w:val="0"/>
                      <w:color w:val="auto"/>
                      <w:sz w:val="21"/>
                      <w:szCs w:val="21"/>
                      <w:highlight w:val="none"/>
                      <w:vertAlign w:val="subscript"/>
                      <w:lang w:val="en-US" w:eastAsia="zh-CN"/>
                    </w:rPr>
                    <w:t>3</w:t>
                  </w:r>
                  <w:r>
                    <w:rPr>
                      <w:rFonts w:hint="default" w:ascii="Times New Roman" w:hAnsi="Times New Roman" w:eastAsia="宋体" w:cs="Times New Roman"/>
                      <w:snapToGrid w:val="0"/>
                      <w:color w:val="auto"/>
                      <w:sz w:val="21"/>
                      <w:szCs w:val="21"/>
                      <w:highlight w:val="none"/>
                      <w:lang w:val="en-US" w:eastAsia="zh-CN"/>
                    </w:rPr>
                    <w:t>H</w:t>
                  </w:r>
                  <w:r>
                    <w:rPr>
                      <w:rFonts w:hint="default" w:ascii="Times New Roman" w:hAnsi="Times New Roman" w:eastAsia="宋体" w:cs="Times New Roman"/>
                      <w:snapToGrid w:val="0"/>
                      <w:color w:val="auto"/>
                      <w:sz w:val="21"/>
                      <w:szCs w:val="21"/>
                      <w:highlight w:val="none"/>
                      <w:vertAlign w:val="subscript"/>
                      <w:lang w:val="en-US" w:eastAsia="zh-CN"/>
                    </w:rPr>
                    <w:t>4</w:t>
                  </w:r>
                  <w:r>
                    <w:rPr>
                      <w:rFonts w:hint="default" w:ascii="Times New Roman" w:hAnsi="Times New Roman" w:eastAsia="宋体" w:cs="Times New Roman"/>
                      <w:snapToGrid w:val="0"/>
                      <w:color w:val="auto"/>
                      <w:sz w:val="21"/>
                      <w:szCs w:val="21"/>
                      <w:highlight w:val="none"/>
                      <w:lang w:val="en-US" w:eastAsia="zh-CN"/>
                    </w:rPr>
                    <w:t>O</w:t>
                  </w:r>
                  <w:r>
                    <w:rPr>
                      <w:rFonts w:hint="default" w:ascii="Times New Roman" w:hAnsi="Times New Roman" w:eastAsia="宋体" w:cs="Times New Roman"/>
                      <w:snapToGrid w:val="0"/>
                      <w:color w:val="auto"/>
                      <w:sz w:val="21"/>
                      <w:szCs w:val="21"/>
                      <w:highlight w:val="none"/>
                      <w:vertAlign w:val="subscript"/>
                      <w:lang w:val="en-US" w:eastAsia="zh-CN"/>
                    </w:rPr>
                    <w:t>4</w:t>
                  </w:r>
                </w:p>
              </w:tc>
              <w:tc>
                <w:tcPr>
                  <w:tcW w:w="2758" w:type="dxa"/>
                  <w:tcBorders>
                    <w:tl2br w:val="nil"/>
                    <w:tr2bl w:val="nil"/>
                  </w:tcBorders>
                  <w:noWrap w:val="0"/>
                  <w:vAlign w:val="center"/>
                </w:tcPr>
                <w:p w14:paraId="7CE485B7">
                  <w:pPr>
                    <w:bidi w:val="0"/>
                    <w:jc w:val="both"/>
                    <w:rPr>
                      <w:rFonts w:hint="default"/>
                      <w:snapToGrid w:val="0"/>
                      <w:color w:val="auto"/>
                      <w:highlight w:val="none"/>
                      <w:lang w:val="en-US" w:eastAsia="zh-CN"/>
                    </w:rPr>
                  </w:pPr>
                  <w:r>
                    <w:rPr>
                      <w:rFonts w:hint="default"/>
                      <w:snapToGrid w:val="0"/>
                      <w:color w:val="auto"/>
                      <w:highlight w:val="none"/>
                      <w:lang w:val="en-US" w:eastAsia="zh-CN"/>
                    </w:rPr>
                    <w:t>外观： 白色晶体</w:t>
                  </w:r>
                  <w:r>
                    <w:rPr>
                      <w:rFonts w:hint="eastAsia"/>
                      <w:snapToGrid w:val="0"/>
                      <w:color w:val="auto"/>
                      <w:highlight w:val="none"/>
                      <w:lang w:val="en-US" w:eastAsia="zh-CN"/>
                    </w:rPr>
                    <w:t>，</w:t>
                  </w:r>
                  <w:r>
                    <w:rPr>
                      <w:rFonts w:hint="default"/>
                      <w:snapToGrid w:val="0"/>
                      <w:color w:val="auto"/>
                      <w:highlight w:val="none"/>
                      <w:lang w:val="en-US" w:eastAsia="zh-CN"/>
                    </w:rPr>
                    <w:t>熔点： 135.6 ℃</w:t>
                  </w:r>
                  <w:r>
                    <w:rPr>
                      <w:rFonts w:hint="eastAsia"/>
                      <w:snapToGrid w:val="0"/>
                      <w:color w:val="auto"/>
                      <w:highlight w:val="none"/>
                      <w:lang w:val="en-US" w:eastAsia="zh-CN"/>
                    </w:rPr>
                    <w:t>，</w:t>
                  </w:r>
                  <w:r>
                    <w:rPr>
                      <w:rFonts w:hint="default"/>
                      <w:snapToGrid w:val="0"/>
                      <w:color w:val="auto"/>
                      <w:highlight w:val="none"/>
                      <w:lang w:val="en-US" w:eastAsia="zh-CN"/>
                    </w:rPr>
                    <w:t>沸点：386.8℃ at 760 mmHg</w:t>
                  </w:r>
                </w:p>
                <w:p w14:paraId="0D51CC95">
                  <w:pPr>
                    <w:pStyle w:val="3"/>
                    <w:spacing w:line="240" w:lineRule="auto"/>
                    <w:rPr>
                      <w:rFonts w:hint="default"/>
                      <w:snapToGrid w:val="0"/>
                      <w:color w:val="auto"/>
                      <w:highlight w:val="none"/>
                      <w:lang w:val="en-US" w:eastAsia="zh-CN"/>
                    </w:rPr>
                  </w:pPr>
                  <w:r>
                    <w:rPr>
                      <w:rFonts w:ascii="Helvetica" w:hAnsi="Helvetica" w:eastAsia="Helvetica" w:cs="Helvetica"/>
                      <w:i w:val="0"/>
                      <w:iCs w:val="0"/>
                      <w:caps w:val="0"/>
                      <w:snapToGrid w:val="0"/>
                      <w:color w:val="auto"/>
                      <w:spacing w:val="0"/>
                      <w:sz w:val="21"/>
                      <w:szCs w:val="21"/>
                      <w:highlight w:val="none"/>
                      <w:shd w:val="clear" w:fill="FFFFFF"/>
                    </w:rPr>
                    <w:t>溶于水，溶于乙醇、</w:t>
                  </w:r>
                  <w:r>
                    <w:rPr>
                      <w:rFonts w:hint="default" w:ascii="Helvetica" w:hAnsi="Helvetica" w:eastAsia="Helvetica" w:cs="Helvetica"/>
                      <w:i w:val="0"/>
                      <w:iCs w:val="0"/>
                      <w:caps w:val="0"/>
                      <w:snapToGrid w:val="0"/>
                      <w:color w:val="auto"/>
                      <w:spacing w:val="0"/>
                      <w:sz w:val="21"/>
                      <w:szCs w:val="21"/>
                      <w:highlight w:val="none"/>
                      <w:u w:val="single"/>
                      <w:shd w:val="clear" w:fill="FFFFFF"/>
                    </w:rPr>
                    <w:fldChar w:fldCharType="begin"/>
                  </w:r>
                  <w:r>
                    <w:rPr>
                      <w:rFonts w:hint="default" w:ascii="Helvetica" w:hAnsi="Helvetica" w:eastAsia="Helvetica" w:cs="Helvetica"/>
                      <w:i w:val="0"/>
                      <w:iCs w:val="0"/>
                      <w:caps w:val="0"/>
                      <w:snapToGrid w:val="0"/>
                      <w:color w:val="auto"/>
                      <w:spacing w:val="0"/>
                      <w:sz w:val="21"/>
                      <w:szCs w:val="21"/>
                      <w:highlight w:val="none"/>
                      <w:u w:val="single"/>
                      <w:shd w:val="clear" w:fill="FFFFFF"/>
                    </w:rPr>
                    <w:instrText xml:space="preserve"> HYPERLINK "https://baike.baidu.com/item/%E4%B9%99%E9%86%9A/316922?fromModule=lemma_inlink" \t "https://baike.baidu.com/item/_blank" </w:instrText>
                  </w:r>
                  <w:r>
                    <w:rPr>
                      <w:rFonts w:hint="default" w:ascii="Helvetica" w:hAnsi="Helvetica" w:eastAsia="Helvetica" w:cs="Helvetica"/>
                      <w:i w:val="0"/>
                      <w:iCs w:val="0"/>
                      <w:caps w:val="0"/>
                      <w:snapToGrid w:val="0"/>
                      <w:color w:val="auto"/>
                      <w:spacing w:val="0"/>
                      <w:sz w:val="21"/>
                      <w:szCs w:val="21"/>
                      <w:highlight w:val="none"/>
                      <w:u w:val="single"/>
                      <w:shd w:val="clear" w:fill="FFFFFF"/>
                    </w:rPr>
                    <w:fldChar w:fldCharType="separate"/>
                  </w:r>
                  <w:r>
                    <w:rPr>
                      <w:rStyle w:val="35"/>
                      <w:rFonts w:hint="default" w:ascii="Helvetica" w:hAnsi="Helvetica" w:eastAsia="Helvetica" w:cs="Helvetica"/>
                      <w:i w:val="0"/>
                      <w:iCs w:val="0"/>
                      <w:caps w:val="0"/>
                      <w:snapToGrid w:val="0"/>
                      <w:color w:val="auto"/>
                      <w:spacing w:val="0"/>
                      <w:sz w:val="21"/>
                      <w:szCs w:val="21"/>
                      <w:highlight w:val="none"/>
                      <w:u w:val="single"/>
                      <w:shd w:val="clear" w:fill="FFFFFF"/>
                    </w:rPr>
                    <w:t>乙醚</w:t>
                  </w:r>
                  <w:r>
                    <w:rPr>
                      <w:rFonts w:hint="default" w:ascii="Helvetica" w:hAnsi="Helvetica" w:eastAsia="Helvetica" w:cs="Helvetica"/>
                      <w:i w:val="0"/>
                      <w:iCs w:val="0"/>
                      <w:caps w:val="0"/>
                      <w:snapToGrid w:val="0"/>
                      <w:color w:val="auto"/>
                      <w:spacing w:val="0"/>
                      <w:sz w:val="21"/>
                      <w:szCs w:val="21"/>
                      <w:highlight w:val="none"/>
                      <w:u w:val="single"/>
                      <w:shd w:val="clear" w:fill="FFFFFF"/>
                    </w:rPr>
                    <w:fldChar w:fldCharType="end"/>
                  </w:r>
                </w:p>
              </w:tc>
              <w:tc>
                <w:tcPr>
                  <w:tcW w:w="1296" w:type="dxa"/>
                  <w:tcBorders>
                    <w:tl2br w:val="nil"/>
                    <w:tr2bl w:val="nil"/>
                  </w:tcBorders>
                  <w:noWrap w:val="0"/>
                  <w:vAlign w:val="center"/>
                </w:tcPr>
                <w:p w14:paraId="75451B33">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eastAsia" w:cs="Times New Roman"/>
                      <w:b w:val="0"/>
                      <w:bCs/>
                      <w:snapToGrid w:val="0"/>
                      <w:color w:val="auto"/>
                      <w:kern w:val="2"/>
                      <w:sz w:val="21"/>
                      <w:szCs w:val="24"/>
                      <w:highlight w:val="none"/>
                      <w:lang w:val="en-US" w:eastAsia="zh-CN" w:bidi="ar-SA"/>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本品</w:t>
                  </w:r>
                  <w:r>
                    <w:rPr>
                      <w:rFonts w:ascii="Helvetica" w:hAnsi="Helvetica" w:eastAsia="Helvetica" w:cs="Helvetica"/>
                      <w:i w:val="0"/>
                      <w:iCs w:val="0"/>
                      <w:caps w:val="0"/>
                      <w:snapToGrid w:val="0"/>
                      <w:color w:val="auto"/>
                      <w:spacing w:val="0"/>
                      <w:sz w:val="21"/>
                      <w:szCs w:val="21"/>
                      <w:highlight w:val="none"/>
                      <w:shd w:val="clear" w:fill="FFFFFF"/>
                    </w:rPr>
                    <w:t>可燃，具腐蚀性、刺激性</w:t>
                  </w:r>
                </w:p>
              </w:tc>
              <w:tc>
                <w:tcPr>
                  <w:tcW w:w="1618" w:type="dxa"/>
                  <w:tcBorders>
                    <w:tl2br w:val="nil"/>
                    <w:tr2bl w:val="nil"/>
                  </w:tcBorders>
                  <w:noWrap w:val="0"/>
                  <w:vAlign w:val="center"/>
                </w:tcPr>
                <w:p w14:paraId="48CDF0BD">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 LD50：1310 mg/kg(大鼠经口)；4000 mg/kg(小鼠经口)； 300 mg/kg(小鼠腹腔)</w:t>
                  </w:r>
                </w:p>
              </w:tc>
            </w:tr>
            <w:tr w14:paraId="0AEF04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F33FCC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伊顿试剂</w:t>
                  </w:r>
                </w:p>
              </w:tc>
              <w:tc>
                <w:tcPr>
                  <w:tcW w:w="1142" w:type="dxa"/>
                  <w:tcBorders>
                    <w:tl2br w:val="nil"/>
                    <w:tr2bl w:val="nil"/>
                  </w:tcBorders>
                  <w:noWrap w:val="0"/>
                  <w:vAlign w:val="center"/>
                </w:tcPr>
                <w:p w14:paraId="7D2384F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CH</w:t>
                  </w:r>
                  <w:r>
                    <w:rPr>
                      <w:rFonts w:hint="default" w:ascii="Times New Roman" w:hAnsi="Times New Roman" w:eastAsia="宋体" w:cs="Times New Roman"/>
                      <w:snapToGrid w:val="0"/>
                      <w:color w:val="auto"/>
                      <w:sz w:val="21"/>
                      <w:szCs w:val="21"/>
                      <w:highlight w:val="none"/>
                      <w:vertAlign w:val="subscript"/>
                      <w:lang w:val="en-US" w:eastAsia="zh-CN"/>
                    </w:rPr>
                    <w:t>6</w:t>
                  </w:r>
                  <w:r>
                    <w:rPr>
                      <w:rFonts w:hint="default" w:ascii="Times New Roman" w:hAnsi="Times New Roman" w:eastAsia="宋体" w:cs="Times New Roman"/>
                      <w:snapToGrid w:val="0"/>
                      <w:color w:val="auto"/>
                      <w:sz w:val="21"/>
                      <w:szCs w:val="21"/>
                      <w:highlight w:val="none"/>
                      <w:lang w:val="en-US" w:eastAsia="zh-CN"/>
                    </w:rPr>
                    <w:t>O</w:t>
                  </w:r>
                  <w:r>
                    <w:rPr>
                      <w:rFonts w:hint="default" w:ascii="Times New Roman" w:hAnsi="Times New Roman" w:eastAsia="宋体" w:cs="Times New Roman"/>
                      <w:snapToGrid w:val="0"/>
                      <w:color w:val="auto"/>
                      <w:sz w:val="21"/>
                      <w:szCs w:val="21"/>
                      <w:highlight w:val="none"/>
                      <w:vertAlign w:val="subscript"/>
                      <w:lang w:val="en-US" w:eastAsia="zh-CN"/>
                    </w:rPr>
                    <w:t>8</w:t>
                  </w:r>
                  <w:r>
                    <w:rPr>
                      <w:rFonts w:hint="default" w:ascii="Times New Roman" w:hAnsi="Times New Roman" w:eastAsia="宋体" w:cs="Times New Roman"/>
                      <w:snapToGrid w:val="0"/>
                      <w:color w:val="auto"/>
                      <w:sz w:val="21"/>
                      <w:szCs w:val="21"/>
                      <w:highlight w:val="none"/>
                      <w:lang w:val="en-US" w:eastAsia="zh-CN"/>
                    </w:rPr>
                    <w:t>P</w:t>
                  </w:r>
                  <w:r>
                    <w:rPr>
                      <w:rFonts w:hint="default" w:ascii="Times New Roman" w:hAnsi="Times New Roman" w:eastAsia="宋体" w:cs="Times New Roman"/>
                      <w:snapToGrid w:val="0"/>
                      <w:color w:val="auto"/>
                      <w:sz w:val="21"/>
                      <w:szCs w:val="21"/>
                      <w:highlight w:val="none"/>
                      <w:vertAlign w:val="subscript"/>
                      <w:lang w:val="en-US" w:eastAsia="zh-CN"/>
                    </w:rPr>
                    <w:t>2</w:t>
                  </w:r>
                  <w:r>
                    <w:rPr>
                      <w:rFonts w:hint="default" w:ascii="Times New Roman" w:hAnsi="Times New Roman" w:eastAsia="宋体" w:cs="Times New Roman"/>
                      <w:snapToGrid w:val="0"/>
                      <w:color w:val="auto"/>
                      <w:sz w:val="21"/>
                      <w:szCs w:val="21"/>
                      <w:highlight w:val="none"/>
                      <w:lang w:val="en-US" w:eastAsia="zh-CN"/>
                    </w:rPr>
                    <w:t>S</w:t>
                  </w:r>
                </w:p>
              </w:tc>
              <w:tc>
                <w:tcPr>
                  <w:tcW w:w="2758" w:type="dxa"/>
                  <w:tcBorders>
                    <w:tl2br w:val="nil"/>
                    <w:tr2bl w:val="nil"/>
                  </w:tcBorders>
                  <w:noWrap w:val="0"/>
                  <w:vAlign w:val="center"/>
                </w:tcPr>
                <w:p w14:paraId="03FC9DDF">
                  <w:pPr>
                    <w:keepNext w:val="0"/>
                    <w:keepLines w:val="0"/>
                    <w:widowControl/>
                    <w:suppressLineNumbers w:val="0"/>
                    <w:jc w:val="both"/>
                    <w:rPr>
                      <w:snapToGrid w:val="0"/>
                      <w:color w:val="auto"/>
                      <w:highlight w:val="none"/>
                    </w:rPr>
                  </w:pPr>
                  <w:r>
                    <w:rPr>
                      <w:rFonts w:hint="default" w:ascii="Times New Roman" w:hAnsi="Times New Roman" w:eastAsia="宋体" w:cs="Times New Roman"/>
                      <w:snapToGrid w:val="0"/>
                      <w:color w:val="auto"/>
                      <w:kern w:val="2"/>
                      <w:sz w:val="21"/>
                      <w:szCs w:val="24"/>
                      <w:highlight w:val="none"/>
                      <w:lang w:val="en-US" w:eastAsia="zh-CN" w:bidi="ar"/>
                    </w:rPr>
                    <w:t>Eaton 试剂（伊顿试剂），7.7 wt% 的五氧化二磷 的甲磺酸溶液，此试剂可以代替多聚磷酸用于催化酰基化反应</w:t>
                  </w:r>
                </w:p>
                <w:p w14:paraId="2584CCD4">
                  <w:pPr>
                    <w:pStyle w:val="3"/>
                    <w:spacing w:line="240" w:lineRule="auto"/>
                    <w:rPr>
                      <w:rFonts w:hint="default" w:ascii="Helvetica" w:hAnsi="Helvetica" w:eastAsia="宋体" w:cs="Helvetica"/>
                      <w:i w:val="0"/>
                      <w:iCs w:val="0"/>
                      <w:caps w:val="0"/>
                      <w:snapToGrid w:val="0"/>
                      <w:color w:val="auto"/>
                      <w:spacing w:val="0"/>
                      <w:sz w:val="21"/>
                      <w:szCs w:val="21"/>
                      <w:highlight w:val="none"/>
                      <w:shd w:val="clear" w:fill="FFFFFF"/>
                      <w:lang w:val="en-US" w:eastAsia="zh-CN"/>
                    </w:rPr>
                  </w:pPr>
                </w:p>
              </w:tc>
              <w:tc>
                <w:tcPr>
                  <w:tcW w:w="1296" w:type="dxa"/>
                  <w:tcBorders>
                    <w:tl2br w:val="nil"/>
                    <w:tr2bl w:val="nil"/>
                  </w:tcBorders>
                  <w:noWrap w:val="0"/>
                  <w:vAlign w:val="center"/>
                </w:tcPr>
                <w:p w14:paraId="326738F7">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Helvetica" w:hAnsi="Helvetica" w:eastAsia="宋体" w:cs="Helvetica"/>
                      <w:i w:val="0"/>
                      <w:iCs w:val="0"/>
                      <w:caps w:val="0"/>
                      <w:snapToGrid w:val="0"/>
                      <w:color w:val="auto"/>
                      <w:spacing w:val="0"/>
                      <w:sz w:val="21"/>
                      <w:szCs w:val="21"/>
                      <w:highlight w:val="none"/>
                      <w:shd w:val="clear" w:fill="FFFFFF"/>
                      <w:lang w:val="en-US" w:eastAsia="zh-CN"/>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noWrap w:val="0"/>
                  <w:vAlign w:val="center"/>
                </w:tcPr>
                <w:p w14:paraId="5BD7DB9F">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38DACA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F96D2EE">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保险粉</w:t>
                  </w:r>
                </w:p>
              </w:tc>
              <w:tc>
                <w:tcPr>
                  <w:tcW w:w="1142" w:type="dxa"/>
                  <w:tcBorders>
                    <w:tl2br w:val="nil"/>
                    <w:tr2bl w:val="nil"/>
                  </w:tcBorders>
                  <w:noWrap w:val="0"/>
                  <w:vAlign w:val="center"/>
                </w:tcPr>
                <w:p w14:paraId="026F402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br w:type="textWrapping"/>
                  </w:r>
                  <w:r>
                    <w:rPr>
                      <w:rFonts w:hint="default" w:ascii="Times New Roman" w:hAnsi="Times New Roman" w:eastAsia="宋体" w:cs="Times New Roman"/>
                      <w:i w:val="0"/>
                      <w:iCs w:val="0"/>
                      <w:caps w:val="0"/>
                      <w:snapToGrid w:val="0"/>
                      <w:color w:val="auto"/>
                      <w:spacing w:val="0"/>
                      <w:sz w:val="21"/>
                      <w:szCs w:val="21"/>
                      <w:highlight w:val="none"/>
                      <w:shd w:val="clear" w:fill="FFFFFF"/>
                    </w:rPr>
                    <w:t>Na</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2</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baseline"/>
                    </w:rPr>
                    <w:t>S</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2</w:t>
                  </w:r>
                  <w:r>
                    <w:rPr>
                      <w:rFonts w:hint="default" w:ascii="Times New Roman" w:hAnsi="Times New Roman" w:eastAsia="宋体" w:cs="Times New Roman"/>
                      <w:i w:val="0"/>
                      <w:iCs w:val="0"/>
                      <w:caps w:val="0"/>
                      <w:snapToGrid w:val="0"/>
                      <w:color w:val="auto"/>
                      <w:spacing w:val="0"/>
                      <w:sz w:val="21"/>
                      <w:szCs w:val="21"/>
                      <w:highlight w:val="none"/>
                      <w:shd w:val="clear" w:fill="FFFFFF"/>
                    </w:rPr>
                    <w:t>O</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4</w:t>
                  </w:r>
                </w:p>
              </w:tc>
              <w:tc>
                <w:tcPr>
                  <w:tcW w:w="2758" w:type="dxa"/>
                  <w:tcBorders>
                    <w:tl2br w:val="nil"/>
                    <w:tr2bl w:val="nil"/>
                  </w:tcBorders>
                  <w:noWrap w:val="0"/>
                  <w:vAlign w:val="center"/>
                </w:tcPr>
                <w:p w14:paraId="33F2E768">
                  <w:pPr>
                    <w:pStyle w:val="3"/>
                    <w:spacing w:line="240" w:lineRule="auto"/>
                    <w:rPr>
                      <w:rFonts w:hint="eastAsia" w:cs="Times New Roman"/>
                      <w:i w:val="0"/>
                      <w:iCs w:val="0"/>
                      <w:caps w:val="0"/>
                      <w:snapToGrid w:val="0"/>
                      <w:color w:val="auto"/>
                      <w:spacing w:val="0"/>
                      <w:sz w:val="21"/>
                      <w:szCs w:val="21"/>
                      <w:highlight w:val="none"/>
                      <w:shd w:val="clear"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fill="FFFFFF"/>
                    </w:rPr>
                    <w:t>熔</w:t>
                  </w:r>
                  <w:r>
                    <w:rPr>
                      <w:rFonts w:hint="eastAsia" w:cs="Times New Roman"/>
                      <w:i w:val="0"/>
                      <w:iCs w:val="0"/>
                      <w:caps w:val="0"/>
                      <w:snapToGrid w:val="0"/>
                      <w:color w:val="auto"/>
                      <w:spacing w:val="0"/>
                      <w:sz w:val="21"/>
                      <w:szCs w:val="21"/>
                      <w:highlight w:val="none"/>
                      <w:shd w:val="clear" w:fill="FFFFFF"/>
                      <w:lang w:val="en-US" w:eastAsia="zh-CN"/>
                    </w:rPr>
                    <w:t>点</w:t>
                  </w:r>
                  <w:r>
                    <w:rPr>
                      <w:rFonts w:hint="eastAsia"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52-55</w:t>
                  </w:r>
                  <w:r>
                    <w:rPr>
                      <w:rFonts w:hint="eastAsia" w:cs="Times New Roman"/>
                      <w:i w:val="0"/>
                      <w:iCs w:val="0"/>
                      <w:caps w:val="0"/>
                      <w:snapToGrid w:val="0"/>
                      <w:color w:val="auto"/>
                      <w:spacing w:val="0"/>
                      <w:sz w:val="21"/>
                      <w:szCs w:val="21"/>
                      <w:highlight w:val="none"/>
                      <w:shd w:val="clear" w:fill="FFFFFF"/>
                      <w:lang w:val="en-US" w:eastAsia="zh-CN"/>
                    </w:rPr>
                    <w:t>；</w:t>
                  </w:r>
                </w:p>
                <w:p w14:paraId="77AAB0F0">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密度</w:t>
                  </w:r>
                  <w:r>
                    <w:rPr>
                      <w:rFonts w:hint="eastAsia"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2.189g/cm</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perscript"/>
                    </w:rPr>
                    <w:t>3</w:t>
                  </w:r>
                </w:p>
                <w:p w14:paraId="0FAB1B9C">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外观</w:t>
                  </w:r>
                  <w:r>
                    <w:rPr>
                      <w:rFonts w:hint="eastAsia"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白色结晶性粉末</w:t>
                  </w:r>
                </w:p>
                <w:p w14:paraId="65855D41">
                  <w:pPr>
                    <w:pStyle w:val="3"/>
                    <w:spacing w:line="240" w:lineRule="auto"/>
                    <w:rPr>
                      <w:rFonts w:ascii="Helvetica" w:hAnsi="Helvetica" w:eastAsia="Helvetica" w:cs="Helvetica"/>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溶解性</w:t>
                  </w:r>
                  <w:r>
                    <w:rPr>
                      <w:rFonts w:hint="eastAsia"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极易溶于水、不溶于乙醇</w:t>
                  </w:r>
                </w:p>
              </w:tc>
              <w:tc>
                <w:tcPr>
                  <w:tcW w:w="1296" w:type="dxa"/>
                  <w:tcBorders>
                    <w:tl2br w:val="nil"/>
                    <w:tr2bl w:val="nil"/>
                  </w:tcBorders>
                  <w:noWrap w:val="0"/>
                  <w:vAlign w:val="center"/>
                </w:tcPr>
                <w:p w14:paraId="56B04358">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Helvetica" w:hAnsi="Helvetica" w:eastAsia="宋体" w:cs="Helvetica"/>
                      <w:i w:val="0"/>
                      <w:iCs w:val="0"/>
                      <w:caps w:val="0"/>
                      <w:snapToGrid w:val="0"/>
                      <w:color w:val="auto"/>
                      <w:spacing w:val="0"/>
                      <w:sz w:val="21"/>
                      <w:szCs w:val="21"/>
                      <w:highlight w:val="none"/>
                      <w:shd w:val="clear" w:fill="FFFFFF"/>
                      <w:lang w:val="en-US" w:eastAsia="zh-CN"/>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noWrap w:val="0"/>
                  <w:vAlign w:val="center"/>
                </w:tcPr>
                <w:p w14:paraId="7A96E27B">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6BAD24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4E52133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二氧化锰</w:t>
                  </w:r>
                </w:p>
              </w:tc>
              <w:tc>
                <w:tcPr>
                  <w:tcW w:w="1142" w:type="dxa"/>
                  <w:tcBorders>
                    <w:tl2br w:val="nil"/>
                    <w:tr2bl w:val="nil"/>
                  </w:tcBorders>
                  <w:noWrap w:val="0"/>
                  <w:vAlign w:val="center"/>
                </w:tcPr>
                <w:p w14:paraId="46AEBA0C">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ascii="Helvetica" w:hAnsi="Helvetica" w:eastAsia="Helvetica" w:cs="Helvetica"/>
                      <w:i w:val="0"/>
                      <w:iCs w:val="0"/>
                      <w:caps w:val="0"/>
                      <w:snapToGrid w:val="0"/>
                      <w:color w:val="auto"/>
                      <w:spacing w:val="0"/>
                      <w:sz w:val="18"/>
                      <w:szCs w:val="18"/>
                      <w:highlight w:val="none"/>
                      <w:shd w:val="clear" w:fill="FFFFFF"/>
                    </w:rPr>
                    <w:t>MnO</w:t>
                  </w:r>
                  <w:r>
                    <w:rPr>
                      <w:rFonts w:hint="default" w:ascii="Helvetica" w:hAnsi="Helvetica" w:eastAsia="Helvetica" w:cs="Helvetica"/>
                      <w:i w:val="0"/>
                      <w:iCs w:val="0"/>
                      <w:caps w:val="0"/>
                      <w:snapToGrid w:val="0"/>
                      <w:color w:val="auto"/>
                      <w:spacing w:val="0"/>
                      <w:sz w:val="13"/>
                      <w:szCs w:val="13"/>
                      <w:highlight w:val="none"/>
                      <w:shd w:val="clear" w:fill="FFFFFF"/>
                      <w:vertAlign w:val="baseline"/>
                    </w:rPr>
                    <w:t>2</w:t>
                  </w:r>
                </w:p>
              </w:tc>
              <w:tc>
                <w:tcPr>
                  <w:tcW w:w="2758" w:type="dxa"/>
                  <w:tcBorders>
                    <w:tl2br w:val="nil"/>
                    <w:tr2bl w:val="nil"/>
                  </w:tcBorders>
                  <w:noWrap w:val="0"/>
                  <w:vAlign w:val="center"/>
                </w:tcPr>
                <w:p w14:paraId="242459AD">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密度</w:t>
                  </w:r>
                  <w:r>
                    <w:rPr>
                      <w:rFonts w:hint="eastAsia"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5.02 g/cm³</w:t>
                  </w:r>
                </w:p>
                <w:p w14:paraId="45FF1348">
                  <w:pPr>
                    <w:pStyle w:val="3"/>
                    <w:spacing w:line="240" w:lineRule="auto"/>
                    <w:rPr>
                      <w:rFonts w:hint="eastAsia" w:ascii="Times New Roman" w:hAnsi="Times New Roman" w:eastAsia="宋体" w:cs="Times New Roman"/>
                      <w:i w:val="0"/>
                      <w:iCs w:val="0"/>
                      <w:caps w:val="0"/>
                      <w:snapToGrid w:val="0"/>
                      <w:color w:val="auto"/>
                      <w:spacing w:val="0"/>
                      <w:sz w:val="21"/>
                      <w:szCs w:val="21"/>
                      <w:highlight w:val="none"/>
                      <w:shd w:val="clear" w:fill="FFFFFF"/>
                      <w:lang w:eastAsia="zh-CN"/>
                    </w:rPr>
                  </w:pPr>
                  <w:r>
                    <w:rPr>
                      <w:rFonts w:ascii="Helvetica" w:hAnsi="Helvetica" w:eastAsia="Helvetica" w:cs="Helvetica"/>
                      <w:i w:val="0"/>
                      <w:iCs w:val="0"/>
                      <w:caps w:val="0"/>
                      <w:snapToGrid w:val="0"/>
                      <w:color w:val="auto"/>
                      <w:spacing w:val="0"/>
                      <w:sz w:val="21"/>
                      <w:szCs w:val="21"/>
                      <w:highlight w:val="none"/>
                      <w:shd w:val="clear" w:fill="FFFFFF"/>
                    </w:rPr>
                    <w:t>熔点</w:t>
                  </w:r>
                  <w:r>
                    <w:rPr>
                      <w:rFonts w:ascii="Times New Roman" w:hAnsi="Times New Roman" w:eastAsia="Helvetica" w:cs="Times New Roman"/>
                      <w:i w:val="0"/>
                      <w:iCs w:val="0"/>
                      <w:caps w:val="0"/>
                      <w:snapToGrid w:val="0"/>
                      <w:color w:val="auto"/>
                      <w:spacing w:val="0"/>
                      <w:sz w:val="21"/>
                      <w:szCs w:val="21"/>
                      <w:highlight w:val="none"/>
                      <w:shd w:val="clear" w:fill="FFFFFF"/>
                    </w:rPr>
                    <w:t>：535℃</w:t>
                  </w:r>
                </w:p>
                <w:p w14:paraId="6EDE916C">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外观</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黑色无定形粉末或黑色斜方晶体</w:t>
                  </w:r>
                </w:p>
              </w:tc>
              <w:tc>
                <w:tcPr>
                  <w:tcW w:w="1296" w:type="dxa"/>
                  <w:tcBorders>
                    <w:tl2br w:val="nil"/>
                    <w:tr2bl w:val="nil"/>
                  </w:tcBorders>
                  <w:noWrap w:val="0"/>
                  <w:vAlign w:val="center"/>
                </w:tcPr>
                <w:p w14:paraId="213C59DC">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Helvetica" w:hAnsi="Helvetica" w:eastAsia="宋体" w:cs="Helvetica"/>
                      <w:i w:val="0"/>
                      <w:iCs w:val="0"/>
                      <w:caps w:val="0"/>
                      <w:snapToGrid w:val="0"/>
                      <w:color w:val="auto"/>
                      <w:spacing w:val="0"/>
                      <w:sz w:val="21"/>
                      <w:szCs w:val="21"/>
                      <w:highlight w:val="none"/>
                      <w:shd w:val="clear" w:fill="FFFFFF"/>
                      <w:lang w:val="en-US" w:eastAsia="zh-CN"/>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noWrap w:val="0"/>
                  <w:vAlign w:val="center"/>
                </w:tcPr>
                <w:p w14:paraId="31E84F36">
                  <w:pPr>
                    <w:keepNext w:val="0"/>
                    <w:keepLines w:val="0"/>
                    <w:pageBreakBefore w:val="0"/>
                    <w:widowControl/>
                    <w:wordWrap/>
                    <w:overflowPunct/>
                    <w:topLinePunct w:val="0"/>
                    <w:autoSpaceDE w:val="0"/>
                    <w:autoSpaceDN w:val="0"/>
                    <w:bidi w:val="0"/>
                    <w:adjustRightInd w:val="0"/>
                    <w:snapToGrid w:val="0"/>
                    <w:ind w:left="0" w:right="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7F313B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4A25CFB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戴斯马丁氧化剂（DMP）</w:t>
                  </w:r>
                </w:p>
              </w:tc>
              <w:tc>
                <w:tcPr>
                  <w:tcW w:w="1142" w:type="dxa"/>
                  <w:tcBorders>
                    <w:tl2br w:val="nil"/>
                    <w:tr2bl w:val="nil"/>
                  </w:tcBorders>
                  <w:noWrap w:val="0"/>
                  <w:vAlign w:val="center"/>
                </w:tcPr>
                <w:p w14:paraId="62C74D7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snapToGrid w:val="0"/>
                      <w:color w:val="auto"/>
                      <w:sz w:val="21"/>
                      <w:szCs w:val="21"/>
                      <w:highlight w:val="none"/>
                    </w:rPr>
                    <w:br w:type="textWrapping"/>
                  </w:r>
                  <w:r>
                    <w:rPr>
                      <w:rFonts w:hint="default" w:ascii="Times New Roman" w:hAnsi="Times New Roman" w:eastAsia="宋体" w:cs="Times New Roman"/>
                      <w:i w:val="0"/>
                      <w:iCs w:val="0"/>
                      <w:caps w:val="0"/>
                      <w:snapToGrid w:val="0"/>
                      <w:color w:val="auto"/>
                      <w:spacing w:val="0"/>
                      <w:sz w:val="21"/>
                      <w:szCs w:val="21"/>
                      <w:highlight w:val="none"/>
                      <w:shd w:val="clear" w:fill="FFFFFF"/>
                    </w:rPr>
                    <w:t>C</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13</w:t>
                  </w:r>
                  <w:r>
                    <w:rPr>
                      <w:rFonts w:hint="default" w:ascii="Times New Roman" w:hAnsi="Times New Roman" w:eastAsia="宋体" w:cs="Times New Roman"/>
                      <w:i w:val="0"/>
                      <w:iCs w:val="0"/>
                      <w:caps w:val="0"/>
                      <w:snapToGrid w:val="0"/>
                      <w:color w:val="auto"/>
                      <w:spacing w:val="0"/>
                      <w:sz w:val="21"/>
                      <w:szCs w:val="21"/>
                      <w:highlight w:val="none"/>
                      <w:shd w:val="clear" w:fill="FFFFFF"/>
                    </w:rPr>
                    <w:t>H</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13</w:t>
                  </w:r>
                  <w:r>
                    <w:rPr>
                      <w:rFonts w:hint="default" w:ascii="Times New Roman" w:hAnsi="Times New Roman" w:eastAsia="宋体" w:cs="Times New Roman"/>
                      <w:i w:val="0"/>
                      <w:iCs w:val="0"/>
                      <w:caps w:val="0"/>
                      <w:snapToGrid w:val="0"/>
                      <w:color w:val="auto"/>
                      <w:spacing w:val="0"/>
                      <w:sz w:val="21"/>
                      <w:szCs w:val="21"/>
                      <w:highlight w:val="none"/>
                      <w:shd w:val="clear" w:fill="FFFFFF"/>
                    </w:rPr>
                    <w:t>IO</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8</w:t>
                  </w:r>
                </w:p>
              </w:tc>
              <w:tc>
                <w:tcPr>
                  <w:tcW w:w="2758" w:type="dxa"/>
                  <w:tcBorders>
                    <w:tl2br w:val="nil"/>
                    <w:tr2bl w:val="nil"/>
                  </w:tcBorders>
                  <w:noWrap w:val="0"/>
                  <w:vAlign w:val="center"/>
                </w:tcPr>
                <w:p w14:paraId="007BDC4A">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熔点130-133 °C</w:t>
                  </w:r>
                </w:p>
              </w:tc>
              <w:tc>
                <w:tcPr>
                  <w:tcW w:w="1296" w:type="dxa"/>
                  <w:tcBorders>
                    <w:tl2br w:val="nil"/>
                    <w:tr2bl w:val="nil"/>
                  </w:tcBorders>
                  <w:shd w:val="clear" w:color="auto" w:fill="auto"/>
                  <w:noWrap w:val="0"/>
                  <w:vAlign w:val="center"/>
                </w:tcPr>
                <w:p w14:paraId="4EABF5E3">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Helvetica" w:hAnsi="Helvetica" w:eastAsia="宋体" w:cs="Helvetica"/>
                      <w:i w:val="0"/>
                      <w:iCs w:val="0"/>
                      <w:caps w:val="0"/>
                      <w:snapToGrid w:val="0"/>
                      <w:color w:val="auto"/>
                      <w:spacing w:val="0"/>
                      <w:kern w:val="2"/>
                      <w:sz w:val="21"/>
                      <w:szCs w:val="21"/>
                      <w:highlight w:val="none"/>
                      <w:shd w:val="clear" w:fill="FFFFFF"/>
                      <w:lang w:val="en-US" w:eastAsia="zh-CN" w:bidi="ar-SA"/>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40186CAD">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kern w:val="2"/>
                      <w:sz w:val="21"/>
                      <w:szCs w:val="21"/>
                      <w:highlight w:val="none"/>
                      <w:shd w:val="clear" w:color="auto" w:fill="FFFFFF"/>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247C03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0FD2996">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钯炭</w:t>
                  </w:r>
                </w:p>
              </w:tc>
              <w:tc>
                <w:tcPr>
                  <w:tcW w:w="1142" w:type="dxa"/>
                  <w:tcBorders>
                    <w:tl2br w:val="nil"/>
                    <w:tr2bl w:val="nil"/>
                  </w:tcBorders>
                  <w:noWrap w:val="0"/>
                  <w:vAlign w:val="center"/>
                </w:tcPr>
                <w:p w14:paraId="5893F28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eastAsia="宋体" w:cs="Times New Roman"/>
                      <w:snapToGrid w:val="0"/>
                      <w:color w:val="auto"/>
                      <w:sz w:val="21"/>
                      <w:szCs w:val="21"/>
                      <w:highlight w:val="none"/>
                      <w:lang w:val="en-US" w:eastAsia="zh-CN"/>
                    </w:rPr>
                    <w:t>/</w:t>
                  </w:r>
                </w:p>
              </w:tc>
              <w:tc>
                <w:tcPr>
                  <w:tcW w:w="2758" w:type="dxa"/>
                  <w:tcBorders>
                    <w:tl2br w:val="nil"/>
                    <w:tr2bl w:val="nil"/>
                  </w:tcBorders>
                  <w:noWrap w:val="0"/>
                  <w:vAlign w:val="center"/>
                </w:tcPr>
                <w:p w14:paraId="4C42D597">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熔点1554 ℃</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沸点2800 ℃</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外观</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银白色金属</w:t>
                  </w:r>
                </w:p>
              </w:tc>
              <w:tc>
                <w:tcPr>
                  <w:tcW w:w="1296" w:type="dxa"/>
                  <w:tcBorders>
                    <w:tl2br w:val="nil"/>
                    <w:tr2bl w:val="nil"/>
                  </w:tcBorders>
                  <w:shd w:val="clear" w:color="auto" w:fill="auto"/>
                  <w:noWrap w:val="0"/>
                  <w:vAlign w:val="center"/>
                </w:tcPr>
                <w:p w14:paraId="2D9E64DE">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宋体" w:hAnsi="宋体" w:eastAsia="宋体" w:cs="宋体"/>
                      <w:i w:val="0"/>
                      <w:iCs w:val="0"/>
                      <w:caps w:val="0"/>
                      <w:snapToGrid w:val="0"/>
                      <w:color w:val="auto"/>
                      <w:spacing w:val="0"/>
                      <w:sz w:val="21"/>
                      <w:szCs w:val="21"/>
                      <w:highlight w:val="none"/>
                      <w:shd w:val="clear" w:fill="FFFFFF"/>
                      <w:lang w:val="en-US" w:eastAsia="zh-CN"/>
                    </w:rPr>
                  </w:pPr>
                  <w:r>
                    <w:rPr>
                      <w:rFonts w:ascii="宋体" w:hAnsi="宋体" w:eastAsia="宋体" w:cs="宋体"/>
                      <w:snapToGrid w:val="0"/>
                      <w:color w:val="auto"/>
                      <w:sz w:val="21"/>
                      <w:szCs w:val="21"/>
                      <w:highlight w:val="none"/>
                    </w:rPr>
                    <w:br w:type="textWrapping"/>
                  </w:r>
                  <w:r>
                    <w:rPr>
                      <w:rFonts w:ascii="Helvetica" w:hAnsi="Helvetica" w:eastAsia="Helvetica" w:cs="Helvetica"/>
                      <w:i w:val="0"/>
                      <w:iCs w:val="0"/>
                      <w:caps w:val="0"/>
                      <w:snapToGrid w:val="0"/>
                      <w:color w:val="auto"/>
                      <w:spacing w:val="0"/>
                      <w:sz w:val="21"/>
                      <w:szCs w:val="21"/>
                      <w:highlight w:val="none"/>
                      <w:shd w:val="clear" w:fill="FFFFFF"/>
                    </w:rPr>
                    <w:t>本品可燃，具刺激性</w:t>
                  </w:r>
                </w:p>
              </w:tc>
              <w:tc>
                <w:tcPr>
                  <w:tcW w:w="1618" w:type="dxa"/>
                  <w:tcBorders>
                    <w:tl2br w:val="nil"/>
                    <w:tr2bl w:val="nil"/>
                  </w:tcBorders>
                  <w:shd w:val="clear" w:color="auto" w:fill="auto"/>
                  <w:noWrap w:val="0"/>
                  <w:vAlign w:val="center"/>
                </w:tcPr>
                <w:p w14:paraId="4AD55A1E">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p>
              </w:tc>
            </w:tr>
            <w:tr w14:paraId="6EC431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4877E599">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fill="FFFFFF"/>
                    </w:rPr>
                    <w:t>三二亚苄基丙酮二钯</w:t>
                  </w:r>
                </w:p>
              </w:tc>
              <w:tc>
                <w:tcPr>
                  <w:tcW w:w="1142" w:type="dxa"/>
                  <w:tcBorders>
                    <w:tl2br w:val="nil"/>
                    <w:tr2bl w:val="nil"/>
                  </w:tcBorders>
                  <w:noWrap w:val="0"/>
                  <w:vAlign w:val="center"/>
                </w:tcPr>
                <w:p w14:paraId="3064292C">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i w:val="0"/>
                      <w:iCs w:val="0"/>
                      <w:caps w:val="0"/>
                      <w:snapToGrid w:val="0"/>
                      <w:color w:val="auto"/>
                      <w:spacing w:val="0"/>
                      <w:sz w:val="21"/>
                      <w:szCs w:val="21"/>
                      <w:highlight w:val="none"/>
                      <w:shd w:val="clear" w:fill="FFFFFF"/>
                    </w:rPr>
                    <w:t>C</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51</w:t>
                  </w:r>
                  <w:r>
                    <w:rPr>
                      <w:rFonts w:hint="default" w:ascii="Times New Roman" w:hAnsi="Times New Roman" w:eastAsia="宋体" w:cs="Times New Roman"/>
                      <w:i w:val="0"/>
                      <w:iCs w:val="0"/>
                      <w:caps w:val="0"/>
                      <w:snapToGrid w:val="0"/>
                      <w:color w:val="auto"/>
                      <w:spacing w:val="0"/>
                      <w:sz w:val="21"/>
                      <w:szCs w:val="21"/>
                      <w:highlight w:val="none"/>
                      <w:shd w:val="clear" w:fill="FFFFFF"/>
                    </w:rPr>
                    <w:t>H</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42</w:t>
                  </w:r>
                  <w:r>
                    <w:rPr>
                      <w:rFonts w:hint="default" w:ascii="Times New Roman" w:hAnsi="Times New Roman" w:eastAsia="宋体" w:cs="Times New Roman"/>
                      <w:i w:val="0"/>
                      <w:iCs w:val="0"/>
                      <w:caps w:val="0"/>
                      <w:snapToGrid w:val="0"/>
                      <w:color w:val="auto"/>
                      <w:spacing w:val="0"/>
                      <w:sz w:val="21"/>
                      <w:szCs w:val="21"/>
                      <w:highlight w:val="none"/>
                      <w:shd w:val="clear" w:fill="FFFFFF"/>
                    </w:rPr>
                    <w:t>O</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3</w:t>
                  </w:r>
                  <w:r>
                    <w:rPr>
                      <w:rFonts w:hint="default" w:ascii="Times New Roman" w:hAnsi="Times New Roman" w:eastAsia="宋体" w:cs="Times New Roman"/>
                      <w:i w:val="0"/>
                      <w:iCs w:val="0"/>
                      <w:caps w:val="0"/>
                      <w:snapToGrid w:val="0"/>
                      <w:color w:val="auto"/>
                      <w:spacing w:val="0"/>
                      <w:sz w:val="21"/>
                      <w:szCs w:val="21"/>
                      <w:highlight w:val="none"/>
                      <w:shd w:val="clear" w:fill="FFFFFF"/>
                    </w:rPr>
                    <w:t>Pd</w:t>
                  </w:r>
                  <w:r>
                    <w:rPr>
                      <w:rFonts w:hint="default" w:ascii="Times New Roman" w:hAnsi="Times New Roman" w:eastAsia="宋体" w:cs="Times New Roman"/>
                      <w:i w:val="0"/>
                      <w:iCs w:val="0"/>
                      <w:caps w:val="0"/>
                      <w:snapToGrid w:val="0"/>
                      <w:color w:val="auto"/>
                      <w:spacing w:val="0"/>
                      <w:sz w:val="18"/>
                      <w:szCs w:val="18"/>
                      <w:highlight w:val="none"/>
                      <w:shd w:val="clear" w:fill="FFFFFF"/>
                      <w:vertAlign w:val="subscript"/>
                    </w:rPr>
                    <w:t>2</w:t>
                  </w:r>
                </w:p>
              </w:tc>
              <w:tc>
                <w:tcPr>
                  <w:tcW w:w="2758" w:type="dxa"/>
                  <w:tcBorders>
                    <w:tl2br w:val="nil"/>
                    <w:tr2bl w:val="nil"/>
                  </w:tcBorders>
                  <w:noWrap w:val="0"/>
                  <w:vAlign w:val="center"/>
                </w:tcPr>
                <w:p w14:paraId="15453D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rPr>
                      <w:rFonts w:hint="default" w:ascii="Times New Roman" w:hAnsi="Times New Roman" w:eastAsia="宋体" w:cs="Times New Roman"/>
                      <w:i w:val="0"/>
                      <w:iCs w:val="0"/>
                      <w:caps w:val="0"/>
                      <w:snapToGrid w:val="0"/>
                      <w:color w:val="auto"/>
                      <w:spacing w:val="0"/>
                      <w:kern w:val="2"/>
                      <w:sz w:val="21"/>
                      <w:szCs w:val="21"/>
                      <w:highlight w:val="none"/>
                      <w:shd w:val="clear" w:fill="FFFFFF"/>
                      <w:lang w:val="en-US" w:eastAsia="zh-CN" w:bidi="ar-SA"/>
                    </w:rPr>
                  </w:pPr>
                  <w:r>
                    <w:rPr>
                      <w:rFonts w:hint="default" w:ascii="Times New Roman" w:hAnsi="Times New Roman" w:eastAsia="宋体" w:cs="Times New Roman"/>
                      <w:i w:val="0"/>
                      <w:iCs w:val="0"/>
                      <w:caps w:val="0"/>
                      <w:snapToGrid w:val="0"/>
                      <w:color w:val="auto"/>
                      <w:spacing w:val="0"/>
                      <w:kern w:val="2"/>
                      <w:sz w:val="21"/>
                      <w:szCs w:val="21"/>
                      <w:highlight w:val="none"/>
                      <w:shd w:val="clear" w:fill="FFFFFF"/>
                      <w:lang w:val="en-US" w:eastAsia="zh-CN" w:bidi="ar-SA"/>
                    </w:rPr>
                    <w:t>熔 点：152 至 155 ℃，外 观：紫黑色粉末</w:t>
                  </w:r>
                </w:p>
                <w:p w14:paraId="7D60934C">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p>
              </w:tc>
              <w:tc>
                <w:tcPr>
                  <w:tcW w:w="1296" w:type="dxa"/>
                  <w:tcBorders>
                    <w:tl2br w:val="nil"/>
                    <w:tr2bl w:val="nil"/>
                  </w:tcBorders>
                  <w:shd w:val="clear" w:color="auto" w:fill="auto"/>
                  <w:noWrap w:val="0"/>
                  <w:vAlign w:val="center"/>
                </w:tcPr>
                <w:p w14:paraId="271A27D5">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Helvetica" w:hAnsi="Helvetica" w:eastAsia="宋体" w:cs="Helvetica"/>
                      <w:i w:val="0"/>
                      <w:iCs w:val="0"/>
                      <w:caps w:val="0"/>
                      <w:snapToGrid w:val="0"/>
                      <w:color w:val="auto"/>
                      <w:spacing w:val="0"/>
                      <w:kern w:val="2"/>
                      <w:sz w:val="21"/>
                      <w:szCs w:val="21"/>
                      <w:highlight w:val="none"/>
                      <w:shd w:val="clear" w:fill="FFFFFF"/>
                      <w:lang w:val="en-US" w:eastAsia="zh-CN" w:bidi="ar-SA"/>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60B1320D">
                  <w:pPr>
                    <w:pStyle w:val="83"/>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p w14:paraId="70219F09">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kern w:val="2"/>
                      <w:sz w:val="21"/>
                      <w:szCs w:val="21"/>
                      <w:highlight w:val="none"/>
                      <w:shd w:val="clear" w:color="auto" w:fill="FFFFFF"/>
                      <w:lang w:val="en-US" w:eastAsia="zh-CN" w:bidi="ar-SA"/>
                    </w:rPr>
                  </w:pPr>
                </w:p>
              </w:tc>
            </w:tr>
            <w:tr w14:paraId="0E498C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31C6991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1-羟基苯并三唑</w:t>
                  </w:r>
                </w:p>
              </w:tc>
              <w:tc>
                <w:tcPr>
                  <w:tcW w:w="1142" w:type="dxa"/>
                  <w:tcBorders>
                    <w:tl2br w:val="nil"/>
                    <w:tr2bl w:val="nil"/>
                  </w:tcBorders>
                  <w:noWrap w:val="0"/>
                  <w:vAlign w:val="center"/>
                </w:tcPr>
                <w:p w14:paraId="5371EB2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C</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6</w:t>
                  </w:r>
                  <w:r>
                    <w:rPr>
                      <w:rFonts w:hint="default" w:ascii="Times New Roman" w:hAnsi="Times New Roman" w:eastAsia="宋体" w:cs="Times New Roman"/>
                      <w:i w:val="0"/>
                      <w:iCs w:val="0"/>
                      <w:caps w:val="0"/>
                      <w:snapToGrid w:val="0"/>
                      <w:color w:val="auto"/>
                      <w:spacing w:val="0"/>
                      <w:sz w:val="21"/>
                      <w:szCs w:val="21"/>
                      <w:highlight w:val="none"/>
                      <w:shd w:val="clear" w:fill="FFFFFF"/>
                    </w:rPr>
                    <w:t>H</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5</w:t>
                  </w:r>
                  <w:r>
                    <w:rPr>
                      <w:rFonts w:hint="default" w:ascii="Times New Roman" w:hAnsi="Times New Roman" w:eastAsia="宋体" w:cs="Times New Roman"/>
                      <w:i w:val="0"/>
                      <w:iCs w:val="0"/>
                      <w:caps w:val="0"/>
                      <w:snapToGrid w:val="0"/>
                      <w:color w:val="auto"/>
                      <w:spacing w:val="0"/>
                      <w:sz w:val="21"/>
                      <w:szCs w:val="21"/>
                      <w:highlight w:val="none"/>
                      <w:shd w:val="clear" w:fill="FFFFFF"/>
                    </w:rPr>
                    <w:t>N</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3</w:t>
                  </w:r>
                  <w:r>
                    <w:rPr>
                      <w:rFonts w:hint="default" w:ascii="Times New Roman" w:hAnsi="Times New Roman" w:eastAsia="宋体" w:cs="Times New Roman"/>
                      <w:i w:val="0"/>
                      <w:iCs w:val="0"/>
                      <w:caps w:val="0"/>
                      <w:snapToGrid w:val="0"/>
                      <w:color w:val="auto"/>
                      <w:spacing w:val="0"/>
                      <w:sz w:val="21"/>
                      <w:szCs w:val="21"/>
                      <w:highlight w:val="none"/>
                      <w:shd w:val="clear" w:fill="FFFFFF"/>
                    </w:rPr>
                    <w:t>O</w:t>
                  </w:r>
                </w:p>
              </w:tc>
              <w:tc>
                <w:tcPr>
                  <w:tcW w:w="2758" w:type="dxa"/>
                  <w:tcBorders>
                    <w:tl2br w:val="nil"/>
                    <w:tr2bl w:val="nil"/>
                  </w:tcBorders>
                  <w:noWrap w:val="0"/>
                  <w:vAlign w:val="center"/>
                </w:tcPr>
                <w:p w14:paraId="223829F1">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vertAlign w:val="superscript"/>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fill="FFFFFF"/>
                    </w:rPr>
                    <w:t>密度1.5 g/cm</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perscript"/>
                      <w:lang w:val="en-US" w:eastAsia="zh-CN"/>
                    </w:rPr>
                    <w:t>3</w:t>
                  </w:r>
                </w:p>
                <w:p w14:paraId="3734135E">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 xml:space="preserve"> </w:t>
                  </w: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外</w:t>
                  </w:r>
                  <w:r>
                    <w:rPr>
                      <w:rFonts w:hint="default" w:ascii="Times New Roman" w:hAnsi="Times New Roman" w:eastAsia="宋体" w:cs="Times New Roman"/>
                      <w:i w:val="0"/>
                      <w:iCs w:val="0"/>
                      <w:caps w:val="0"/>
                      <w:snapToGrid w:val="0"/>
                      <w:color w:val="auto"/>
                      <w:spacing w:val="0"/>
                      <w:sz w:val="21"/>
                      <w:szCs w:val="21"/>
                      <w:highlight w:val="none"/>
                      <w:shd w:val="clear" w:fill="FFFFFF"/>
                    </w:rPr>
                    <w:t>观</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rPr>
                    <w:t>白色至淡黄色粉末</w:t>
                  </w:r>
                </w:p>
              </w:tc>
              <w:tc>
                <w:tcPr>
                  <w:tcW w:w="1296" w:type="dxa"/>
                  <w:tcBorders>
                    <w:tl2br w:val="nil"/>
                    <w:tr2bl w:val="nil"/>
                  </w:tcBorders>
                  <w:shd w:val="clear" w:color="auto" w:fill="auto"/>
                  <w:noWrap w:val="0"/>
                  <w:vAlign w:val="center"/>
                </w:tcPr>
                <w:p w14:paraId="2D596276">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Helvetica" w:hAnsi="Helvetica" w:eastAsia="宋体" w:cs="Helvetica"/>
                      <w:i w:val="0"/>
                      <w:iCs w:val="0"/>
                      <w:caps w:val="0"/>
                      <w:snapToGrid w:val="0"/>
                      <w:color w:val="auto"/>
                      <w:spacing w:val="0"/>
                      <w:kern w:val="2"/>
                      <w:sz w:val="21"/>
                      <w:szCs w:val="21"/>
                      <w:highlight w:val="none"/>
                      <w:shd w:val="clear" w:fill="FFFFFF"/>
                      <w:lang w:val="en-US" w:eastAsia="zh-CN" w:bidi="ar-SA"/>
                    </w:rPr>
                  </w:pPr>
                  <w:r>
                    <w:rPr>
                      <w:rFonts w:hint="eastAsia" w:ascii="Helvetica" w:hAnsi="Helvetica" w:eastAsia="宋体" w:cs="Helvetica"/>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79FB5FD1">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kern w:val="2"/>
                      <w:sz w:val="21"/>
                      <w:szCs w:val="21"/>
                      <w:highlight w:val="none"/>
                      <w:shd w:val="clear" w:color="auto" w:fill="FFFFFF"/>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color="auto" w:fill="FFFFFF"/>
                      <w:lang w:val="en-US" w:eastAsia="zh-CN"/>
                    </w:rPr>
                    <w:t>无资料</w:t>
                  </w:r>
                </w:p>
              </w:tc>
            </w:tr>
            <w:tr w14:paraId="0CAD2C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2840DA5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五氟苯酚</w:t>
                  </w:r>
                </w:p>
              </w:tc>
              <w:tc>
                <w:tcPr>
                  <w:tcW w:w="1142" w:type="dxa"/>
                  <w:tcBorders>
                    <w:tl2br w:val="nil"/>
                    <w:tr2bl w:val="nil"/>
                  </w:tcBorders>
                  <w:noWrap w:val="0"/>
                  <w:vAlign w:val="center"/>
                </w:tcPr>
                <w:p w14:paraId="3DC4B2C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C</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6</w:t>
                  </w:r>
                  <w:r>
                    <w:rPr>
                      <w:rFonts w:hint="default" w:ascii="Times New Roman" w:hAnsi="Times New Roman" w:eastAsia="宋体" w:cs="Times New Roman"/>
                      <w:i w:val="0"/>
                      <w:iCs w:val="0"/>
                      <w:caps w:val="0"/>
                      <w:snapToGrid w:val="0"/>
                      <w:color w:val="auto"/>
                      <w:spacing w:val="0"/>
                      <w:sz w:val="21"/>
                      <w:szCs w:val="21"/>
                      <w:highlight w:val="none"/>
                      <w:shd w:val="clear" w:fill="FFFFFF"/>
                    </w:rPr>
                    <w:t>F</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5</w:t>
                  </w:r>
                  <w:r>
                    <w:rPr>
                      <w:rFonts w:hint="default" w:ascii="Times New Roman" w:hAnsi="Times New Roman" w:eastAsia="宋体" w:cs="Times New Roman"/>
                      <w:i w:val="0"/>
                      <w:iCs w:val="0"/>
                      <w:caps w:val="0"/>
                      <w:snapToGrid w:val="0"/>
                      <w:color w:val="auto"/>
                      <w:spacing w:val="0"/>
                      <w:sz w:val="21"/>
                      <w:szCs w:val="21"/>
                      <w:highlight w:val="none"/>
                      <w:shd w:val="clear" w:fill="FFFFFF"/>
                    </w:rPr>
                    <w:t>OH</w:t>
                  </w:r>
                </w:p>
              </w:tc>
              <w:tc>
                <w:tcPr>
                  <w:tcW w:w="2758" w:type="dxa"/>
                  <w:tcBorders>
                    <w:tl2br w:val="nil"/>
                    <w:tr2bl w:val="nil"/>
                  </w:tcBorders>
                  <w:noWrap w:val="0"/>
                  <w:vAlign w:val="center"/>
                </w:tcPr>
                <w:p w14:paraId="08922F64">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pPr>
                  <w:r>
                    <w:rPr>
                      <w:rFonts w:ascii="Times New Roman" w:hAnsi="Times New Roman" w:eastAsia="Helvetica" w:cs="Times New Roman"/>
                      <w:i w:val="0"/>
                      <w:iCs w:val="0"/>
                      <w:caps w:val="0"/>
                      <w:snapToGrid w:val="0"/>
                      <w:color w:val="auto"/>
                      <w:spacing w:val="0"/>
                      <w:sz w:val="21"/>
                      <w:szCs w:val="21"/>
                      <w:highlight w:val="none"/>
                      <w:shd w:val="clear" w:fill="FFFFFF"/>
                    </w:rPr>
                    <w:t>溶解度为2.69 g/L。熔点32.80℃，沸点146.00℃</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；外    观</w:t>
                  </w:r>
                  <w:r>
                    <w:rPr>
                      <w:rFonts w:hint="eastAsia" w:cs="Times New Roman"/>
                      <w:i w:val="0"/>
                      <w:iCs w:val="0"/>
                      <w:caps w:val="0"/>
                      <w:snapToGrid w:val="0"/>
                      <w:color w:val="auto"/>
                      <w:spacing w:val="0"/>
                      <w:sz w:val="21"/>
                      <w:szCs w:val="21"/>
                      <w:highlight w:val="none"/>
                      <w:shd w:val="clear" w:fill="FFFFFF"/>
                      <w:lang w:eastAsia="zh-CN"/>
                    </w:rPr>
                    <w:t>：</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白色固体</w:t>
                  </w:r>
                  <w:r>
                    <w:rPr>
                      <w:rFonts w:hint="eastAsia" w:cs="Times New Roman"/>
                      <w:i w:val="0"/>
                      <w:iCs w:val="0"/>
                      <w:caps w:val="0"/>
                      <w:snapToGrid w:val="0"/>
                      <w:color w:val="auto"/>
                      <w:spacing w:val="0"/>
                      <w:sz w:val="21"/>
                      <w:szCs w:val="21"/>
                      <w:highlight w:val="none"/>
                      <w:shd w:val="clear" w:fill="FFFFFF"/>
                      <w:lang w:eastAsia="zh-CN"/>
                    </w:rPr>
                    <w:t>。溶解性：溶于大多数有机溶剂</w:t>
                  </w:r>
                </w:p>
              </w:tc>
              <w:tc>
                <w:tcPr>
                  <w:tcW w:w="1296" w:type="dxa"/>
                  <w:tcBorders>
                    <w:tl2br w:val="nil"/>
                    <w:tr2bl w:val="nil"/>
                  </w:tcBorders>
                  <w:shd w:val="clear" w:color="auto" w:fill="auto"/>
                  <w:noWrap w:val="0"/>
                  <w:vAlign w:val="center"/>
                </w:tcPr>
                <w:p w14:paraId="68475CE3">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无</w:t>
                  </w:r>
                </w:p>
              </w:tc>
              <w:tc>
                <w:tcPr>
                  <w:tcW w:w="1618" w:type="dxa"/>
                  <w:tcBorders>
                    <w:tl2br w:val="nil"/>
                    <w:tr2bl w:val="nil"/>
                  </w:tcBorders>
                  <w:shd w:val="clear" w:color="auto" w:fill="auto"/>
                  <w:noWrap w:val="0"/>
                  <w:vAlign w:val="center"/>
                </w:tcPr>
                <w:p w14:paraId="2FCD879C">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color="auto" w:fill="FFFFFF"/>
                    </w:rPr>
                  </w:pPr>
                  <w:r>
                    <w:rPr>
                      <w:rFonts w:ascii="Times New Roman" w:hAnsi="Times New Roman" w:eastAsia="Helvetica" w:cs="Times New Roman"/>
                      <w:i w:val="0"/>
                      <w:iCs w:val="0"/>
                      <w:caps w:val="0"/>
                      <w:snapToGrid w:val="0"/>
                      <w:color w:val="auto"/>
                      <w:spacing w:val="0"/>
                      <w:sz w:val="21"/>
                      <w:szCs w:val="21"/>
                      <w:highlight w:val="none"/>
                      <w:shd w:val="clear" w:fill="FFFFFF"/>
                    </w:rPr>
                    <w:t>LD50：283mg/kg</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ascii="Times New Roman" w:hAnsi="Times New Roman" w:eastAsia="Helvetica" w:cs="Times New Roman"/>
                      <w:i w:val="0"/>
                      <w:iCs w:val="0"/>
                      <w:caps w:val="0"/>
                      <w:snapToGrid w:val="0"/>
                      <w:color w:val="auto"/>
                      <w:spacing w:val="0"/>
                      <w:sz w:val="21"/>
                      <w:szCs w:val="21"/>
                      <w:highlight w:val="none"/>
                      <w:shd w:val="clear" w:fill="FFFFFF"/>
                    </w:rPr>
                    <w:t>小鼠皮下</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ascii="Times New Roman" w:hAnsi="Times New Roman" w:eastAsia="Helvetica" w:cs="Times New Roman"/>
                      <w:i w:val="0"/>
                      <w:iCs w:val="0"/>
                      <w:caps w:val="0"/>
                      <w:snapToGrid w:val="0"/>
                      <w:color w:val="auto"/>
                      <w:spacing w:val="0"/>
                      <w:sz w:val="21"/>
                      <w:szCs w:val="21"/>
                      <w:highlight w:val="none"/>
                      <w:shd w:val="clear" w:fill="FFFFFF"/>
                    </w:rPr>
                    <w:t>；LD50：322mg/kg</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r>
                    <w:rPr>
                      <w:rFonts w:ascii="Times New Roman" w:hAnsi="Times New Roman" w:eastAsia="Helvetica" w:cs="Times New Roman"/>
                      <w:i w:val="0"/>
                      <w:iCs w:val="0"/>
                      <w:caps w:val="0"/>
                      <w:snapToGrid w:val="0"/>
                      <w:color w:val="auto"/>
                      <w:spacing w:val="0"/>
                      <w:sz w:val="21"/>
                      <w:szCs w:val="21"/>
                      <w:highlight w:val="none"/>
                      <w:shd w:val="clear" w:fill="FFFFFF"/>
                    </w:rPr>
                    <w:t>大鼠皮下</w:t>
                  </w:r>
                  <w:r>
                    <w:rPr>
                      <w:rFonts w:hint="default" w:ascii="Times New Roman" w:hAnsi="Times New Roman" w:eastAsia="宋体" w:cs="Times New Roman"/>
                      <w:i w:val="0"/>
                      <w:iCs w:val="0"/>
                      <w:caps w:val="0"/>
                      <w:snapToGrid w:val="0"/>
                      <w:color w:val="auto"/>
                      <w:spacing w:val="0"/>
                      <w:sz w:val="21"/>
                      <w:szCs w:val="21"/>
                      <w:highlight w:val="none"/>
                      <w:shd w:val="clear" w:fill="FFFFFF"/>
                      <w:lang w:eastAsia="zh-CN"/>
                    </w:rPr>
                    <w:t>）</w:t>
                  </w:r>
                </w:p>
              </w:tc>
            </w:tr>
            <w:tr w14:paraId="3F3128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427908F1">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000000"/>
                      <w:spacing w:val="0"/>
                      <w:sz w:val="20"/>
                      <w:szCs w:val="20"/>
                      <w:highlight w:val="none"/>
                      <w:shd w:val="clear" w:fill="FFFFFF"/>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1-溴丁烷</w:t>
                  </w:r>
                </w:p>
              </w:tc>
              <w:tc>
                <w:tcPr>
                  <w:tcW w:w="1142" w:type="dxa"/>
                  <w:tcBorders>
                    <w:tl2br w:val="nil"/>
                    <w:tr2bl w:val="nil"/>
                  </w:tcBorders>
                  <w:noWrap w:val="0"/>
                  <w:vAlign w:val="center"/>
                </w:tcPr>
                <w:p w14:paraId="15134E4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C</w:t>
                  </w:r>
                  <w:r>
                    <w:rPr>
                      <w:rFonts w:hint="default" w:ascii="Times New Roman" w:hAnsi="Times New Roman" w:eastAsia="Helvetica" w:cs="Times New Roman"/>
                      <w:i w:val="0"/>
                      <w:iCs w:val="0"/>
                      <w:caps w:val="0"/>
                      <w:snapToGrid w:val="0"/>
                      <w:color w:val="auto"/>
                      <w:spacing w:val="0"/>
                      <w:sz w:val="15"/>
                      <w:szCs w:val="15"/>
                      <w:highlight w:val="none"/>
                      <w:shd w:val="clear" w:fill="FFFFFF"/>
                      <w:vertAlign w:val="baseline"/>
                    </w:rPr>
                    <w:t>4</w:t>
                  </w:r>
                  <w:r>
                    <w:rPr>
                      <w:rFonts w:hint="default" w:ascii="Times New Roman" w:hAnsi="Times New Roman" w:eastAsia="Helvetica" w:cs="Times New Roman"/>
                      <w:i w:val="0"/>
                      <w:iCs w:val="0"/>
                      <w:caps w:val="0"/>
                      <w:snapToGrid w:val="0"/>
                      <w:color w:val="auto"/>
                      <w:spacing w:val="0"/>
                      <w:sz w:val="21"/>
                      <w:szCs w:val="21"/>
                      <w:highlight w:val="none"/>
                      <w:shd w:val="clear" w:fill="FFFFFF"/>
                    </w:rPr>
                    <w:t>H</w:t>
                  </w:r>
                  <w:r>
                    <w:rPr>
                      <w:rFonts w:hint="default" w:ascii="Times New Roman" w:hAnsi="Times New Roman" w:eastAsia="Helvetica" w:cs="Times New Roman"/>
                      <w:i w:val="0"/>
                      <w:iCs w:val="0"/>
                      <w:caps w:val="0"/>
                      <w:snapToGrid w:val="0"/>
                      <w:color w:val="auto"/>
                      <w:spacing w:val="0"/>
                      <w:sz w:val="15"/>
                      <w:szCs w:val="15"/>
                      <w:highlight w:val="none"/>
                      <w:shd w:val="clear" w:fill="FFFFFF"/>
                      <w:vertAlign w:val="baseline"/>
                    </w:rPr>
                    <w:t>9</w:t>
                  </w:r>
                  <w:r>
                    <w:rPr>
                      <w:rFonts w:hint="default" w:ascii="Times New Roman" w:hAnsi="Times New Roman" w:eastAsia="Helvetica" w:cs="Times New Roman"/>
                      <w:i w:val="0"/>
                      <w:iCs w:val="0"/>
                      <w:caps w:val="0"/>
                      <w:snapToGrid w:val="0"/>
                      <w:color w:val="auto"/>
                      <w:spacing w:val="0"/>
                      <w:sz w:val="21"/>
                      <w:szCs w:val="21"/>
                      <w:highlight w:val="none"/>
                      <w:shd w:val="clear" w:fill="FFFFFF"/>
                    </w:rPr>
                    <w:t>Br</w:t>
                  </w:r>
                </w:p>
              </w:tc>
              <w:tc>
                <w:tcPr>
                  <w:tcW w:w="2758" w:type="dxa"/>
                  <w:tcBorders>
                    <w:tl2br w:val="nil"/>
                    <w:tr2bl w:val="nil"/>
                  </w:tcBorders>
                  <w:noWrap w:val="0"/>
                  <w:vAlign w:val="center"/>
                </w:tcPr>
                <w:p w14:paraId="575AEDA9">
                  <w:pPr>
                    <w:pStyle w:val="3"/>
                    <w:spacing w:line="240" w:lineRule="auto"/>
                    <w:rPr>
                      <w:rFonts w:hint="eastAsia" w:eastAsia="宋体" w:cs="Times New Roman"/>
                      <w:i w:val="0"/>
                      <w:iCs w:val="0"/>
                      <w:caps w:val="0"/>
                      <w:snapToGrid w:val="0"/>
                      <w:color w:val="auto"/>
                      <w:spacing w:val="0"/>
                      <w:sz w:val="21"/>
                      <w:szCs w:val="21"/>
                      <w:highlight w:val="none"/>
                      <w:shd w:val="clear" w:fill="FFFFFF"/>
                      <w:vertAlign w:val="baseline"/>
                      <w:lang w:val="en-US"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密度1.276 g/c</w:t>
                  </w:r>
                  <w:r>
                    <w:rPr>
                      <w:rFonts w:hint="eastAsia" w:eastAsia="宋体" w:cs="Times New Roman"/>
                      <w:i w:val="0"/>
                      <w:iCs w:val="0"/>
                      <w:caps w:val="0"/>
                      <w:snapToGrid w:val="0"/>
                      <w:color w:val="auto"/>
                      <w:spacing w:val="0"/>
                      <w:sz w:val="21"/>
                      <w:szCs w:val="21"/>
                      <w:highlight w:val="none"/>
                      <w:shd w:val="clear" w:fill="FFFFFF"/>
                      <w:lang w:val="en-US" w:eastAsia="zh-CN"/>
                    </w:rPr>
                    <w:t>m</w:t>
                  </w:r>
                  <w:r>
                    <w:rPr>
                      <w:rFonts w:hint="eastAsia" w:eastAsia="宋体" w:cs="Times New Roman"/>
                      <w:i w:val="0"/>
                      <w:iCs w:val="0"/>
                      <w:caps w:val="0"/>
                      <w:snapToGrid w:val="0"/>
                      <w:color w:val="auto"/>
                      <w:spacing w:val="0"/>
                      <w:sz w:val="21"/>
                      <w:szCs w:val="21"/>
                      <w:highlight w:val="none"/>
                      <w:shd w:val="clear" w:fill="FFFFFF"/>
                      <w:vertAlign w:val="superscript"/>
                      <w:lang w:val="en-US" w:eastAsia="zh-CN"/>
                    </w:rPr>
                    <w:t>3</w:t>
                  </w:r>
                  <w:r>
                    <w:rPr>
                      <w:rFonts w:hint="eastAsia" w:eastAsia="宋体" w:cs="Times New Roman"/>
                      <w:i w:val="0"/>
                      <w:iCs w:val="0"/>
                      <w:caps w:val="0"/>
                      <w:snapToGrid w:val="0"/>
                      <w:color w:val="auto"/>
                      <w:spacing w:val="0"/>
                      <w:sz w:val="21"/>
                      <w:szCs w:val="21"/>
                      <w:highlight w:val="none"/>
                      <w:shd w:val="clear" w:fill="FFFFFF"/>
                      <w:vertAlign w:val="baseline"/>
                      <w:lang w:val="en-US" w:eastAsia="zh-CN"/>
                    </w:rPr>
                    <w:t>；</w:t>
                  </w:r>
                </w:p>
                <w:p w14:paraId="04E80B58">
                  <w:pPr>
                    <w:pStyle w:val="3"/>
                    <w:spacing w:line="240" w:lineRule="auto"/>
                    <w:rPr>
                      <w:rFonts w:hint="eastAsia" w:eastAsia="宋体" w:cs="Times New Roman"/>
                      <w:i w:val="0"/>
                      <w:iCs w:val="0"/>
                      <w:caps w:val="0"/>
                      <w:snapToGrid w:val="0"/>
                      <w:color w:val="auto"/>
                      <w:spacing w:val="0"/>
                      <w:sz w:val="21"/>
                      <w:szCs w:val="21"/>
                      <w:highlight w:val="none"/>
                      <w:shd w:val="clear" w:fill="FFFFFF"/>
                      <w:vertAlign w:val="baseline"/>
                      <w:lang w:val="en-US" w:eastAsia="zh-CN"/>
                    </w:rPr>
                  </w:pPr>
                  <w:r>
                    <w:rPr>
                      <w:rFonts w:hint="eastAsia" w:eastAsia="宋体" w:cs="Times New Roman"/>
                      <w:i w:val="0"/>
                      <w:iCs w:val="0"/>
                      <w:caps w:val="0"/>
                      <w:snapToGrid w:val="0"/>
                      <w:color w:val="auto"/>
                      <w:spacing w:val="0"/>
                      <w:sz w:val="21"/>
                      <w:szCs w:val="21"/>
                      <w:highlight w:val="none"/>
                      <w:shd w:val="clear" w:fill="FFFFFF"/>
                      <w:vertAlign w:val="baseline"/>
                      <w:lang w:val="en-US" w:eastAsia="zh-CN"/>
                    </w:rPr>
                    <w:t>熔点：-112℃；</w:t>
                  </w:r>
                </w:p>
                <w:p w14:paraId="64CFB9A5">
                  <w:pPr>
                    <w:pStyle w:val="3"/>
                    <w:spacing w:line="240" w:lineRule="auto"/>
                    <w:rPr>
                      <w:rFonts w:hint="eastAsia" w:eastAsia="宋体" w:cs="Times New Roman"/>
                      <w:i w:val="0"/>
                      <w:iCs w:val="0"/>
                      <w:caps w:val="0"/>
                      <w:snapToGrid w:val="0"/>
                      <w:color w:val="auto"/>
                      <w:spacing w:val="0"/>
                      <w:sz w:val="21"/>
                      <w:szCs w:val="21"/>
                      <w:highlight w:val="none"/>
                      <w:shd w:val="clear" w:fill="FFFFFF"/>
                      <w:vertAlign w:val="baseline"/>
                      <w:lang w:val="en-US" w:eastAsia="zh-CN"/>
                    </w:rPr>
                  </w:pPr>
                  <w:r>
                    <w:rPr>
                      <w:rFonts w:hint="eastAsia" w:eastAsia="宋体" w:cs="Times New Roman"/>
                      <w:i w:val="0"/>
                      <w:iCs w:val="0"/>
                      <w:caps w:val="0"/>
                      <w:snapToGrid w:val="0"/>
                      <w:color w:val="auto"/>
                      <w:spacing w:val="0"/>
                      <w:sz w:val="21"/>
                      <w:szCs w:val="21"/>
                      <w:highlight w:val="none"/>
                      <w:shd w:val="clear" w:fill="FFFFFF"/>
                      <w:vertAlign w:val="baseline"/>
                      <w:lang w:val="en-US" w:eastAsia="zh-CN"/>
                    </w:rPr>
                    <w:t>沸点：100-104℃</w:t>
                  </w:r>
                </w:p>
                <w:p w14:paraId="029D2746">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外观</w:t>
                  </w:r>
                  <w:r>
                    <w:rPr>
                      <w:rFonts w:hint="eastAsia" w:eastAsia="宋体" w:cs="Times New Roman"/>
                      <w:i w:val="0"/>
                      <w:iCs w:val="0"/>
                      <w:caps w:val="0"/>
                      <w:snapToGrid w:val="0"/>
                      <w:color w:val="auto"/>
                      <w:spacing w:val="0"/>
                      <w:sz w:val="21"/>
                      <w:szCs w:val="21"/>
                      <w:highlight w:val="none"/>
                      <w:shd w:val="clear" w:fill="FFFFFF"/>
                      <w:lang w:eastAsia="zh-CN"/>
                    </w:rPr>
                    <w:t>：</w:t>
                  </w:r>
                  <w:r>
                    <w:rPr>
                      <w:rFonts w:hint="eastAsia" w:ascii="Times New Roman" w:hAnsi="Times New Roman" w:eastAsia="Helvetica" w:cs="Times New Roman"/>
                      <w:i w:val="0"/>
                      <w:iCs w:val="0"/>
                      <w:caps w:val="0"/>
                      <w:snapToGrid w:val="0"/>
                      <w:color w:val="auto"/>
                      <w:spacing w:val="0"/>
                      <w:sz w:val="21"/>
                      <w:szCs w:val="21"/>
                      <w:highlight w:val="none"/>
                      <w:shd w:val="clear" w:fill="FFFFFF"/>
                    </w:rPr>
                    <w:t>无色透明液体</w:t>
                  </w:r>
                </w:p>
                <w:p w14:paraId="7B629CCF">
                  <w:pPr>
                    <w:rPr>
                      <w:snapToGrid w:val="0"/>
                      <w:color w:val="auto"/>
                      <w:highlight w:val="none"/>
                    </w:rPr>
                  </w:pPr>
                  <w:r>
                    <w:rPr>
                      <w:rFonts w:hint="eastAsia"/>
                      <w:snapToGrid w:val="0"/>
                      <w:color w:val="auto"/>
                      <w:highlight w:val="none"/>
                    </w:rPr>
                    <w:t>溶解性：不溶于水，微溶于四氯化碳，溶于氯仿，混溶于乙醇、乙醚、丙酮</w:t>
                  </w:r>
                </w:p>
              </w:tc>
              <w:tc>
                <w:tcPr>
                  <w:tcW w:w="1296" w:type="dxa"/>
                  <w:tcBorders>
                    <w:tl2br w:val="nil"/>
                    <w:tr2bl w:val="nil"/>
                  </w:tcBorders>
                  <w:shd w:val="clear" w:color="auto" w:fill="auto"/>
                  <w:noWrap w:val="0"/>
                  <w:vAlign w:val="center"/>
                </w:tcPr>
                <w:p w14:paraId="6F96E232">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无</w:t>
                  </w:r>
                </w:p>
              </w:tc>
              <w:tc>
                <w:tcPr>
                  <w:tcW w:w="1618" w:type="dxa"/>
                  <w:tcBorders>
                    <w:tl2br w:val="nil"/>
                    <w:tr2bl w:val="nil"/>
                  </w:tcBorders>
                  <w:shd w:val="clear" w:color="auto" w:fill="auto"/>
                  <w:noWrap w:val="0"/>
                  <w:vAlign w:val="center"/>
                </w:tcPr>
                <w:p w14:paraId="070FE5FB">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LD50：2761mg/kg（大鼠经口）；4450mg/kg（大鼠腹腔）；1424mg/kg（小鼠腹腔）</w:t>
                  </w:r>
                </w:p>
                <w:p w14:paraId="549476D7">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both"/>
                    <w:rPr>
                      <w:rFonts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LC50：47000mg/m</w:t>
                  </w:r>
                  <w:r>
                    <w:rPr>
                      <w:rFonts w:hint="eastAsia" w:ascii="Times New Roman" w:hAnsi="Times New Roman" w:eastAsia="Helvetica" w:cs="Times New Roman"/>
                      <w:i w:val="0"/>
                      <w:iCs w:val="0"/>
                      <w:caps w:val="0"/>
                      <w:snapToGrid w:val="0"/>
                      <w:color w:val="auto"/>
                      <w:spacing w:val="0"/>
                      <w:sz w:val="21"/>
                      <w:szCs w:val="21"/>
                      <w:highlight w:val="none"/>
                      <w:shd w:val="clear" w:fill="FFFFFF"/>
                      <w:vertAlign w:val="superscript"/>
                    </w:rPr>
                    <w:t>3</w:t>
                  </w:r>
                  <w:r>
                    <w:rPr>
                      <w:rFonts w:hint="eastAsia" w:ascii="Times New Roman" w:hAnsi="Times New Roman" w:eastAsia="Helvetica" w:cs="Times New Roman"/>
                      <w:i w:val="0"/>
                      <w:iCs w:val="0"/>
                      <w:caps w:val="0"/>
                      <w:snapToGrid w:val="0"/>
                      <w:color w:val="auto"/>
                      <w:spacing w:val="0"/>
                      <w:sz w:val="21"/>
                      <w:szCs w:val="21"/>
                      <w:highlight w:val="none"/>
                      <w:shd w:val="clear" w:fill="FFFFFF"/>
                    </w:rPr>
                    <w:t>（大鼠吸入，2h）</w:t>
                  </w:r>
                </w:p>
              </w:tc>
            </w:tr>
            <w:tr w14:paraId="01A690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noWrap w:val="0"/>
                  <w:vAlign w:val="center"/>
                </w:tcPr>
                <w:p w14:paraId="5E1ABB5C">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snapToGrid w:val="0"/>
                      <w:color w:val="000000"/>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异丁醛</w:t>
                  </w:r>
                </w:p>
              </w:tc>
              <w:tc>
                <w:tcPr>
                  <w:tcW w:w="1142" w:type="dxa"/>
                  <w:tcBorders>
                    <w:tl2br w:val="nil"/>
                    <w:tr2bl w:val="nil"/>
                  </w:tcBorders>
                  <w:noWrap w:val="0"/>
                  <w:vAlign w:val="center"/>
                </w:tcPr>
                <w:p w14:paraId="1695D5C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Helvetica" w:hAnsi="Helvetica" w:eastAsia="Helvetica" w:cs="Helvetica"/>
                      <w:i w:val="0"/>
                      <w:iCs w:val="0"/>
                      <w:caps w:val="0"/>
                      <w:snapToGrid w:val="0"/>
                      <w:color w:val="auto"/>
                      <w:spacing w:val="0"/>
                      <w:sz w:val="21"/>
                      <w:szCs w:val="21"/>
                      <w:highlight w:val="none"/>
                      <w:shd w:val="clear" w:fill="FFFFFF"/>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C</w:t>
                  </w:r>
                  <w:r>
                    <w:rPr>
                      <w:rFonts w:hint="default" w:ascii="Times New Roman" w:hAnsi="Times New Roman" w:eastAsia="Helvetica" w:cs="Times New Roman"/>
                      <w:i w:val="0"/>
                      <w:iCs w:val="0"/>
                      <w:caps w:val="0"/>
                      <w:snapToGrid w:val="0"/>
                      <w:color w:val="auto"/>
                      <w:spacing w:val="0"/>
                      <w:sz w:val="15"/>
                      <w:szCs w:val="15"/>
                      <w:highlight w:val="none"/>
                      <w:shd w:val="clear" w:fill="FFFFFF"/>
                      <w:vertAlign w:val="baseline"/>
                    </w:rPr>
                    <w:t>4</w:t>
                  </w:r>
                  <w:r>
                    <w:rPr>
                      <w:rFonts w:hint="default" w:ascii="Times New Roman" w:hAnsi="Times New Roman" w:eastAsia="Helvetica" w:cs="Times New Roman"/>
                      <w:i w:val="0"/>
                      <w:iCs w:val="0"/>
                      <w:caps w:val="0"/>
                      <w:snapToGrid w:val="0"/>
                      <w:color w:val="auto"/>
                      <w:spacing w:val="0"/>
                      <w:sz w:val="21"/>
                      <w:szCs w:val="21"/>
                      <w:highlight w:val="none"/>
                      <w:shd w:val="clear" w:fill="FFFFFF"/>
                    </w:rPr>
                    <w:t>H</w:t>
                  </w:r>
                  <w:r>
                    <w:rPr>
                      <w:rFonts w:hint="default" w:ascii="Times New Roman" w:hAnsi="Times New Roman" w:eastAsia="Helvetica" w:cs="Times New Roman"/>
                      <w:i w:val="0"/>
                      <w:iCs w:val="0"/>
                      <w:caps w:val="0"/>
                      <w:snapToGrid w:val="0"/>
                      <w:color w:val="auto"/>
                      <w:spacing w:val="0"/>
                      <w:sz w:val="15"/>
                      <w:szCs w:val="15"/>
                      <w:highlight w:val="none"/>
                      <w:shd w:val="clear" w:fill="FFFFFF"/>
                      <w:vertAlign w:val="baseline"/>
                    </w:rPr>
                    <w:t>8</w:t>
                  </w:r>
                  <w:r>
                    <w:rPr>
                      <w:rFonts w:hint="default" w:ascii="Times New Roman" w:hAnsi="Times New Roman" w:eastAsia="Helvetica" w:cs="Times New Roman"/>
                      <w:i w:val="0"/>
                      <w:iCs w:val="0"/>
                      <w:caps w:val="0"/>
                      <w:snapToGrid w:val="0"/>
                      <w:color w:val="auto"/>
                      <w:spacing w:val="0"/>
                      <w:sz w:val="21"/>
                      <w:szCs w:val="21"/>
                      <w:highlight w:val="none"/>
                      <w:shd w:val="clear" w:fill="FFFFFF"/>
                    </w:rPr>
                    <w:t>O</w:t>
                  </w:r>
                </w:p>
              </w:tc>
              <w:tc>
                <w:tcPr>
                  <w:tcW w:w="2758" w:type="dxa"/>
                  <w:tcBorders>
                    <w:tl2br w:val="nil"/>
                    <w:tr2bl w:val="nil"/>
                  </w:tcBorders>
                  <w:noWrap w:val="0"/>
                  <w:vAlign w:val="center"/>
                </w:tcPr>
                <w:p w14:paraId="271B4807">
                  <w:pPr>
                    <w:pStyle w:val="3"/>
                    <w:spacing w:line="240" w:lineRule="auto"/>
                    <w:rPr>
                      <w:rFonts w:hint="eastAsia" w:ascii="Times New Roman" w:hAnsi="Times New Roman" w:eastAsia="宋体" w:cs="Times New Roman"/>
                      <w:i w:val="0"/>
                      <w:iCs w:val="0"/>
                      <w:caps w:val="0"/>
                      <w:snapToGrid w:val="0"/>
                      <w:color w:val="auto"/>
                      <w:spacing w:val="0"/>
                      <w:sz w:val="21"/>
                      <w:szCs w:val="21"/>
                      <w:highlight w:val="none"/>
                      <w:shd w:val="clear" w:fill="FFFFFF"/>
                      <w:vertAlign w:val="superscript"/>
                      <w:lang w:val="en-US"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密度</w:t>
                  </w:r>
                  <w:r>
                    <w:rPr>
                      <w:rFonts w:hint="eastAsia" w:eastAsia="宋体" w:cs="Times New Roman"/>
                      <w:i w:val="0"/>
                      <w:iCs w:val="0"/>
                      <w:caps w:val="0"/>
                      <w:snapToGrid w:val="0"/>
                      <w:color w:val="auto"/>
                      <w:spacing w:val="0"/>
                      <w:sz w:val="21"/>
                      <w:szCs w:val="21"/>
                      <w:highlight w:val="none"/>
                      <w:shd w:val="clear" w:fill="FFFFFF"/>
                      <w:lang w:eastAsia="zh-CN"/>
                    </w:rPr>
                    <w:t>：</w:t>
                  </w:r>
                  <w:r>
                    <w:rPr>
                      <w:rFonts w:hint="eastAsia" w:ascii="Times New Roman" w:hAnsi="Times New Roman" w:eastAsia="Helvetica" w:cs="Times New Roman"/>
                      <w:i w:val="0"/>
                      <w:iCs w:val="0"/>
                      <w:caps w:val="0"/>
                      <w:snapToGrid w:val="0"/>
                      <w:color w:val="auto"/>
                      <w:spacing w:val="0"/>
                      <w:sz w:val="21"/>
                      <w:szCs w:val="21"/>
                      <w:highlight w:val="none"/>
                      <w:shd w:val="clear" w:fill="FFFFFF"/>
                    </w:rPr>
                    <w:t>0.79 g/cm</w:t>
                  </w:r>
                  <w:r>
                    <w:rPr>
                      <w:rFonts w:hint="eastAsia" w:eastAsia="宋体" w:cs="Times New Roman"/>
                      <w:i w:val="0"/>
                      <w:iCs w:val="0"/>
                      <w:caps w:val="0"/>
                      <w:snapToGrid w:val="0"/>
                      <w:color w:val="auto"/>
                      <w:spacing w:val="0"/>
                      <w:sz w:val="21"/>
                      <w:szCs w:val="21"/>
                      <w:highlight w:val="none"/>
                      <w:shd w:val="clear" w:fill="FFFFFF"/>
                      <w:vertAlign w:val="superscript"/>
                      <w:lang w:val="en-US" w:eastAsia="zh-CN"/>
                    </w:rPr>
                    <w:t>3</w:t>
                  </w:r>
                </w:p>
                <w:p w14:paraId="09BA3CCB">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外观</w:t>
                  </w:r>
                  <w:r>
                    <w:rPr>
                      <w:rFonts w:hint="eastAsia" w:eastAsia="宋体" w:cs="Times New Roman"/>
                      <w:i w:val="0"/>
                      <w:iCs w:val="0"/>
                      <w:caps w:val="0"/>
                      <w:snapToGrid w:val="0"/>
                      <w:color w:val="auto"/>
                      <w:spacing w:val="0"/>
                      <w:sz w:val="21"/>
                      <w:szCs w:val="21"/>
                      <w:highlight w:val="none"/>
                      <w:shd w:val="clear" w:fill="FFFFFF"/>
                      <w:lang w:eastAsia="zh-CN"/>
                    </w:rPr>
                    <w:t>：</w:t>
                  </w:r>
                  <w:r>
                    <w:rPr>
                      <w:rFonts w:hint="eastAsia" w:ascii="Times New Roman" w:hAnsi="Times New Roman" w:eastAsia="Helvetica" w:cs="Times New Roman"/>
                      <w:i w:val="0"/>
                      <w:iCs w:val="0"/>
                      <w:caps w:val="0"/>
                      <w:snapToGrid w:val="0"/>
                      <w:color w:val="auto"/>
                      <w:spacing w:val="0"/>
                      <w:sz w:val="21"/>
                      <w:szCs w:val="21"/>
                      <w:highlight w:val="none"/>
                      <w:shd w:val="clear" w:fill="FFFFFF"/>
                    </w:rPr>
                    <w:t>无色透明液体</w:t>
                  </w:r>
                </w:p>
                <w:p w14:paraId="2195B745">
                  <w:pPr>
                    <w:rPr>
                      <w:rFonts w:hint="eastAsia" w:eastAsia="宋体"/>
                      <w:snapToGrid w:val="0"/>
                      <w:color w:val="auto"/>
                      <w:highlight w:val="none"/>
                      <w:lang w:val="en-US" w:eastAsia="zh-CN"/>
                    </w:rPr>
                  </w:pPr>
                  <w:r>
                    <w:rPr>
                      <w:rFonts w:hint="eastAsia"/>
                      <w:snapToGrid w:val="0"/>
                      <w:color w:val="auto"/>
                      <w:highlight w:val="none"/>
                    </w:rPr>
                    <w:t>溶解性：溶于乙醇</w:t>
                  </w:r>
                  <w:r>
                    <w:rPr>
                      <w:rFonts w:hint="eastAsia"/>
                      <w:snapToGrid w:val="0"/>
                      <w:color w:val="auto"/>
                      <w:highlight w:val="none"/>
                      <w:lang w:val="en-US" w:eastAsia="zh-CN"/>
                    </w:rPr>
                    <w:t>等</w:t>
                  </w:r>
                </w:p>
              </w:tc>
              <w:tc>
                <w:tcPr>
                  <w:tcW w:w="1296" w:type="dxa"/>
                  <w:tcBorders>
                    <w:tl2br w:val="nil"/>
                    <w:tr2bl w:val="nil"/>
                  </w:tcBorders>
                  <w:shd w:val="clear" w:color="auto" w:fill="auto"/>
                  <w:noWrap w:val="0"/>
                  <w:vAlign w:val="center"/>
                </w:tcPr>
                <w:p w14:paraId="473953A3">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爆炸上限（V/V）：10.6%</w:t>
                  </w:r>
                </w:p>
                <w:p w14:paraId="45A923BA">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爆炸下限（V/V）：1.6%</w:t>
                  </w:r>
                </w:p>
              </w:tc>
              <w:tc>
                <w:tcPr>
                  <w:tcW w:w="1618" w:type="dxa"/>
                  <w:tcBorders>
                    <w:tl2br w:val="nil"/>
                    <w:tr2bl w:val="nil"/>
                  </w:tcBorders>
                  <w:shd w:val="clear" w:color="auto" w:fill="auto"/>
                  <w:noWrap w:val="0"/>
                  <w:vAlign w:val="center"/>
                </w:tcPr>
                <w:p w14:paraId="58305D88">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LD50：960mg/kg（大鼠经口）；7130μL(5632.7mg)/kg（兔经皮）</w:t>
                  </w:r>
                </w:p>
                <w:p w14:paraId="23B7FF7E">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LC50：39500mg/m</w:t>
                  </w:r>
                  <w:r>
                    <w:rPr>
                      <w:rFonts w:hint="eastAsia" w:ascii="Times New Roman" w:hAnsi="Times New Roman" w:eastAsia="Helvetica" w:cs="Times New Roman"/>
                      <w:i w:val="0"/>
                      <w:iCs w:val="0"/>
                      <w:caps w:val="0"/>
                      <w:snapToGrid w:val="0"/>
                      <w:color w:val="auto"/>
                      <w:spacing w:val="0"/>
                      <w:sz w:val="21"/>
                      <w:szCs w:val="21"/>
                      <w:highlight w:val="none"/>
                      <w:shd w:val="clear" w:fill="FFFFFF"/>
                      <w:vertAlign w:val="superscript"/>
                    </w:rPr>
                    <w:t>3</w:t>
                  </w:r>
                  <w:r>
                    <w:rPr>
                      <w:rFonts w:hint="eastAsia" w:ascii="Times New Roman" w:hAnsi="Times New Roman" w:eastAsia="Helvetica" w:cs="Times New Roman"/>
                      <w:i w:val="0"/>
                      <w:iCs w:val="0"/>
                      <w:caps w:val="0"/>
                      <w:snapToGrid w:val="0"/>
                      <w:color w:val="auto"/>
                      <w:spacing w:val="0"/>
                      <w:sz w:val="21"/>
                      <w:szCs w:val="21"/>
                      <w:highlight w:val="none"/>
                      <w:shd w:val="clear" w:fill="FFFFFF"/>
                    </w:rPr>
                    <w:t>（小鼠吸入，2h）</w:t>
                  </w:r>
                </w:p>
              </w:tc>
            </w:tr>
            <w:tr w14:paraId="7D1A42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shd w:val="clear" w:color="auto" w:fill="auto"/>
                  <w:noWrap w:val="0"/>
                  <w:vAlign w:val="center"/>
                </w:tcPr>
                <w:p w14:paraId="1C1C98D6">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2'-脱氧胞苷</w:t>
                  </w:r>
                </w:p>
              </w:tc>
              <w:tc>
                <w:tcPr>
                  <w:tcW w:w="1142" w:type="dxa"/>
                  <w:tcBorders>
                    <w:tl2br w:val="nil"/>
                    <w:tr2bl w:val="nil"/>
                  </w:tcBorders>
                  <w:noWrap w:val="0"/>
                  <w:vAlign w:val="center"/>
                </w:tcPr>
                <w:p w14:paraId="0C72629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snapToGrid w:val="0"/>
                      <w:color w:val="auto"/>
                      <w:sz w:val="21"/>
                      <w:szCs w:val="21"/>
                      <w:highlight w:val="none"/>
                    </w:rPr>
                    <w:t>C₉H₁₃N₃O₄</w:t>
                  </w:r>
                </w:p>
              </w:tc>
              <w:tc>
                <w:tcPr>
                  <w:tcW w:w="2758" w:type="dxa"/>
                  <w:tcBorders>
                    <w:tl2br w:val="nil"/>
                    <w:tr2bl w:val="nil"/>
                  </w:tcBorders>
                  <w:noWrap w:val="0"/>
                  <w:vAlign w:val="center"/>
                </w:tcPr>
                <w:p w14:paraId="5C623D50">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白色至类白色固体</w:t>
                  </w:r>
                </w:p>
              </w:tc>
              <w:tc>
                <w:tcPr>
                  <w:tcW w:w="1296" w:type="dxa"/>
                  <w:tcBorders>
                    <w:tl2br w:val="nil"/>
                    <w:tr2bl w:val="nil"/>
                  </w:tcBorders>
                  <w:shd w:val="clear" w:color="auto" w:fill="auto"/>
                  <w:noWrap w:val="0"/>
                  <w:vAlign w:val="center"/>
                </w:tcPr>
                <w:p w14:paraId="1C2B0653">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234A1EE1">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726C45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shd w:val="clear" w:color="auto" w:fill="auto"/>
                  <w:noWrap w:val="0"/>
                  <w:vAlign w:val="center"/>
                </w:tcPr>
                <w:p w14:paraId="60A263C2">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对硝基苯基氯甲酸酯</w:t>
                  </w:r>
                </w:p>
              </w:tc>
              <w:tc>
                <w:tcPr>
                  <w:tcW w:w="1142" w:type="dxa"/>
                  <w:tcBorders>
                    <w:tl2br w:val="nil"/>
                    <w:tr2bl w:val="nil"/>
                  </w:tcBorders>
                  <w:noWrap w:val="0"/>
                  <w:vAlign w:val="center"/>
                </w:tcPr>
                <w:p w14:paraId="1FBE8E8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C</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7</w:t>
                  </w:r>
                  <w:r>
                    <w:rPr>
                      <w:rFonts w:hint="default" w:ascii="Times New Roman" w:hAnsi="Times New Roman" w:eastAsia="Helvetica" w:cs="Times New Roman"/>
                      <w:i w:val="0"/>
                      <w:iCs w:val="0"/>
                      <w:caps w:val="0"/>
                      <w:snapToGrid w:val="0"/>
                      <w:color w:val="auto"/>
                      <w:spacing w:val="0"/>
                      <w:sz w:val="21"/>
                      <w:szCs w:val="21"/>
                      <w:highlight w:val="none"/>
                      <w:shd w:val="clear" w:fill="FFFFFF"/>
                    </w:rPr>
                    <w:t>H</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4</w:t>
                  </w:r>
                  <w:r>
                    <w:rPr>
                      <w:rFonts w:hint="default" w:ascii="Times New Roman" w:hAnsi="Times New Roman" w:eastAsia="Helvetica" w:cs="Times New Roman"/>
                      <w:i w:val="0"/>
                      <w:iCs w:val="0"/>
                      <w:caps w:val="0"/>
                      <w:snapToGrid w:val="0"/>
                      <w:color w:val="auto"/>
                      <w:spacing w:val="0"/>
                      <w:sz w:val="21"/>
                      <w:szCs w:val="21"/>
                      <w:highlight w:val="none"/>
                      <w:shd w:val="clear" w:fill="FFFFFF"/>
                    </w:rPr>
                    <w:t>ClNO</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4</w:t>
                  </w:r>
                </w:p>
              </w:tc>
              <w:tc>
                <w:tcPr>
                  <w:tcW w:w="2758" w:type="dxa"/>
                  <w:tcBorders>
                    <w:tl2br w:val="nil"/>
                    <w:tr2bl w:val="nil"/>
                  </w:tcBorders>
                  <w:noWrap w:val="0"/>
                  <w:vAlign w:val="center"/>
                </w:tcPr>
                <w:p w14:paraId="50141919">
                  <w:pPr>
                    <w:pStyle w:val="3"/>
                    <w:spacing w:line="240" w:lineRule="auto"/>
                    <w:rPr>
                      <w:rFonts w:hint="eastAsia" w:eastAsia="宋体" w:cs="Times New Roman"/>
                      <w:i w:val="0"/>
                      <w:iCs w:val="0"/>
                      <w:caps w:val="0"/>
                      <w:snapToGrid w:val="0"/>
                      <w:color w:val="auto"/>
                      <w:spacing w:val="0"/>
                      <w:sz w:val="21"/>
                      <w:szCs w:val="21"/>
                      <w:highlight w:val="none"/>
                      <w:shd w:val="clear" w:fill="FFFFFF"/>
                      <w:lang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熔点77-79 °C(lit.)</w:t>
                  </w:r>
                  <w:r>
                    <w:rPr>
                      <w:rFonts w:hint="eastAsia" w:eastAsia="宋体" w:cs="Times New Roman"/>
                      <w:i w:val="0"/>
                      <w:iCs w:val="0"/>
                      <w:caps w:val="0"/>
                      <w:snapToGrid w:val="0"/>
                      <w:color w:val="auto"/>
                      <w:spacing w:val="0"/>
                      <w:sz w:val="21"/>
                      <w:szCs w:val="21"/>
                      <w:highlight w:val="none"/>
                      <w:shd w:val="clear" w:fill="FFFFFF"/>
                      <w:lang w:eastAsia="zh-CN"/>
                    </w:rPr>
                    <w:t>；</w:t>
                  </w:r>
                </w:p>
                <w:p w14:paraId="1ED34FAD">
                  <w:pPr>
                    <w:pStyle w:val="3"/>
                    <w:spacing w:line="240" w:lineRule="auto"/>
                    <w:rPr>
                      <w:rFonts w:hint="eastAsia" w:eastAsia="宋体" w:cs="Times New Roman"/>
                      <w:i w:val="0"/>
                      <w:iCs w:val="0"/>
                      <w:caps w:val="0"/>
                      <w:snapToGrid w:val="0"/>
                      <w:color w:val="auto"/>
                      <w:spacing w:val="0"/>
                      <w:sz w:val="21"/>
                      <w:szCs w:val="21"/>
                      <w:highlight w:val="none"/>
                      <w:shd w:val="clear" w:fill="FFFFFF"/>
                      <w:vertAlign w:val="baseline"/>
                      <w:lang w:val="en-US"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沸点159-162</w:t>
                  </w:r>
                  <w:r>
                    <w:rPr>
                      <w:rFonts w:hint="eastAsia" w:eastAsia="宋体" w:cs="Times New Roman"/>
                      <w:i w:val="0"/>
                      <w:iCs w:val="0"/>
                      <w:caps w:val="0"/>
                      <w:snapToGrid w:val="0"/>
                      <w:color w:val="auto"/>
                      <w:spacing w:val="0"/>
                      <w:sz w:val="21"/>
                      <w:szCs w:val="21"/>
                      <w:highlight w:val="none"/>
                      <w:shd w:val="clear" w:fill="FFFFFF"/>
                      <w:lang w:val="en-US" w:eastAsia="zh-CN"/>
                    </w:rPr>
                    <w:t>℃</w:t>
                  </w:r>
                  <w:r>
                    <w:rPr>
                      <w:rFonts w:hint="eastAsia" w:ascii="Times New Roman" w:hAnsi="Times New Roman" w:eastAsia="Helvetica" w:cs="Times New Roman"/>
                      <w:i w:val="0"/>
                      <w:iCs w:val="0"/>
                      <w:caps w:val="0"/>
                      <w:snapToGrid w:val="0"/>
                      <w:color w:val="auto"/>
                      <w:spacing w:val="0"/>
                      <w:sz w:val="21"/>
                      <w:szCs w:val="21"/>
                      <w:highlight w:val="none"/>
                      <w:shd w:val="clear" w:fill="FFFFFF"/>
                    </w:rPr>
                    <w:t> mm Hg(lit.)密度1.5719 g/cm</w:t>
                  </w:r>
                  <w:r>
                    <w:rPr>
                      <w:rFonts w:hint="eastAsia" w:eastAsia="宋体" w:cs="Times New Roman"/>
                      <w:i w:val="0"/>
                      <w:iCs w:val="0"/>
                      <w:caps w:val="0"/>
                      <w:snapToGrid w:val="0"/>
                      <w:color w:val="auto"/>
                      <w:spacing w:val="0"/>
                      <w:sz w:val="21"/>
                      <w:szCs w:val="21"/>
                      <w:highlight w:val="none"/>
                      <w:shd w:val="clear" w:fill="FFFFFF"/>
                      <w:vertAlign w:val="superscript"/>
                      <w:lang w:val="en-US" w:eastAsia="zh-CN"/>
                    </w:rPr>
                    <w:t>3</w:t>
                  </w:r>
                </w:p>
                <w:p w14:paraId="654312F0">
                  <w:pPr>
                    <w:rPr>
                      <w:rFonts w:hint="eastAsia" w:eastAsia="宋体"/>
                      <w:snapToGrid w:val="0"/>
                      <w:color w:val="auto"/>
                      <w:highlight w:val="none"/>
                      <w:lang w:val="en-US" w:eastAsia="zh-CN"/>
                    </w:rPr>
                  </w:pPr>
                  <w:r>
                    <w:rPr>
                      <w:rFonts w:hint="eastAsia" w:ascii="Times New Roman" w:hAnsi="Times New Roman" w:eastAsia="宋体" w:cs="Times New Roman"/>
                      <w:i w:val="0"/>
                      <w:iCs w:val="0"/>
                      <w:caps w:val="0"/>
                      <w:snapToGrid w:val="0"/>
                      <w:color w:val="auto"/>
                      <w:spacing w:val="0"/>
                      <w:kern w:val="2"/>
                      <w:sz w:val="21"/>
                      <w:szCs w:val="21"/>
                      <w:highlight w:val="none"/>
                      <w:shd w:val="clear" w:fill="FFFFFF"/>
                      <w:lang w:val="en-US" w:eastAsia="zh-CN" w:bidi="ar-SA"/>
                    </w:rPr>
                    <w:t>外观：</w:t>
                  </w:r>
                  <w:r>
                    <w:rPr>
                      <w:rFonts w:hint="default" w:ascii="Times New Roman" w:hAnsi="Times New Roman" w:eastAsia="宋体" w:cs="Times New Roman"/>
                      <w:i w:val="0"/>
                      <w:iCs w:val="0"/>
                      <w:caps w:val="0"/>
                      <w:snapToGrid w:val="0"/>
                      <w:color w:val="auto"/>
                      <w:spacing w:val="0"/>
                      <w:kern w:val="2"/>
                      <w:sz w:val="21"/>
                      <w:szCs w:val="21"/>
                      <w:highlight w:val="none"/>
                      <w:shd w:val="clear" w:fill="FFFFFF"/>
                      <w:lang w:val="en-US" w:eastAsia="zh-CN" w:bidi="ar-SA"/>
                    </w:rPr>
                    <w:t>白色至黄米色</w:t>
                  </w:r>
                  <w:r>
                    <w:rPr>
                      <w:rFonts w:hint="eastAsia" w:ascii="Times New Roman" w:hAnsi="Times New Roman" w:eastAsia="宋体" w:cs="Times New Roman"/>
                      <w:i w:val="0"/>
                      <w:iCs w:val="0"/>
                      <w:caps w:val="0"/>
                      <w:snapToGrid w:val="0"/>
                      <w:color w:val="auto"/>
                      <w:spacing w:val="0"/>
                      <w:kern w:val="2"/>
                      <w:sz w:val="21"/>
                      <w:szCs w:val="21"/>
                      <w:highlight w:val="none"/>
                      <w:shd w:val="clear" w:fill="FFFFFF"/>
                      <w:lang w:val="en-US" w:eastAsia="zh-CN" w:bidi="ar-SA"/>
                    </w:rPr>
                    <w:t>固体</w:t>
                  </w:r>
                </w:p>
              </w:tc>
              <w:tc>
                <w:tcPr>
                  <w:tcW w:w="1296" w:type="dxa"/>
                  <w:tcBorders>
                    <w:tl2br w:val="nil"/>
                    <w:tr2bl w:val="nil"/>
                  </w:tcBorders>
                  <w:shd w:val="clear" w:color="auto" w:fill="auto"/>
                  <w:noWrap w:val="0"/>
                  <w:vAlign w:val="center"/>
                </w:tcPr>
                <w:p w14:paraId="16A10818">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28CF447B">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0510CF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shd w:val="clear" w:color="auto" w:fill="auto"/>
                  <w:noWrap w:val="0"/>
                  <w:vAlign w:val="center"/>
                </w:tcPr>
                <w:p w14:paraId="4981F05C">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反式-4-羟基-L-脯氨酸甲酯盐酸盐</w:t>
                  </w:r>
                </w:p>
              </w:tc>
              <w:tc>
                <w:tcPr>
                  <w:tcW w:w="1142" w:type="dxa"/>
                  <w:tcBorders>
                    <w:tl2br w:val="nil"/>
                    <w:tr2bl w:val="nil"/>
                  </w:tcBorders>
                  <w:noWrap w:val="0"/>
                  <w:vAlign w:val="center"/>
                </w:tcPr>
                <w:p w14:paraId="67DD65B0">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C</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6</w:t>
                  </w:r>
                  <w:r>
                    <w:rPr>
                      <w:rFonts w:hint="default" w:ascii="Times New Roman" w:hAnsi="Times New Roman" w:eastAsia="Helvetica" w:cs="Times New Roman"/>
                      <w:i w:val="0"/>
                      <w:iCs w:val="0"/>
                      <w:caps w:val="0"/>
                      <w:snapToGrid w:val="0"/>
                      <w:color w:val="auto"/>
                      <w:spacing w:val="0"/>
                      <w:sz w:val="21"/>
                      <w:szCs w:val="21"/>
                      <w:highlight w:val="none"/>
                      <w:shd w:val="clear" w:fill="FFFFFF"/>
                    </w:rPr>
                    <w:t>H</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12</w:t>
                  </w:r>
                  <w:r>
                    <w:rPr>
                      <w:rFonts w:hint="default" w:ascii="Times New Roman" w:hAnsi="Times New Roman" w:eastAsia="Helvetica" w:cs="Times New Roman"/>
                      <w:i w:val="0"/>
                      <w:iCs w:val="0"/>
                      <w:caps w:val="0"/>
                      <w:snapToGrid w:val="0"/>
                      <w:color w:val="auto"/>
                      <w:spacing w:val="0"/>
                      <w:sz w:val="21"/>
                      <w:szCs w:val="21"/>
                      <w:highlight w:val="none"/>
                      <w:shd w:val="clear" w:fill="FFFFFF"/>
                    </w:rPr>
                    <w:t>ClNO</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3</w:t>
                  </w:r>
                </w:p>
              </w:tc>
              <w:tc>
                <w:tcPr>
                  <w:tcW w:w="2758" w:type="dxa"/>
                  <w:tcBorders>
                    <w:tl2br w:val="nil"/>
                    <w:tr2bl w:val="nil"/>
                  </w:tcBorders>
                  <w:noWrap w:val="0"/>
                  <w:vAlign w:val="center"/>
                </w:tcPr>
                <w:p w14:paraId="7DD2963C">
                  <w:pPr>
                    <w:pStyle w:val="3"/>
                    <w:spacing w:line="240" w:lineRule="auto"/>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c>
                <w:tcPr>
                  <w:tcW w:w="1296" w:type="dxa"/>
                  <w:tcBorders>
                    <w:tl2br w:val="nil"/>
                    <w:tr2bl w:val="nil"/>
                  </w:tcBorders>
                  <w:shd w:val="clear" w:color="auto" w:fill="auto"/>
                  <w:noWrap w:val="0"/>
                  <w:vAlign w:val="center"/>
                </w:tcPr>
                <w:p w14:paraId="184E7317">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55DB2F9E">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55937B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1086" w:hRule="atLeast"/>
              </w:trPr>
              <w:tc>
                <w:tcPr>
                  <w:tcW w:w="1044" w:type="dxa"/>
                  <w:tcBorders>
                    <w:tl2br w:val="nil"/>
                    <w:tr2bl w:val="nil"/>
                  </w:tcBorders>
                  <w:shd w:val="clear" w:color="auto" w:fill="auto"/>
                  <w:noWrap w:val="0"/>
                  <w:vAlign w:val="center"/>
                </w:tcPr>
                <w:p w14:paraId="18B5855F">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三甲硅烷基三氟甲磺酸酯</w:t>
                  </w:r>
                </w:p>
              </w:tc>
              <w:tc>
                <w:tcPr>
                  <w:tcW w:w="1142" w:type="dxa"/>
                  <w:tcBorders>
                    <w:tl2br w:val="nil"/>
                    <w:tr2bl w:val="nil"/>
                  </w:tcBorders>
                  <w:shd w:val="clear" w:color="auto" w:fill="auto"/>
                  <w:noWrap w:val="0"/>
                  <w:vAlign w:val="center"/>
                </w:tcPr>
                <w:p w14:paraId="5D9CC4CB">
                  <w:pPr>
                    <w:pStyle w:val="83"/>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Helvetica" w:cs="Times New Roman"/>
                      <w:i w:val="0"/>
                      <w:iCs w:val="0"/>
                      <w:caps w:val="0"/>
                      <w:snapToGrid w:val="0"/>
                      <w:color w:val="auto"/>
                      <w:spacing w:val="0"/>
                      <w:kern w:val="2"/>
                      <w:sz w:val="21"/>
                      <w:szCs w:val="21"/>
                      <w:highlight w:val="none"/>
                      <w:shd w:val="clear" w:fill="FFFFFF"/>
                      <w:lang w:val="en-US" w:eastAsia="en-US" w:bidi="ar-SA"/>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C</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18</w:t>
                  </w:r>
                  <w:r>
                    <w:rPr>
                      <w:rFonts w:hint="default" w:ascii="Times New Roman" w:hAnsi="Times New Roman" w:eastAsia="Helvetica" w:cs="Times New Roman"/>
                      <w:i w:val="0"/>
                      <w:iCs w:val="0"/>
                      <w:caps w:val="0"/>
                      <w:snapToGrid w:val="0"/>
                      <w:color w:val="auto"/>
                      <w:spacing w:val="0"/>
                      <w:sz w:val="21"/>
                      <w:szCs w:val="21"/>
                      <w:highlight w:val="none"/>
                      <w:shd w:val="clear" w:fill="FFFFFF"/>
                    </w:rPr>
                    <w:t>H</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3</w:t>
                  </w:r>
                  <w:r>
                    <w:rPr>
                      <w:rFonts w:hint="default" w:ascii="Times New Roman" w:hAnsi="Times New Roman" w:eastAsia="Helvetica" w:cs="Times New Roman"/>
                      <w:i w:val="0"/>
                      <w:iCs w:val="0"/>
                      <w:caps w:val="0"/>
                      <w:snapToGrid w:val="0"/>
                      <w:color w:val="auto"/>
                      <w:spacing w:val="0"/>
                      <w:sz w:val="21"/>
                      <w:szCs w:val="21"/>
                      <w:highlight w:val="none"/>
                      <w:shd w:val="clear" w:fill="FFFFFF"/>
                    </w:rPr>
                    <w:t>F</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35</w:t>
                  </w:r>
                  <w:r>
                    <w:rPr>
                      <w:rFonts w:hint="default" w:ascii="Times New Roman" w:hAnsi="Times New Roman" w:eastAsia="Helvetica" w:cs="Times New Roman"/>
                      <w:i w:val="0"/>
                      <w:iCs w:val="0"/>
                      <w:caps w:val="0"/>
                      <w:snapToGrid w:val="0"/>
                      <w:color w:val="auto"/>
                      <w:spacing w:val="0"/>
                      <w:sz w:val="21"/>
                      <w:szCs w:val="21"/>
                      <w:highlight w:val="none"/>
                      <w:shd w:val="clear" w:fill="FFFFFF"/>
                    </w:rPr>
                    <w:t>O</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6</w:t>
                  </w:r>
                </w:p>
              </w:tc>
              <w:tc>
                <w:tcPr>
                  <w:tcW w:w="2758" w:type="dxa"/>
                  <w:tcBorders>
                    <w:tl2br w:val="nil"/>
                    <w:tr2bl w:val="nil"/>
                  </w:tcBorders>
                  <w:shd w:val="clear" w:color="auto" w:fill="auto"/>
                  <w:noWrap w:val="0"/>
                  <w:vAlign w:val="center"/>
                </w:tcPr>
                <w:p w14:paraId="0C1EFCD4">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 xml:space="preserve">密度 ：1.228 g/mL </w:t>
                  </w:r>
                </w:p>
                <w:p w14:paraId="377719F2">
                  <w:pPr>
                    <w:pStyle w:val="3"/>
                    <w:spacing w:line="240" w:lineRule="auto"/>
                    <w:rPr>
                      <w:rFonts w:hint="eastAsia" w:ascii="Times New Roman" w:hAnsi="Times New Roman" w:eastAsia="宋体" w:cs="Times New Roman"/>
                      <w:i w:val="0"/>
                      <w:iCs w:val="0"/>
                      <w:caps w:val="0"/>
                      <w:snapToGrid w:val="0"/>
                      <w:color w:val="auto"/>
                      <w:spacing w:val="0"/>
                      <w:sz w:val="21"/>
                      <w:szCs w:val="21"/>
                      <w:highlight w:val="none"/>
                      <w:shd w:val="clear" w:fill="FFFFFF"/>
                      <w:lang w:val="en-US"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沸点： 77℃/80mmH</w:t>
                  </w:r>
                  <w:r>
                    <w:rPr>
                      <w:rFonts w:hint="eastAsia" w:eastAsia="宋体" w:cs="Times New Roman"/>
                      <w:i w:val="0"/>
                      <w:iCs w:val="0"/>
                      <w:caps w:val="0"/>
                      <w:snapToGrid w:val="0"/>
                      <w:color w:val="auto"/>
                      <w:spacing w:val="0"/>
                      <w:sz w:val="21"/>
                      <w:szCs w:val="21"/>
                      <w:highlight w:val="none"/>
                      <w:shd w:val="clear" w:fill="FFFFFF"/>
                      <w:lang w:val="en-US" w:eastAsia="zh-CN"/>
                    </w:rPr>
                    <w:t>g</w:t>
                  </w:r>
                </w:p>
                <w:p w14:paraId="7433A991">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外观： 无色至微带棕色液体</w:t>
                  </w:r>
                </w:p>
                <w:p w14:paraId="04AE5150">
                  <w:pPr>
                    <w:pStyle w:val="3"/>
                    <w:spacing w:line="240" w:lineRule="auto"/>
                    <w:rPr>
                      <w:rFonts w:hint="eastAsia" w:ascii="Times New Roman" w:hAnsi="Times New Roman" w:eastAsia="Helvetica" w:cs="Times New Roman"/>
                      <w:i w:val="0"/>
                      <w:iCs w:val="0"/>
                      <w:caps w:val="0"/>
                      <w:snapToGrid w:val="0"/>
                      <w:color w:val="auto"/>
                      <w:spacing w:val="0"/>
                      <w:kern w:val="2"/>
                      <w:sz w:val="21"/>
                      <w:szCs w:val="21"/>
                      <w:highlight w:val="none"/>
                      <w:shd w:val="clear" w:fill="FFFFFF"/>
                      <w:lang w:val="en-US" w:eastAsia="zh-CN" w:bidi="ar-SA"/>
                    </w:rPr>
                  </w:pPr>
                </w:p>
              </w:tc>
              <w:tc>
                <w:tcPr>
                  <w:tcW w:w="1296" w:type="dxa"/>
                  <w:tcBorders>
                    <w:tl2br w:val="nil"/>
                    <w:tr2bl w:val="nil"/>
                  </w:tcBorders>
                  <w:shd w:val="clear" w:color="auto" w:fill="auto"/>
                  <w:noWrap w:val="0"/>
                  <w:vAlign w:val="center"/>
                </w:tcPr>
                <w:p w14:paraId="3D238866">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5D35BCF0">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619182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shd w:val="clear" w:color="auto" w:fill="auto"/>
                  <w:noWrap w:val="0"/>
                  <w:vAlign w:val="center"/>
                </w:tcPr>
                <w:p w14:paraId="116AA231">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(2S,4R)-4-羟基吡咯烷-2-羧酸</w:t>
                  </w:r>
                </w:p>
              </w:tc>
              <w:tc>
                <w:tcPr>
                  <w:tcW w:w="1142" w:type="dxa"/>
                  <w:tcBorders>
                    <w:tl2br w:val="nil"/>
                    <w:tr2bl w:val="nil"/>
                  </w:tcBorders>
                  <w:noWrap w:val="0"/>
                  <w:vAlign w:val="center"/>
                </w:tcPr>
                <w:p w14:paraId="37FEF72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snapToGrid w:val="0"/>
                      <w:color w:val="auto"/>
                      <w:sz w:val="21"/>
                      <w:szCs w:val="21"/>
                      <w:highlight w:val="none"/>
                    </w:rPr>
                    <w:t>C</w:t>
                  </w:r>
                  <w:r>
                    <w:rPr>
                      <w:rFonts w:hint="default" w:ascii="Times New Roman" w:hAnsi="Times New Roman" w:eastAsia="宋体" w:cs="Times New Roman"/>
                      <w:snapToGrid w:val="0"/>
                      <w:color w:val="auto"/>
                      <w:sz w:val="21"/>
                      <w:szCs w:val="21"/>
                      <w:highlight w:val="none"/>
                      <w:vertAlign w:val="subscript"/>
                    </w:rPr>
                    <w:t>5</w:t>
                  </w:r>
                  <w:r>
                    <w:rPr>
                      <w:rFonts w:hint="default" w:ascii="Times New Roman" w:hAnsi="Times New Roman" w:eastAsia="宋体" w:cs="Times New Roman"/>
                      <w:snapToGrid w:val="0"/>
                      <w:color w:val="auto"/>
                      <w:sz w:val="21"/>
                      <w:szCs w:val="21"/>
                      <w:highlight w:val="none"/>
                    </w:rPr>
                    <w:t>H</w:t>
                  </w:r>
                  <w:r>
                    <w:rPr>
                      <w:rFonts w:hint="default" w:ascii="Times New Roman" w:hAnsi="Times New Roman" w:eastAsia="宋体" w:cs="Times New Roman"/>
                      <w:snapToGrid w:val="0"/>
                      <w:color w:val="auto"/>
                      <w:sz w:val="21"/>
                      <w:szCs w:val="21"/>
                      <w:highlight w:val="none"/>
                      <w:vertAlign w:val="subscript"/>
                    </w:rPr>
                    <w:t>9</w:t>
                  </w:r>
                  <w:r>
                    <w:rPr>
                      <w:rFonts w:hint="default" w:ascii="Times New Roman" w:hAnsi="Times New Roman" w:eastAsia="宋体" w:cs="Times New Roman"/>
                      <w:snapToGrid w:val="0"/>
                      <w:color w:val="auto"/>
                      <w:sz w:val="21"/>
                      <w:szCs w:val="21"/>
                      <w:highlight w:val="none"/>
                    </w:rPr>
                    <w:t>NO</w:t>
                  </w:r>
                  <w:r>
                    <w:rPr>
                      <w:rFonts w:hint="default" w:ascii="Times New Roman" w:hAnsi="Times New Roman" w:eastAsia="宋体" w:cs="Times New Roman"/>
                      <w:snapToGrid w:val="0"/>
                      <w:color w:val="auto"/>
                      <w:sz w:val="21"/>
                      <w:szCs w:val="21"/>
                      <w:highlight w:val="none"/>
                      <w:vertAlign w:val="subscript"/>
                    </w:rPr>
                    <w:t>3</w:t>
                  </w:r>
                </w:p>
              </w:tc>
              <w:tc>
                <w:tcPr>
                  <w:tcW w:w="2758" w:type="dxa"/>
                  <w:tcBorders>
                    <w:tl2br w:val="nil"/>
                    <w:tr2bl w:val="nil"/>
                  </w:tcBorders>
                  <w:noWrap w:val="0"/>
                  <w:vAlign w:val="center"/>
                </w:tcPr>
                <w:p w14:paraId="77570229">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熔点</w:t>
                  </w:r>
                  <w:r>
                    <w:rPr>
                      <w:rFonts w:hint="eastAsia" w:eastAsia="宋体" w:cs="Times New Roman"/>
                      <w:i w:val="0"/>
                      <w:iCs w:val="0"/>
                      <w:caps w:val="0"/>
                      <w:snapToGrid w:val="0"/>
                      <w:color w:val="auto"/>
                      <w:spacing w:val="0"/>
                      <w:sz w:val="21"/>
                      <w:szCs w:val="21"/>
                      <w:highlight w:val="none"/>
                      <w:shd w:val="clear" w:fill="FFFFFF"/>
                      <w:lang w:eastAsia="zh-CN"/>
                    </w:rPr>
                    <w:t>：</w:t>
                  </w:r>
                  <w:r>
                    <w:rPr>
                      <w:rFonts w:hint="eastAsia" w:ascii="Times New Roman" w:hAnsi="Times New Roman" w:eastAsia="Helvetica" w:cs="Times New Roman"/>
                      <w:i w:val="0"/>
                      <w:iCs w:val="0"/>
                      <w:caps w:val="0"/>
                      <w:snapToGrid w:val="0"/>
                      <w:color w:val="auto"/>
                      <w:spacing w:val="0"/>
                      <w:sz w:val="21"/>
                      <w:szCs w:val="21"/>
                      <w:highlight w:val="none"/>
                      <w:shd w:val="clear" w:fill="FFFFFF"/>
                    </w:rPr>
                    <w:t>260°C</w:t>
                  </w:r>
                </w:p>
                <w:p w14:paraId="0D1CC9A3">
                  <w:pPr>
                    <w:pStyle w:val="3"/>
                    <w:spacing w:line="240" w:lineRule="auto"/>
                    <w:rPr>
                      <w:rFonts w:hint="eastAsia" w:eastAsia="宋体" w:cs="Times New Roman"/>
                      <w:i w:val="0"/>
                      <w:iCs w:val="0"/>
                      <w:caps w:val="0"/>
                      <w:snapToGrid w:val="0"/>
                      <w:color w:val="auto"/>
                      <w:spacing w:val="0"/>
                      <w:sz w:val="21"/>
                      <w:szCs w:val="21"/>
                      <w:highlight w:val="none"/>
                      <w:shd w:val="clear" w:fill="FFFFFF"/>
                      <w:lang w:val="en-US" w:eastAsia="zh-CN"/>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沸</w:t>
                  </w:r>
                  <w:r>
                    <w:rPr>
                      <w:rFonts w:hint="eastAsia" w:eastAsia="宋体" w:cs="Times New Roman"/>
                      <w:i w:val="0"/>
                      <w:iCs w:val="0"/>
                      <w:caps w:val="0"/>
                      <w:snapToGrid w:val="0"/>
                      <w:color w:val="auto"/>
                      <w:spacing w:val="0"/>
                      <w:sz w:val="21"/>
                      <w:szCs w:val="21"/>
                      <w:highlight w:val="none"/>
                      <w:shd w:val="clear" w:fill="FFFFFF"/>
                      <w:lang w:val="en-US" w:eastAsia="zh-CN"/>
                    </w:rPr>
                    <w:t>点：</w:t>
                  </w:r>
                  <w:r>
                    <w:rPr>
                      <w:rFonts w:hint="eastAsia" w:ascii="Times New Roman" w:hAnsi="Times New Roman" w:eastAsia="Helvetica" w:cs="Times New Roman"/>
                      <w:i w:val="0"/>
                      <w:iCs w:val="0"/>
                      <w:caps w:val="0"/>
                      <w:snapToGrid w:val="0"/>
                      <w:color w:val="auto"/>
                      <w:spacing w:val="0"/>
                      <w:sz w:val="21"/>
                      <w:szCs w:val="21"/>
                      <w:highlight w:val="none"/>
                      <w:shd w:val="clear" w:fill="FFFFFF"/>
                    </w:rPr>
                    <w:t>355.2±42.0</w:t>
                  </w:r>
                  <w:r>
                    <w:rPr>
                      <w:rFonts w:hint="eastAsia" w:eastAsia="宋体" w:cs="Times New Roman"/>
                      <w:i w:val="0"/>
                      <w:iCs w:val="0"/>
                      <w:caps w:val="0"/>
                      <w:snapToGrid w:val="0"/>
                      <w:color w:val="auto"/>
                      <w:spacing w:val="0"/>
                      <w:sz w:val="21"/>
                      <w:szCs w:val="21"/>
                      <w:highlight w:val="none"/>
                      <w:shd w:val="clear" w:fill="FFFFFF"/>
                      <w:lang w:val="en-US" w:eastAsia="zh-CN"/>
                    </w:rPr>
                    <w:t>℃</w:t>
                  </w:r>
                </w:p>
                <w:p w14:paraId="1DB77C80">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vertAlign w:val="baseline"/>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密度1.395±0.06 g/cm</w:t>
                  </w:r>
                  <w:r>
                    <w:rPr>
                      <w:rFonts w:hint="eastAsia" w:ascii="Times New Roman" w:hAnsi="Times New Roman" w:eastAsia="Helvetica" w:cs="Times New Roman"/>
                      <w:i w:val="0"/>
                      <w:iCs w:val="0"/>
                      <w:caps w:val="0"/>
                      <w:snapToGrid w:val="0"/>
                      <w:color w:val="auto"/>
                      <w:spacing w:val="0"/>
                      <w:sz w:val="21"/>
                      <w:szCs w:val="21"/>
                      <w:highlight w:val="none"/>
                      <w:shd w:val="clear" w:fill="FFFFFF"/>
                      <w:vertAlign w:val="superscript"/>
                    </w:rPr>
                    <w:t>3</w:t>
                  </w:r>
                </w:p>
                <w:p w14:paraId="79B5F142">
                  <w:pPr>
                    <w:rPr>
                      <w:rFonts w:hint="eastAsia" w:eastAsia="宋体"/>
                      <w:snapToGrid w:val="0"/>
                      <w:color w:val="auto"/>
                      <w:highlight w:val="none"/>
                      <w:lang w:val="en-US" w:eastAsia="zh-CN"/>
                    </w:rPr>
                  </w:pPr>
                  <w:r>
                    <w:rPr>
                      <w:rFonts w:hint="eastAsia" w:eastAsia="宋体" w:cs="Times New Roman"/>
                      <w:i w:val="0"/>
                      <w:iCs w:val="0"/>
                      <w:caps w:val="0"/>
                      <w:snapToGrid w:val="0"/>
                      <w:color w:val="auto"/>
                      <w:spacing w:val="0"/>
                      <w:sz w:val="21"/>
                      <w:szCs w:val="21"/>
                      <w:highlight w:val="none"/>
                      <w:shd w:val="clear" w:fill="FFFFFF"/>
                      <w:vertAlign w:val="baseline"/>
                      <w:lang w:val="en-US" w:eastAsia="zh-CN"/>
                    </w:rPr>
                    <w:t>外观：</w:t>
                  </w:r>
                  <w:r>
                    <w:rPr>
                      <w:rFonts w:ascii="Arial" w:hAnsi="Arial" w:eastAsia="宋体" w:cs="Arial"/>
                      <w:i w:val="0"/>
                      <w:iCs w:val="0"/>
                      <w:caps w:val="0"/>
                      <w:snapToGrid w:val="0"/>
                      <w:color w:val="auto"/>
                      <w:spacing w:val="0"/>
                      <w:sz w:val="19"/>
                      <w:szCs w:val="19"/>
                      <w:highlight w:val="none"/>
                      <w:shd w:val="clear" w:fill="FFFFFF"/>
                    </w:rPr>
                    <w:t>白色或类白色粉末</w:t>
                  </w:r>
                </w:p>
              </w:tc>
              <w:tc>
                <w:tcPr>
                  <w:tcW w:w="1296" w:type="dxa"/>
                  <w:tcBorders>
                    <w:tl2br w:val="nil"/>
                    <w:tr2bl w:val="nil"/>
                  </w:tcBorders>
                  <w:shd w:val="clear" w:color="auto" w:fill="auto"/>
                  <w:noWrap w:val="0"/>
                  <w:vAlign w:val="center"/>
                </w:tcPr>
                <w:p w14:paraId="1ABB741F">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4996F6C4">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26E8C3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tcBorders>
                    <w:tl2br w:val="nil"/>
                    <w:tr2bl w:val="nil"/>
                  </w:tcBorders>
                  <w:shd w:val="clear" w:color="auto" w:fill="auto"/>
                  <w:noWrap w:val="0"/>
                  <w:vAlign w:val="center"/>
                </w:tcPr>
                <w:p w14:paraId="38C87A61">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4-溴-2,6-二甲基苯酚</w:t>
                  </w:r>
                </w:p>
              </w:tc>
              <w:tc>
                <w:tcPr>
                  <w:tcW w:w="1142" w:type="dxa"/>
                  <w:tcBorders>
                    <w:tl2br w:val="nil"/>
                    <w:tr2bl w:val="nil"/>
                  </w:tcBorders>
                  <w:noWrap w:val="0"/>
                  <w:vAlign w:val="center"/>
                </w:tcPr>
                <w:p w14:paraId="7B662F4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C</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8</w:t>
                  </w:r>
                  <w:r>
                    <w:rPr>
                      <w:rFonts w:hint="default" w:ascii="Times New Roman" w:hAnsi="Times New Roman" w:eastAsia="宋体" w:cs="Times New Roman"/>
                      <w:i w:val="0"/>
                      <w:iCs w:val="0"/>
                      <w:caps w:val="0"/>
                      <w:snapToGrid w:val="0"/>
                      <w:color w:val="auto"/>
                      <w:spacing w:val="0"/>
                      <w:sz w:val="21"/>
                      <w:szCs w:val="21"/>
                      <w:highlight w:val="none"/>
                      <w:shd w:val="clear" w:fill="FFFFFF"/>
                    </w:rPr>
                    <w:t>H</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9</w:t>
                  </w:r>
                  <w:r>
                    <w:rPr>
                      <w:rFonts w:hint="default" w:ascii="Times New Roman" w:hAnsi="Times New Roman" w:eastAsia="宋体" w:cs="Times New Roman"/>
                      <w:i w:val="0"/>
                      <w:iCs w:val="0"/>
                      <w:caps w:val="0"/>
                      <w:snapToGrid w:val="0"/>
                      <w:color w:val="auto"/>
                      <w:spacing w:val="0"/>
                      <w:sz w:val="21"/>
                      <w:szCs w:val="21"/>
                      <w:highlight w:val="none"/>
                      <w:shd w:val="clear" w:fill="FFFFFF"/>
                    </w:rPr>
                    <w:t>BrO</w:t>
                  </w:r>
                </w:p>
              </w:tc>
              <w:tc>
                <w:tcPr>
                  <w:tcW w:w="2758" w:type="dxa"/>
                  <w:tcBorders>
                    <w:tl2br w:val="nil"/>
                    <w:tr2bl w:val="nil"/>
                  </w:tcBorders>
                  <w:noWrap w:val="0"/>
                  <w:vAlign w:val="center"/>
                </w:tcPr>
                <w:p w14:paraId="0678830B">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 xml:space="preserve"> 密度：1.471g/cm</w:t>
                  </w:r>
                  <w:r>
                    <w:rPr>
                      <w:rFonts w:hint="eastAsia" w:ascii="Times New Roman" w:hAnsi="Times New Roman" w:eastAsia="Helvetica" w:cs="Times New Roman"/>
                      <w:i w:val="0"/>
                      <w:iCs w:val="0"/>
                      <w:caps w:val="0"/>
                      <w:snapToGrid w:val="0"/>
                      <w:color w:val="auto"/>
                      <w:spacing w:val="0"/>
                      <w:sz w:val="21"/>
                      <w:szCs w:val="21"/>
                      <w:highlight w:val="none"/>
                      <w:shd w:val="clear" w:fill="FFFFFF"/>
                      <w:vertAlign w:val="superscript"/>
                    </w:rPr>
                    <w:t>3</w:t>
                  </w:r>
                </w:p>
                <w:p w14:paraId="1A694FD4">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熔点：74-78℃(lit.)</w:t>
                  </w:r>
                </w:p>
                <w:p w14:paraId="5E8C6EB0">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沸点：253℃ at 760mmHg</w:t>
                  </w:r>
                </w:p>
                <w:p w14:paraId="0A634B38">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外观：白色至灰白色结晶粉末</w:t>
                  </w:r>
                </w:p>
              </w:tc>
              <w:tc>
                <w:tcPr>
                  <w:tcW w:w="1296" w:type="dxa"/>
                  <w:tcBorders>
                    <w:tl2br w:val="nil"/>
                    <w:tr2bl w:val="nil"/>
                  </w:tcBorders>
                  <w:shd w:val="clear" w:color="auto" w:fill="auto"/>
                  <w:noWrap w:val="0"/>
                  <w:vAlign w:val="center"/>
                </w:tcPr>
                <w:p w14:paraId="028A8FC3">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337E23D9">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3198A0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1173" w:hRule="atLeast"/>
              </w:trPr>
              <w:tc>
                <w:tcPr>
                  <w:tcW w:w="1044" w:type="dxa"/>
                  <w:tcBorders>
                    <w:tl2br w:val="nil"/>
                    <w:tr2bl w:val="nil"/>
                  </w:tcBorders>
                  <w:shd w:val="clear" w:color="auto" w:fill="auto"/>
                  <w:noWrap w:val="0"/>
                  <w:vAlign w:val="center"/>
                </w:tcPr>
                <w:p w14:paraId="6D2AB800">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棕榈酸</w:t>
                  </w:r>
                </w:p>
              </w:tc>
              <w:tc>
                <w:tcPr>
                  <w:tcW w:w="1142" w:type="dxa"/>
                  <w:tcBorders>
                    <w:tl2br w:val="nil"/>
                    <w:tr2bl w:val="nil"/>
                  </w:tcBorders>
                  <w:noWrap w:val="0"/>
                  <w:vAlign w:val="center"/>
                </w:tcPr>
                <w:p w14:paraId="6F497223">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Helvetica" w:hAnsi="Helvetica" w:eastAsia="Helvetica" w:cs="Helvetica"/>
                      <w:i w:val="0"/>
                      <w:iCs w:val="0"/>
                      <w:caps w:val="0"/>
                      <w:snapToGrid w:val="0"/>
                      <w:color w:val="auto"/>
                      <w:spacing w:val="0"/>
                      <w:sz w:val="21"/>
                      <w:szCs w:val="21"/>
                      <w:highlight w:val="none"/>
                      <w:shd w:val="clear" w:fill="FFFFFF"/>
                    </w:rPr>
                  </w:pPr>
                  <w:r>
                    <w:rPr>
                      <w:rFonts w:hint="default" w:ascii="Times New Roman" w:hAnsi="Times New Roman" w:eastAsia="宋体" w:cs="Times New Roman"/>
                      <w:i w:val="0"/>
                      <w:iCs w:val="0"/>
                      <w:caps w:val="0"/>
                      <w:snapToGrid w:val="0"/>
                      <w:color w:val="auto"/>
                      <w:spacing w:val="0"/>
                      <w:sz w:val="21"/>
                      <w:szCs w:val="21"/>
                      <w:highlight w:val="none"/>
                      <w:shd w:val="clear" w:fill="FFFFFF"/>
                    </w:rPr>
                    <w:t>C</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16</w:t>
                  </w:r>
                  <w:r>
                    <w:rPr>
                      <w:rFonts w:hint="default" w:ascii="Times New Roman" w:hAnsi="Times New Roman" w:eastAsia="宋体" w:cs="Times New Roman"/>
                      <w:i w:val="0"/>
                      <w:iCs w:val="0"/>
                      <w:caps w:val="0"/>
                      <w:snapToGrid w:val="0"/>
                      <w:color w:val="auto"/>
                      <w:spacing w:val="0"/>
                      <w:sz w:val="21"/>
                      <w:szCs w:val="21"/>
                      <w:highlight w:val="none"/>
                      <w:shd w:val="clear" w:fill="FFFFFF"/>
                    </w:rPr>
                    <w:t>H</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32</w:t>
                  </w:r>
                  <w:r>
                    <w:rPr>
                      <w:rFonts w:hint="default" w:ascii="Times New Roman" w:hAnsi="Times New Roman" w:eastAsia="宋体" w:cs="Times New Roman"/>
                      <w:i w:val="0"/>
                      <w:iCs w:val="0"/>
                      <w:caps w:val="0"/>
                      <w:snapToGrid w:val="0"/>
                      <w:color w:val="auto"/>
                      <w:spacing w:val="0"/>
                      <w:sz w:val="21"/>
                      <w:szCs w:val="21"/>
                      <w:highlight w:val="none"/>
                      <w:shd w:val="clear" w:fill="FFFFFF"/>
                    </w:rPr>
                    <w:t>O</w:t>
                  </w:r>
                  <w:r>
                    <w:rPr>
                      <w:rFonts w:hint="default" w:ascii="Times New Roman" w:hAnsi="Times New Roman" w:eastAsia="宋体" w:cs="Times New Roman"/>
                      <w:i w:val="0"/>
                      <w:iCs w:val="0"/>
                      <w:caps w:val="0"/>
                      <w:snapToGrid w:val="0"/>
                      <w:color w:val="auto"/>
                      <w:spacing w:val="0"/>
                      <w:sz w:val="21"/>
                      <w:szCs w:val="21"/>
                      <w:highlight w:val="none"/>
                      <w:shd w:val="clear" w:fill="FFFFFF"/>
                      <w:vertAlign w:val="subscript"/>
                    </w:rPr>
                    <w:t>2</w:t>
                  </w:r>
                </w:p>
              </w:tc>
              <w:tc>
                <w:tcPr>
                  <w:tcW w:w="2758" w:type="dxa"/>
                  <w:tcBorders>
                    <w:tl2br w:val="nil"/>
                    <w:tr2bl w:val="nil"/>
                  </w:tcBorders>
                  <w:noWrap w:val="0"/>
                  <w:vAlign w:val="center"/>
                </w:tcPr>
                <w:p w14:paraId="674E8FD4">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vertAlign w:val="superscript"/>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密度：0.853g/cm</w:t>
                  </w:r>
                  <w:r>
                    <w:rPr>
                      <w:rFonts w:hint="eastAsia" w:ascii="Times New Roman" w:hAnsi="Times New Roman" w:eastAsia="Helvetica" w:cs="Times New Roman"/>
                      <w:i w:val="0"/>
                      <w:iCs w:val="0"/>
                      <w:caps w:val="0"/>
                      <w:snapToGrid w:val="0"/>
                      <w:color w:val="auto"/>
                      <w:spacing w:val="0"/>
                      <w:sz w:val="21"/>
                      <w:szCs w:val="21"/>
                      <w:highlight w:val="none"/>
                      <w:shd w:val="clear" w:fill="FFFFFF"/>
                      <w:vertAlign w:val="superscript"/>
                    </w:rPr>
                    <w:t>3</w:t>
                  </w:r>
                </w:p>
                <w:p w14:paraId="2ABBAA18">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熔点：61-62.5℃</w:t>
                  </w:r>
                </w:p>
                <w:p w14:paraId="526A3348">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沸点：340.6℃</w:t>
                  </w:r>
                </w:p>
                <w:p w14:paraId="6229AE40">
                  <w:pPr>
                    <w:pStyle w:val="3"/>
                    <w:spacing w:line="240" w:lineRule="auto"/>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外观：白色带珠光的鳞片</w:t>
                  </w:r>
                </w:p>
                <w:p w14:paraId="5F88E748">
                  <w:pPr>
                    <w:rPr>
                      <w:rFonts w:hint="eastAsia"/>
                      <w:snapToGrid w:val="0"/>
                      <w:color w:val="auto"/>
                      <w:highlight w:val="none"/>
                    </w:rPr>
                  </w:pPr>
                  <w:r>
                    <w:rPr>
                      <w:rFonts w:hint="eastAsia"/>
                      <w:snapToGrid w:val="0"/>
                      <w:color w:val="auto"/>
                      <w:highlight w:val="none"/>
                    </w:rPr>
                    <w:t>溶解度：不溶于水，溶于乙醇，易溶于乙醚、氯仿和醋酸</w:t>
                  </w:r>
                </w:p>
              </w:tc>
              <w:tc>
                <w:tcPr>
                  <w:tcW w:w="1296" w:type="dxa"/>
                  <w:tcBorders>
                    <w:tl2br w:val="nil"/>
                    <w:tr2bl w:val="nil"/>
                  </w:tcBorders>
                  <w:shd w:val="clear" w:color="auto" w:fill="auto"/>
                  <w:noWrap w:val="0"/>
                  <w:vAlign w:val="center"/>
                </w:tcPr>
                <w:p w14:paraId="3E34ED99">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w:t>
                  </w:r>
                </w:p>
              </w:tc>
              <w:tc>
                <w:tcPr>
                  <w:tcW w:w="1618" w:type="dxa"/>
                  <w:tcBorders>
                    <w:tl2br w:val="nil"/>
                    <w:tr2bl w:val="nil"/>
                  </w:tcBorders>
                  <w:shd w:val="clear" w:color="auto" w:fill="auto"/>
                  <w:noWrap w:val="0"/>
                  <w:vAlign w:val="center"/>
                </w:tcPr>
                <w:p w14:paraId="67D4E2CB">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大鼠经口LD50：＞10mg/kg；</w:t>
                  </w:r>
                </w:p>
                <w:p w14:paraId="6B9C4527">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小鼠静脉LC50：57mg/kg</w:t>
                  </w:r>
                </w:p>
              </w:tc>
            </w:tr>
            <w:tr w14:paraId="29E2B3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24969AC9">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2"/>
                      <w:sz w:val="21"/>
                      <w:szCs w:val="21"/>
                      <w:highlight w:val="none"/>
                      <w:u w:val="none"/>
                      <w:lang w:val="en-US" w:eastAsia="zh-CN" w:bidi="ar-SA"/>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(R)-(+)-1-(1-萘基)乙胺</w:t>
                  </w:r>
                </w:p>
              </w:tc>
              <w:tc>
                <w:tcPr>
                  <w:tcW w:w="1142" w:type="dxa"/>
                  <w:vAlign w:val="center"/>
                </w:tcPr>
                <w:p w14:paraId="4E223A74">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Helvetica" w:hAnsi="Helvetica" w:eastAsia="Helvetica" w:cs="Helvetica"/>
                      <w:i w:val="0"/>
                      <w:iCs w:val="0"/>
                      <w:caps w:val="0"/>
                      <w:snapToGrid w:val="0"/>
                      <w:color w:val="auto"/>
                      <w:spacing w:val="0"/>
                      <w:sz w:val="21"/>
                      <w:szCs w:val="21"/>
                      <w:highlight w:val="none"/>
                      <w:shd w:val="clear" w:fill="FFFFFF"/>
                    </w:rPr>
                  </w:pPr>
                  <w:r>
                    <w:rPr>
                      <w:rFonts w:hint="default" w:ascii="Times New Roman" w:hAnsi="Times New Roman" w:eastAsia="Helvetica" w:cs="Times New Roman"/>
                      <w:i w:val="0"/>
                      <w:iCs w:val="0"/>
                      <w:caps w:val="0"/>
                      <w:snapToGrid w:val="0"/>
                      <w:color w:val="auto"/>
                      <w:spacing w:val="0"/>
                      <w:sz w:val="21"/>
                      <w:szCs w:val="21"/>
                      <w:highlight w:val="none"/>
                      <w:shd w:val="clear" w:fill="FFFFFF"/>
                    </w:rPr>
                    <w:t>C</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12</w:t>
                  </w:r>
                  <w:r>
                    <w:rPr>
                      <w:rFonts w:hint="default" w:ascii="Times New Roman" w:hAnsi="Times New Roman" w:eastAsia="Helvetica" w:cs="Times New Roman"/>
                      <w:i w:val="0"/>
                      <w:iCs w:val="0"/>
                      <w:caps w:val="0"/>
                      <w:snapToGrid w:val="0"/>
                      <w:color w:val="auto"/>
                      <w:spacing w:val="0"/>
                      <w:sz w:val="21"/>
                      <w:szCs w:val="21"/>
                      <w:highlight w:val="none"/>
                      <w:shd w:val="clear" w:fill="FFFFFF"/>
                    </w:rPr>
                    <w:t>H</w:t>
                  </w:r>
                  <w:r>
                    <w:rPr>
                      <w:rFonts w:hint="default" w:ascii="Times New Roman" w:hAnsi="Times New Roman" w:eastAsia="Helvetica" w:cs="Times New Roman"/>
                      <w:i w:val="0"/>
                      <w:iCs w:val="0"/>
                      <w:caps w:val="0"/>
                      <w:snapToGrid w:val="0"/>
                      <w:color w:val="auto"/>
                      <w:spacing w:val="0"/>
                      <w:sz w:val="21"/>
                      <w:szCs w:val="21"/>
                      <w:highlight w:val="none"/>
                      <w:shd w:val="clear" w:fill="FFFFFF"/>
                      <w:vertAlign w:val="subscript"/>
                    </w:rPr>
                    <w:t>13</w:t>
                  </w:r>
                  <w:r>
                    <w:rPr>
                      <w:rFonts w:hint="default" w:ascii="Times New Roman" w:hAnsi="Times New Roman" w:eastAsia="Helvetica" w:cs="Times New Roman"/>
                      <w:i w:val="0"/>
                      <w:iCs w:val="0"/>
                      <w:caps w:val="0"/>
                      <w:snapToGrid w:val="0"/>
                      <w:color w:val="auto"/>
                      <w:spacing w:val="0"/>
                      <w:sz w:val="21"/>
                      <w:szCs w:val="21"/>
                      <w:highlight w:val="none"/>
                      <w:shd w:val="clear" w:fill="FFFFFF"/>
                    </w:rPr>
                    <w:t>N</w:t>
                  </w:r>
                </w:p>
              </w:tc>
              <w:tc>
                <w:tcPr>
                  <w:tcW w:w="2758" w:type="dxa"/>
                  <w:vAlign w:val="center"/>
                </w:tcPr>
                <w:p w14:paraId="7FB0B11C">
                  <w:pPr>
                    <w:pStyle w:val="3"/>
                    <w:spacing w:line="240" w:lineRule="auto"/>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外观</w:t>
                  </w:r>
                  <w:r>
                    <w:rPr>
                      <w:rFonts w:hint="eastAsia" w:ascii="Times New Roman" w:hAnsi="Times New Roman" w:eastAsia="Helvetica" w:cs="Times New Roman"/>
                      <w:i w:val="0"/>
                      <w:iCs w:val="0"/>
                      <w:caps w:val="0"/>
                      <w:snapToGrid w:val="0"/>
                      <w:color w:val="auto"/>
                      <w:spacing w:val="0"/>
                      <w:sz w:val="21"/>
                      <w:szCs w:val="21"/>
                      <w:highlight w:val="none"/>
                      <w:shd w:val="clear" w:fill="FFFFFF"/>
                    </w:rPr>
                    <w:t>：淡黄色至棕色透明液体</w:t>
                  </w:r>
                </w:p>
                <w:p w14:paraId="0A4BB019">
                  <w:pPr>
                    <w:pStyle w:val="3"/>
                    <w:spacing w:line="240" w:lineRule="auto"/>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密度：1.067</w:t>
                  </w:r>
                </w:p>
                <w:p w14:paraId="27FAE785">
                  <w:pPr>
                    <w:pStyle w:val="3"/>
                    <w:spacing w:line="240" w:lineRule="auto"/>
                    <w:jc w:val="both"/>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ascii="Times New Roman" w:hAnsi="Times New Roman" w:eastAsia="Helvetica" w:cs="Times New Roman"/>
                      <w:i w:val="0"/>
                      <w:iCs w:val="0"/>
                      <w:caps w:val="0"/>
                      <w:snapToGrid w:val="0"/>
                      <w:color w:val="auto"/>
                      <w:spacing w:val="0"/>
                      <w:sz w:val="21"/>
                      <w:szCs w:val="21"/>
                      <w:highlight w:val="none"/>
                      <w:shd w:val="clear" w:fill="FFFFFF"/>
                    </w:rPr>
                    <w:t>沸点：153℃</w:t>
                  </w:r>
                </w:p>
                <w:p w14:paraId="68FEE2F5">
                  <w:pPr>
                    <w:pStyle w:val="3"/>
                    <w:spacing w:line="240" w:lineRule="auto"/>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p>
              </w:tc>
              <w:tc>
                <w:tcPr>
                  <w:tcW w:w="1296" w:type="dxa"/>
                  <w:vAlign w:val="center"/>
                </w:tcPr>
                <w:p w14:paraId="7709AF52">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cs="Times New Roman"/>
                      <w:snapToGrid w:val="0"/>
                      <w:color w:val="auto"/>
                      <w:sz w:val="21"/>
                      <w:szCs w:val="21"/>
                      <w:highlight w:val="none"/>
                      <w:lang w:val="en-US" w:eastAsia="zh-CN"/>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c>
                <w:tcPr>
                  <w:tcW w:w="1618" w:type="dxa"/>
                  <w:vAlign w:val="center"/>
                </w:tcPr>
                <w:p w14:paraId="25AFB418">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eastAsia" w:ascii="Times New Roman" w:hAnsi="Times New Roman" w:eastAsia="Helvetica" w:cs="Times New Roman"/>
                      <w:i w:val="0"/>
                      <w:iCs w:val="0"/>
                      <w:caps w:val="0"/>
                      <w:snapToGrid w:val="0"/>
                      <w:color w:val="auto"/>
                      <w:spacing w:val="0"/>
                      <w:sz w:val="21"/>
                      <w:szCs w:val="21"/>
                      <w:highlight w:val="none"/>
                      <w:shd w:val="clear" w:fill="FFFFFF"/>
                    </w:rPr>
                  </w:pPr>
                  <w:r>
                    <w:rPr>
                      <w:rFonts w:hint="eastAsia" w:eastAsia="宋体" w:cs="Times New Roman"/>
                      <w:i w:val="0"/>
                      <w:iCs w:val="0"/>
                      <w:caps w:val="0"/>
                      <w:snapToGrid w:val="0"/>
                      <w:color w:val="auto"/>
                      <w:spacing w:val="0"/>
                      <w:sz w:val="21"/>
                      <w:szCs w:val="21"/>
                      <w:highlight w:val="none"/>
                      <w:shd w:val="clear" w:fill="FFFFFF"/>
                      <w:lang w:val="en-US" w:eastAsia="zh-CN"/>
                    </w:rPr>
                    <w:t>无资料</w:t>
                  </w:r>
                </w:p>
              </w:tc>
            </w:tr>
            <w:tr w14:paraId="386EE3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2BE1E0CF">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硼氢化钠</w:t>
                  </w:r>
                </w:p>
              </w:tc>
              <w:tc>
                <w:tcPr>
                  <w:tcW w:w="1142" w:type="dxa"/>
                  <w:vAlign w:val="center"/>
                </w:tcPr>
                <w:p w14:paraId="615E596F">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Helvetica" w:cs="Times New Roman"/>
                      <w:i w:val="0"/>
                      <w:iCs w:val="0"/>
                      <w:caps w:val="0"/>
                      <w:snapToGrid w:val="0"/>
                      <w:color w:val="auto"/>
                      <w:spacing w:val="0"/>
                      <w:sz w:val="21"/>
                      <w:szCs w:val="21"/>
                      <w:highlight w:val="none"/>
                      <w:shd w:val="clear" w:fill="FFFFFF"/>
                    </w:rPr>
                  </w:pPr>
                  <w:r>
                    <w:rPr>
                      <w:rFonts w:ascii="Times New Roman" w:hAnsi="Times New Roman" w:eastAsia="Helvetica" w:cs="Times New Roman"/>
                      <w:i w:val="0"/>
                      <w:iCs w:val="0"/>
                      <w:caps w:val="0"/>
                      <w:snapToGrid w:val="0"/>
                      <w:color w:val="333333"/>
                      <w:spacing w:val="0"/>
                      <w:sz w:val="18"/>
                      <w:szCs w:val="18"/>
                      <w:shd w:val="clear" w:fill="FFFFFF"/>
                    </w:rPr>
                    <w:t>NaBH</w:t>
                  </w:r>
                  <w:r>
                    <w:rPr>
                      <w:rFonts w:hint="default" w:ascii="Times New Roman" w:hAnsi="Times New Roman" w:eastAsia="Helvetica" w:cs="Times New Roman"/>
                      <w:i w:val="0"/>
                      <w:iCs w:val="0"/>
                      <w:caps w:val="0"/>
                      <w:snapToGrid w:val="0"/>
                      <w:color w:val="333333"/>
                      <w:spacing w:val="0"/>
                      <w:sz w:val="13"/>
                      <w:szCs w:val="13"/>
                      <w:shd w:val="clear" w:fill="FFFFFF"/>
                      <w:vertAlign w:val="baseline"/>
                    </w:rPr>
                    <w:t>4</w:t>
                  </w:r>
                </w:p>
              </w:tc>
              <w:tc>
                <w:tcPr>
                  <w:tcW w:w="2758" w:type="dxa"/>
                  <w:vAlign w:val="center"/>
                </w:tcPr>
                <w:p w14:paraId="725687EE">
                  <w:pPr>
                    <w:pStyle w:val="3"/>
                    <w:spacing w:line="240" w:lineRule="auto"/>
                    <w:jc w:val="both"/>
                    <w:rPr>
                      <w:rFonts w:hint="default" w:eastAsia="Helvetica"/>
                      <w:snapToGrid w:val="0"/>
                      <w:color w:val="auto"/>
                      <w:sz w:val="21"/>
                      <w:szCs w:val="21"/>
                      <w:highlight w:val="none"/>
                      <w:shd w:val="clear" w:fill="FFFFFF"/>
                    </w:rPr>
                  </w:pPr>
                  <w:r>
                    <w:rPr>
                      <w:rFonts w:hint="default" w:eastAsia="Helvetica"/>
                      <w:snapToGrid w:val="0"/>
                      <w:color w:val="auto"/>
                      <w:sz w:val="21"/>
                      <w:szCs w:val="21"/>
                      <w:highlight w:val="none"/>
                      <w:shd w:val="clear" w:fill="FFFFFF"/>
                    </w:rPr>
                    <w:t>沸 点</w:t>
                  </w:r>
                  <w:r>
                    <w:rPr>
                      <w:rFonts w:hint="default" w:eastAsia="宋体"/>
                      <w:snapToGrid w:val="0"/>
                      <w:color w:val="auto"/>
                      <w:sz w:val="21"/>
                      <w:szCs w:val="21"/>
                      <w:highlight w:val="none"/>
                      <w:shd w:val="clear" w:fill="FFFFFF"/>
                      <w:lang w:eastAsia="zh-CN"/>
                    </w:rPr>
                    <w:t>：</w:t>
                  </w:r>
                  <w:r>
                    <w:rPr>
                      <w:rFonts w:hint="default" w:eastAsia="Helvetica"/>
                      <w:snapToGrid w:val="0"/>
                      <w:color w:val="auto"/>
                      <w:sz w:val="21"/>
                      <w:szCs w:val="21"/>
                      <w:highlight w:val="none"/>
                      <w:shd w:val="clear" w:fill="FFFFFF"/>
                    </w:rPr>
                    <w:t>500 ℃（分解）</w:t>
                  </w:r>
                </w:p>
                <w:p w14:paraId="5E175030">
                  <w:pPr>
                    <w:pStyle w:val="3"/>
                    <w:spacing w:line="240" w:lineRule="auto"/>
                    <w:jc w:val="both"/>
                    <w:rPr>
                      <w:rFonts w:hint="default" w:eastAsia="Helvetica"/>
                      <w:snapToGrid w:val="0"/>
                      <w:color w:val="auto"/>
                      <w:sz w:val="21"/>
                      <w:szCs w:val="21"/>
                      <w:highlight w:val="none"/>
                      <w:shd w:val="clear" w:fill="FFFFFF"/>
                    </w:rPr>
                  </w:pPr>
                  <w:r>
                    <w:rPr>
                      <w:rFonts w:hint="default" w:eastAsia="Helvetica"/>
                      <w:snapToGrid w:val="0"/>
                      <w:color w:val="auto"/>
                      <w:sz w:val="21"/>
                      <w:szCs w:val="21"/>
                      <w:highlight w:val="none"/>
                      <w:shd w:val="clear" w:fill="FFFFFF"/>
                    </w:rPr>
                    <w:t>水溶性</w:t>
                  </w:r>
                  <w:r>
                    <w:rPr>
                      <w:rFonts w:hint="default" w:eastAsia="宋体"/>
                      <w:snapToGrid w:val="0"/>
                      <w:color w:val="auto"/>
                      <w:sz w:val="21"/>
                      <w:szCs w:val="21"/>
                      <w:highlight w:val="none"/>
                      <w:shd w:val="clear" w:fill="FFFFFF"/>
                      <w:lang w:eastAsia="zh-CN"/>
                    </w:rPr>
                    <w:t>：</w:t>
                  </w:r>
                  <w:r>
                    <w:rPr>
                      <w:rFonts w:hint="default" w:eastAsia="Helvetica"/>
                      <w:snapToGrid w:val="0"/>
                      <w:color w:val="auto"/>
                      <w:sz w:val="21"/>
                      <w:szCs w:val="21"/>
                      <w:highlight w:val="none"/>
                      <w:shd w:val="clear" w:fill="FFFFFF"/>
                    </w:rPr>
                    <w:t>550 g/L (25 ºC)</w:t>
                  </w:r>
                </w:p>
                <w:p w14:paraId="5295B3D7">
                  <w:pPr>
                    <w:pStyle w:val="3"/>
                    <w:spacing w:line="240" w:lineRule="auto"/>
                    <w:jc w:val="both"/>
                    <w:rPr>
                      <w:rFonts w:hint="default" w:eastAsia="Helvetica"/>
                      <w:snapToGrid w:val="0"/>
                      <w:color w:val="auto"/>
                      <w:sz w:val="21"/>
                      <w:szCs w:val="21"/>
                      <w:highlight w:val="none"/>
                      <w:shd w:val="clear" w:fill="FFFFFF"/>
                    </w:rPr>
                  </w:pPr>
                  <w:r>
                    <w:rPr>
                      <w:rFonts w:hint="default" w:eastAsia="Helvetica"/>
                      <w:snapToGrid w:val="0"/>
                      <w:color w:val="auto"/>
                      <w:sz w:val="21"/>
                      <w:szCs w:val="21"/>
                      <w:highlight w:val="none"/>
                      <w:shd w:val="clear" w:fill="FFFFFF"/>
                    </w:rPr>
                    <w:t>密度</w:t>
                  </w:r>
                  <w:r>
                    <w:rPr>
                      <w:rFonts w:hint="default" w:eastAsia="宋体"/>
                      <w:snapToGrid w:val="0"/>
                      <w:color w:val="auto"/>
                      <w:sz w:val="21"/>
                      <w:szCs w:val="21"/>
                      <w:highlight w:val="none"/>
                      <w:shd w:val="clear" w:fill="FFFFFF"/>
                      <w:lang w:eastAsia="zh-CN"/>
                    </w:rPr>
                    <w:t>：</w:t>
                  </w:r>
                  <w:r>
                    <w:rPr>
                      <w:rFonts w:hint="default" w:eastAsia="Helvetica"/>
                      <w:snapToGrid w:val="0"/>
                      <w:color w:val="auto"/>
                      <w:sz w:val="21"/>
                      <w:szCs w:val="21"/>
                      <w:highlight w:val="none"/>
                      <w:shd w:val="clear" w:fill="FFFFFF"/>
                    </w:rPr>
                    <w:t>1.07 g/cm³</w:t>
                  </w:r>
                </w:p>
                <w:p w14:paraId="1B7A0C97">
                  <w:pPr>
                    <w:pStyle w:val="3"/>
                    <w:spacing w:line="240" w:lineRule="auto"/>
                    <w:jc w:val="both"/>
                    <w:rPr>
                      <w:rFonts w:hint="default" w:ascii="Times New Roman" w:hAnsi="Times New Roman" w:eastAsia="Helvetica" w:cs="Times New Roman"/>
                      <w:i w:val="0"/>
                      <w:iCs w:val="0"/>
                      <w:caps w:val="0"/>
                      <w:snapToGrid w:val="0"/>
                      <w:color w:val="000000"/>
                      <w:spacing w:val="0"/>
                      <w:sz w:val="21"/>
                      <w:szCs w:val="21"/>
                      <w:highlight w:val="none"/>
                      <w:shd w:val="clear" w:fill="FFFFFF"/>
                    </w:rPr>
                  </w:pPr>
                  <w:r>
                    <w:rPr>
                      <w:rFonts w:hint="default" w:eastAsia="Helvetica"/>
                      <w:snapToGrid w:val="0"/>
                      <w:color w:val="auto"/>
                      <w:sz w:val="21"/>
                      <w:szCs w:val="21"/>
                      <w:highlight w:val="none"/>
                      <w:shd w:val="clear" w:fill="FFFFFF"/>
                    </w:rPr>
                    <w:t>外观</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 xml:space="preserve">白色至灰白色结晶性粉末 </w:t>
                  </w:r>
                </w:p>
              </w:tc>
              <w:tc>
                <w:tcPr>
                  <w:tcW w:w="1296" w:type="dxa"/>
                  <w:shd w:val="clear" w:color="auto" w:fill="auto"/>
                  <w:vAlign w:val="center"/>
                </w:tcPr>
                <w:p w14:paraId="3183BA84">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snapToGrid w:val="0"/>
                      <w:color w:val="000000"/>
                      <w:kern w:val="2"/>
                      <w:sz w:val="21"/>
                      <w:szCs w:val="21"/>
                      <w:highlight w:val="none"/>
                      <w:lang w:val="en-US" w:eastAsia="zh-CN" w:bidi="ar-SA"/>
                    </w:rPr>
                  </w:pPr>
                  <w:r>
                    <w:rPr>
                      <w:rFonts w:hint="default" w:eastAsia="宋体" w:cs="Times New Roman"/>
                      <w:i w:val="0"/>
                      <w:iCs w:val="0"/>
                      <w:caps w:val="0"/>
                      <w:snapToGrid w:val="0"/>
                      <w:color w:val="auto"/>
                      <w:spacing w:val="0"/>
                      <w:sz w:val="21"/>
                      <w:szCs w:val="21"/>
                      <w:highlight w:val="none"/>
                      <w:shd w:val="clear" w:fill="FFFFFF"/>
                      <w:lang w:val="en-US" w:eastAsia="zh-CN"/>
                    </w:rPr>
                    <w:t>无资料</w:t>
                  </w:r>
                </w:p>
              </w:tc>
              <w:tc>
                <w:tcPr>
                  <w:tcW w:w="1618" w:type="dxa"/>
                  <w:shd w:val="clear" w:color="auto" w:fill="auto"/>
                  <w:vAlign w:val="center"/>
                </w:tcPr>
                <w:p w14:paraId="71CE0886">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Helvetica" w:cs="Times New Roman"/>
                      <w:i w:val="0"/>
                      <w:iCs w:val="0"/>
                      <w:caps w:val="0"/>
                      <w:snapToGrid w:val="0"/>
                      <w:color w:val="000000"/>
                      <w:spacing w:val="0"/>
                      <w:kern w:val="2"/>
                      <w:sz w:val="21"/>
                      <w:szCs w:val="21"/>
                      <w:highlight w:val="none"/>
                      <w:shd w:val="clear" w:fill="FFFFFF"/>
                      <w:lang w:val="en-US" w:eastAsia="zh-CN" w:bidi="ar-SA"/>
                    </w:rPr>
                  </w:pPr>
                  <w:r>
                    <w:rPr>
                      <w:rFonts w:hint="default" w:eastAsia="宋体" w:cs="Times New Roman"/>
                      <w:i w:val="0"/>
                      <w:iCs w:val="0"/>
                      <w:caps w:val="0"/>
                      <w:snapToGrid w:val="0"/>
                      <w:color w:val="auto"/>
                      <w:spacing w:val="0"/>
                      <w:sz w:val="21"/>
                      <w:szCs w:val="21"/>
                      <w:highlight w:val="none"/>
                      <w:shd w:val="clear" w:fill="FFFFFF"/>
                      <w:lang w:val="en-US" w:eastAsia="zh-CN"/>
                    </w:rPr>
                    <w:t>无资料</w:t>
                  </w:r>
                </w:p>
              </w:tc>
            </w:tr>
            <w:tr w14:paraId="489226B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48B976D8">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锌粉</w:t>
                  </w:r>
                </w:p>
              </w:tc>
              <w:tc>
                <w:tcPr>
                  <w:tcW w:w="1142" w:type="dxa"/>
                  <w:vAlign w:val="center"/>
                </w:tcPr>
                <w:p w14:paraId="0BA9E58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333333"/>
                      <w:spacing w:val="0"/>
                      <w:sz w:val="18"/>
                      <w:szCs w:val="18"/>
                      <w:shd w:val="clear" w:fill="FFFFFF"/>
                      <w:lang w:val="en-US" w:eastAsia="zh-CN"/>
                    </w:rPr>
                  </w:pPr>
                  <w:r>
                    <w:rPr>
                      <w:rFonts w:hint="default" w:ascii="Times New Roman" w:hAnsi="Times New Roman" w:eastAsia="宋体" w:cs="Times New Roman"/>
                      <w:i w:val="0"/>
                      <w:iCs w:val="0"/>
                      <w:caps w:val="0"/>
                      <w:snapToGrid w:val="0"/>
                      <w:color w:val="333333"/>
                      <w:spacing w:val="0"/>
                      <w:sz w:val="18"/>
                      <w:szCs w:val="18"/>
                      <w:shd w:val="clear" w:fill="FFFFFF"/>
                      <w:lang w:val="en-US" w:eastAsia="zh-CN"/>
                    </w:rPr>
                    <w:t>Zn</w:t>
                  </w:r>
                </w:p>
              </w:tc>
              <w:tc>
                <w:tcPr>
                  <w:tcW w:w="2758" w:type="dxa"/>
                  <w:vAlign w:val="center"/>
                </w:tcPr>
                <w:p w14:paraId="257A674C">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eastAsia="Helvetica"/>
                      <w:snapToGrid w:val="0"/>
                      <w:color w:val="auto"/>
                      <w:sz w:val="21"/>
                      <w:szCs w:val="21"/>
                      <w:highlight w:val="none"/>
                      <w:shd w:val="clear" w:fill="FFFFFF"/>
                    </w:rPr>
                    <w:t>熔点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 xml:space="preserve">419.53 ℃ </w:t>
                  </w:r>
                </w:p>
                <w:p w14:paraId="3AE9E042">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沸点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 xml:space="preserve">907 ℃ </w:t>
                  </w:r>
                </w:p>
                <w:p w14:paraId="10F4DB2D">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密度</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7.14 g/cm³</w:t>
                  </w:r>
                </w:p>
                <w:p w14:paraId="457E0D60">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外观</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常为浅灰色的细小粉末</w:t>
                  </w:r>
                </w:p>
              </w:tc>
              <w:tc>
                <w:tcPr>
                  <w:tcW w:w="1296" w:type="dxa"/>
                  <w:shd w:val="clear" w:color="auto" w:fill="auto"/>
                  <w:vAlign w:val="center"/>
                </w:tcPr>
                <w:p w14:paraId="3F0AFE21">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无资料</w:t>
                  </w:r>
                </w:p>
              </w:tc>
              <w:tc>
                <w:tcPr>
                  <w:tcW w:w="1618" w:type="dxa"/>
                  <w:shd w:val="clear" w:color="auto" w:fill="auto"/>
                  <w:vAlign w:val="center"/>
                </w:tcPr>
                <w:p w14:paraId="51ECDCA2">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Helvetica" w:cs="Times New Roman"/>
                      <w:i w:val="0"/>
                      <w:iCs w:val="0"/>
                      <w:caps w:val="0"/>
                      <w:snapToGrid w:val="0"/>
                      <w:color w:val="auto"/>
                      <w:spacing w:val="0"/>
                      <w:kern w:val="2"/>
                      <w:sz w:val="21"/>
                      <w:szCs w:val="21"/>
                      <w:highlight w:val="none"/>
                      <w:shd w:val="clear" w:fill="FFFFFF"/>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无资料</w:t>
                  </w:r>
                </w:p>
              </w:tc>
            </w:tr>
            <w:tr w14:paraId="22EC03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20200F67">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硝酸</w:t>
                  </w:r>
                </w:p>
              </w:tc>
              <w:tc>
                <w:tcPr>
                  <w:tcW w:w="1142" w:type="dxa"/>
                  <w:vAlign w:val="center"/>
                </w:tcPr>
                <w:p w14:paraId="7055CE9A">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333333"/>
                      <w:spacing w:val="0"/>
                      <w:sz w:val="18"/>
                      <w:szCs w:val="18"/>
                      <w:shd w:val="clear" w:fill="FFFFFF"/>
                      <w:lang w:val="en-US" w:eastAsia="zh-CN"/>
                    </w:rPr>
                  </w:pPr>
                  <w:r>
                    <w:rPr>
                      <w:rFonts w:ascii="Times New Roman" w:hAnsi="Times New Roman" w:eastAsia="Helvetica" w:cs="Times New Roman"/>
                      <w:i w:val="0"/>
                      <w:iCs w:val="0"/>
                      <w:caps w:val="0"/>
                      <w:snapToGrid w:val="0"/>
                      <w:color w:val="333333"/>
                      <w:spacing w:val="0"/>
                      <w:sz w:val="18"/>
                      <w:szCs w:val="18"/>
                      <w:shd w:val="clear" w:fill="FFFFFF"/>
                    </w:rPr>
                    <w:t>HNO</w:t>
                  </w:r>
                  <w:r>
                    <w:rPr>
                      <w:rFonts w:hint="default" w:ascii="Times New Roman" w:hAnsi="Times New Roman" w:eastAsia="Helvetica" w:cs="Times New Roman"/>
                      <w:i w:val="0"/>
                      <w:iCs w:val="0"/>
                      <w:caps w:val="0"/>
                      <w:snapToGrid w:val="0"/>
                      <w:color w:val="333333"/>
                      <w:spacing w:val="0"/>
                      <w:sz w:val="13"/>
                      <w:szCs w:val="13"/>
                      <w:shd w:val="clear" w:fill="FFFFFF"/>
                      <w:vertAlign w:val="baseline"/>
                    </w:rPr>
                    <w:t>3</w:t>
                  </w:r>
                </w:p>
              </w:tc>
              <w:tc>
                <w:tcPr>
                  <w:tcW w:w="2758" w:type="dxa"/>
                  <w:vAlign w:val="center"/>
                </w:tcPr>
                <w:p w14:paraId="0DF26C28">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熔点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 xml:space="preserve">-42 ℃ </w:t>
                  </w:r>
                </w:p>
                <w:p w14:paraId="03609B7B">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沸点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 xml:space="preserve">83 ℃ </w:t>
                  </w:r>
                </w:p>
                <w:p w14:paraId="5D77FB07">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密度</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 xml:space="preserve">1.5 g/cm³ </w:t>
                  </w:r>
                </w:p>
              </w:tc>
              <w:tc>
                <w:tcPr>
                  <w:tcW w:w="1296" w:type="dxa"/>
                  <w:shd w:val="clear" w:color="auto" w:fill="auto"/>
                  <w:vAlign w:val="center"/>
                </w:tcPr>
                <w:p w14:paraId="6EEA78DD">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无资料</w:t>
                  </w:r>
                </w:p>
              </w:tc>
              <w:tc>
                <w:tcPr>
                  <w:tcW w:w="1618" w:type="dxa"/>
                  <w:shd w:val="clear" w:color="auto" w:fill="auto"/>
                  <w:vAlign w:val="center"/>
                </w:tcPr>
                <w:p w14:paraId="22C5F8E6">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Helvetica" w:cs="Times New Roman"/>
                      <w:i w:val="0"/>
                      <w:iCs w:val="0"/>
                      <w:caps w:val="0"/>
                      <w:snapToGrid w:val="0"/>
                      <w:color w:val="auto"/>
                      <w:spacing w:val="0"/>
                      <w:kern w:val="2"/>
                      <w:sz w:val="21"/>
                      <w:szCs w:val="21"/>
                      <w:highlight w:val="none"/>
                      <w:shd w:val="clear" w:fill="FFFFFF"/>
                      <w:lang w:val="en-US" w:eastAsia="zh-CN" w:bidi="ar-SA"/>
                    </w:rPr>
                  </w:pP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无资料</w:t>
                  </w:r>
                </w:p>
              </w:tc>
            </w:tr>
            <w:tr w14:paraId="215013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4FB46F62">
                  <w:pPr>
                    <w:keepNext w:val="0"/>
                    <w:keepLines w:val="0"/>
                    <w:widowControl/>
                    <w:suppressLineNumbers w:val="0"/>
                    <w:jc w:val="center"/>
                    <w:textAlignment w:val="center"/>
                    <w:rPr>
                      <w:rFonts w:hint="default" w:ascii="Times New Roman" w:hAnsi="Times New Roman" w:eastAsia="宋体" w:cs="Times New Roman"/>
                      <w:i w:val="0"/>
                      <w:iCs w:val="0"/>
                      <w:snapToGrid w:val="0"/>
                      <w:color w:val="000000"/>
                      <w:kern w:val="0"/>
                      <w:sz w:val="21"/>
                      <w:szCs w:val="21"/>
                      <w:highlight w:val="none"/>
                      <w:u w:val="none"/>
                      <w:lang w:val="en-US" w:eastAsia="zh-CN" w:bidi="ar"/>
                    </w:rPr>
                  </w:pPr>
                  <w:r>
                    <w:rPr>
                      <w:rFonts w:hint="default" w:ascii="Times New Roman" w:hAnsi="Times New Roman" w:eastAsia="宋体" w:cs="Times New Roman"/>
                      <w:i w:val="0"/>
                      <w:iCs w:val="0"/>
                      <w:snapToGrid w:val="0"/>
                      <w:color w:val="auto"/>
                      <w:kern w:val="0"/>
                      <w:sz w:val="21"/>
                      <w:szCs w:val="21"/>
                      <w:highlight w:val="none"/>
                      <w:u w:val="none"/>
                      <w:lang w:val="en-US" w:eastAsia="zh-CN" w:bidi="ar"/>
                    </w:rPr>
                    <w:t>丙酮氰醇</w:t>
                  </w:r>
                </w:p>
              </w:tc>
              <w:tc>
                <w:tcPr>
                  <w:tcW w:w="1142" w:type="dxa"/>
                  <w:vAlign w:val="center"/>
                </w:tcPr>
                <w:p w14:paraId="23A8C3CB">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333333"/>
                      <w:spacing w:val="0"/>
                      <w:sz w:val="18"/>
                      <w:szCs w:val="18"/>
                      <w:shd w:val="clear" w:fill="FFFFFF"/>
                      <w:lang w:val="en-US" w:eastAsia="zh-CN"/>
                    </w:rPr>
                  </w:pPr>
                  <w:r>
                    <w:rPr>
                      <w:rFonts w:ascii="Times New Roman" w:hAnsi="Times New Roman" w:eastAsia="Helvetica" w:cs="Times New Roman"/>
                      <w:i w:val="0"/>
                      <w:iCs w:val="0"/>
                      <w:caps w:val="0"/>
                      <w:snapToGrid w:val="0"/>
                      <w:color w:val="333333"/>
                      <w:spacing w:val="0"/>
                      <w:sz w:val="21"/>
                      <w:szCs w:val="21"/>
                      <w:shd w:val="clear" w:fill="FFFFFF"/>
                    </w:rPr>
                    <w:t>C</w:t>
                  </w:r>
                  <w:r>
                    <w:rPr>
                      <w:rFonts w:hint="default" w:ascii="Times New Roman" w:hAnsi="Times New Roman" w:eastAsia="Helvetica" w:cs="Times New Roman"/>
                      <w:i w:val="0"/>
                      <w:iCs w:val="0"/>
                      <w:caps w:val="0"/>
                      <w:snapToGrid w:val="0"/>
                      <w:color w:val="333333"/>
                      <w:spacing w:val="0"/>
                      <w:sz w:val="15"/>
                      <w:szCs w:val="15"/>
                      <w:shd w:val="clear" w:fill="FFFFFF"/>
                      <w:vertAlign w:val="baseline"/>
                    </w:rPr>
                    <w:t>4</w:t>
                  </w:r>
                  <w:r>
                    <w:rPr>
                      <w:rFonts w:hint="default" w:ascii="Times New Roman" w:hAnsi="Times New Roman" w:eastAsia="Helvetica" w:cs="Times New Roman"/>
                      <w:i w:val="0"/>
                      <w:iCs w:val="0"/>
                      <w:caps w:val="0"/>
                      <w:snapToGrid w:val="0"/>
                      <w:color w:val="333333"/>
                      <w:spacing w:val="0"/>
                      <w:sz w:val="21"/>
                      <w:szCs w:val="21"/>
                      <w:shd w:val="clear" w:fill="FFFFFF"/>
                    </w:rPr>
                    <w:t>H</w:t>
                  </w:r>
                  <w:r>
                    <w:rPr>
                      <w:rFonts w:hint="default" w:ascii="Times New Roman" w:hAnsi="Times New Roman" w:eastAsia="Helvetica" w:cs="Times New Roman"/>
                      <w:i w:val="0"/>
                      <w:iCs w:val="0"/>
                      <w:caps w:val="0"/>
                      <w:snapToGrid w:val="0"/>
                      <w:color w:val="333333"/>
                      <w:spacing w:val="0"/>
                      <w:sz w:val="15"/>
                      <w:szCs w:val="15"/>
                      <w:shd w:val="clear" w:fill="FFFFFF"/>
                      <w:vertAlign w:val="baseline"/>
                    </w:rPr>
                    <w:t>7</w:t>
                  </w:r>
                  <w:r>
                    <w:rPr>
                      <w:rFonts w:hint="default" w:ascii="Times New Roman" w:hAnsi="Times New Roman" w:eastAsia="Helvetica" w:cs="Times New Roman"/>
                      <w:i w:val="0"/>
                      <w:iCs w:val="0"/>
                      <w:caps w:val="0"/>
                      <w:snapToGrid w:val="0"/>
                      <w:color w:val="333333"/>
                      <w:spacing w:val="0"/>
                      <w:sz w:val="21"/>
                      <w:szCs w:val="21"/>
                      <w:shd w:val="clear" w:fill="FFFFFF"/>
                    </w:rPr>
                    <w:t>NO</w:t>
                  </w:r>
                </w:p>
              </w:tc>
              <w:tc>
                <w:tcPr>
                  <w:tcW w:w="2758" w:type="dxa"/>
                  <w:vAlign w:val="center"/>
                </w:tcPr>
                <w:p w14:paraId="771840E8">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沸点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120 ℃（分解）</w:t>
                  </w:r>
                </w:p>
                <w:p w14:paraId="59922552">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密度</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0.932 g/cm³</w:t>
                  </w:r>
                </w:p>
                <w:p w14:paraId="2386B4C5">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外观</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无色至淡黄色液体</w:t>
                  </w:r>
                </w:p>
              </w:tc>
              <w:tc>
                <w:tcPr>
                  <w:tcW w:w="1296" w:type="dxa"/>
                  <w:shd w:val="clear" w:color="auto" w:fill="auto"/>
                  <w:vAlign w:val="center"/>
                </w:tcPr>
                <w:p w14:paraId="6E6927C8">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无资料</w:t>
                  </w:r>
                </w:p>
              </w:tc>
              <w:tc>
                <w:tcPr>
                  <w:tcW w:w="1618" w:type="dxa"/>
                  <w:shd w:val="clear" w:color="auto" w:fill="auto"/>
                  <w:vAlign w:val="center"/>
                </w:tcPr>
                <w:p w14:paraId="67DC5F33">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pPr>
                  <w:r>
                    <w:rPr>
                      <w:rFonts w:hint="default" w:ascii="Times New Roman" w:hAnsi="Times New Roman" w:cs="Times New Roman"/>
                      <w:snapToGrid w:val="0"/>
                      <w:color w:val="auto"/>
                      <w:szCs w:val="21"/>
                      <w:highlight w:val="none"/>
                      <w:shd w:val="clear" w:fill="FFFFFF"/>
                    </w:rPr>
                    <w:t>LD50：15mg/kg（小鼠经口）；140mg/kg（豚鼠经皮）；17mg/kg（大鼠经口）； LC50：575ppm/2小时（小鼠吸入）</w:t>
                  </w:r>
                </w:p>
              </w:tc>
            </w:tr>
            <w:tr w14:paraId="74A84D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07D6F341">
                  <w:pPr>
                    <w:keepNext w:val="0"/>
                    <w:keepLines w:val="0"/>
                    <w:widowControl/>
                    <w:suppressLineNumbers w:val="0"/>
                    <w:jc w:val="center"/>
                    <w:textAlignment w:val="center"/>
                    <w:rPr>
                      <w:rFonts w:hint="default" w:ascii="Times New Roman" w:hAnsi="Times New Roman" w:eastAsia="宋体" w:cs="Times New Roman"/>
                      <w:i w:val="0"/>
                      <w:iCs w:val="0"/>
                      <w:snapToGrid w:val="0"/>
                      <w:color w:val="auto"/>
                      <w:kern w:val="0"/>
                      <w:sz w:val="22"/>
                      <w:szCs w:val="22"/>
                      <w:highlight w:val="none"/>
                      <w:u w:val="none"/>
                      <w:lang w:val="en-US" w:eastAsia="zh-CN" w:bidi="ar"/>
                    </w:rPr>
                  </w:pPr>
                  <w:r>
                    <w:rPr>
                      <w:rFonts w:ascii="Times New Roman" w:hAnsi="Times New Roman" w:eastAsia="Helvetica" w:cs="Times New Roman"/>
                      <w:i w:val="0"/>
                      <w:iCs w:val="0"/>
                      <w:caps w:val="0"/>
                      <w:snapToGrid w:val="0"/>
                      <w:color w:val="333333"/>
                      <w:spacing w:val="0"/>
                      <w:sz w:val="21"/>
                      <w:szCs w:val="21"/>
                      <w:shd w:val="clear" w:fill="FFFFFF"/>
                    </w:rPr>
                    <w:t>氰化钠</w:t>
                  </w:r>
                </w:p>
              </w:tc>
              <w:tc>
                <w:tcPr>
                  <w:tcW w:w="1142" w:type="dxa"/>
                  <w:vAlign w:val="center"/>
                </w:tcPr>
                <w:p w14:paraId="172B4545">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Times New Roman" w:hAnsi="Times New Roman" w:eastAsia="Helvetica" w:cs="Times New Roman"/>
                      <w:i w:val="0"/>
                      <w:iCs w:val="0"/>
                      <w:caps w:val="0"/>
                      <w:snapToGrid w:val="0"/>
                      <w:color w:val="333333"/>
                      <w:spacing w:val="0"/>
                      <w:sz w:val="21"/>
                      <w:szCs w:val="21"/>
                      <w:shd w:val="clear" w:fill="FFFFFF"/>
                    </w:rPr>
                  </w:pPr>
                  <w:r>
                    <w:rPr>
                      <w:rFonts w:ascii="Times New Roman" w:hAnsi="Times New Roman" w:eastAsia="Helvetica" w:cs="Times New Roman"/>
                      <w:i w:val="0"/>
                      <w:iCs w:val="0"/>
                      <w:caps w:val="0"/>
                      <w:snapToGrid w:val="0"/>
                      <w:color w:val="333333"/>
                      <w:spacing w:val="0"/>
                      <w:sz w:val="21"/>
                      <w:szCs w:val="21"/>
                      <w:shd w:val="clear" w:fill="FFFFFF"/>
                    </w:rPr>
                    <w:t>NaCN</w:t>
                  </w:r>
                </w:p>
              </w:tc>
              <w:tc>
                <w:tcPr>
                  <w:tcW w:w="2758" w:type="dxa"/>
                  <w:vAlign w:val="center"/>
                </w:tcPr>
                <w:p w14:paraId="78521517">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熔点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563.7 ℃</w:t>
                  </w:r>
                </w:p>
                <w:p w14:paraId="304AF58E">
                  <w:pPr>
                    <w:pStyle w:val="3"/>
                    <w:spacing w:line="240" w:lineRule="auto"/>
                    <w:jc w:val="both"/>
                    <w:rPr>
                      <w:rFonts w:hint="default" w:ascii="Times New Roman" w:hAnsi="Times New Roman" w:eastAsia="Helvetica" w:cs="Times New Roman"/>
                      <w:snapToGrid w:val="0"/>
                      <w:color w:val="auto"/>
                      <w:sz w:val="21"/>
                      <w:szCs w:val="21"/>
                      <w:highlight w:val="none"/>
                      <w:shd w:val="clear" w:fill="FFFFFF"/>
                    </w:rPr>
                  </w:pPr>
                  <w:r>
                    <w:rPr>
                      <w:rFonts w:hint="default" w:ascii="Times New Roman" w:hAnsi="Times New Roman" w:eastAsia="Helvetica" w:cs="Times New Roman"/>
                      <w:snapToGrid w:val="0"/>
                      <w:color w:val="auto"/>
                      <w:sz w:val="21"/>
                      <w:szCs w:val="21"/>
                      <w:highlight w:val="none"/>
                      <w:shd w:val="clear" w:fill="FFFFFF"/>
                    </w:rPr>
                    <w:t>沸点</w:t>
                  </w:r>
                  <w:r>
                    <w:rPr>
                      <w:rFonts w:hint="default" w:ascii="Times New Roman" w:hAnsi="Times New Roman" w:eastAsia="宋体" w:cs="Times New Roman"/>
                      <w:snapToGrid w:val="0"/>
                      <w:color w:val="auto"/>
                      <w:sz w:val="21"/>
                      <w:szCs w:val="21"/>
                      <w:highlight w:val="none"/>
                      <w:shd w:val="clear" w:fill="FFFFFF"/>
                      <w:lang w:eastAsia="zh-CN"/>
                    </w:rPr>
                    <w:t>：</w:t>
                  </w:r>
                  <w:r>
                    <w:rPr>
                      <w:rFonts w:hint="default" w:ascii="Times New Roman" w:hAnsi="Times New Roman" w:eastAsia="Helvetica" w:cs="Times New Roman"/>
                      <w:snapToGrid w:val="0"/>
                      <w:color w:val="auto"/>
                      <w:sz w:val="21"/>
                      <w:szCs w:val="21"/>
                      <w:highlight w:val="none"/>
                      <w:shd w:val="clear" w:fill="FFFFFF"/>
                    </w:rPr>
                    <w:t>1496 ℃</w:t>
                  </w:r>
                </w:p>
                <w:p w14:paraId="6ACB334F">
                  <w:pPr>
                    <w:rPr>
                      <w:rFonts w:hint="default" w:ascii="Times New Roman" w:hAnsi="Times New Roman" w:cs="Times New Roman"/>
                      <w:snapToGrid w:val="0"/>
                      <w:color w:val="000000"/>
                    </w:rPr>
                  </w:pPr>
                  <w:r>
                    <w:rPr>
                      <w:rFonts w:hint="default" w:ascii="Times New Roman" w:hAnsi="Times New Roman" w:cs="Times New Roman"/>
                      <w:snapToGrid w:val="0"/>
                      <w:color w:val="000000"/>
                    </w:rPr>
                    <w:t>密度</w:t>
                  </w:r>
                  <w:r>
                    <w:rPr>
                      <w:rFonts w:hint="default" w:ascii="Times New Roman" w:hAnsi="Times New Roman" w:cs="Times New Roman"/>
                      <w:snapToGrid w:val="0"/>
                      <w:color w:val="000000"/>
                      <w:lang w:eastAsia="zh-CN"/>
                    </w:rPr>
                    <w:t>：</w:t>
                  </w:r>
                  <w:r>
                    <w:rPr>
                      <w:rFonts w:hint="default" w:ascii="Times New Roman" w:hAnsi="Times New Roman" w:cs="Times New Roman"/>
                      <w:snapToGrid w:val="0"/>
                      <w:color w:val="000000"/>
                    </w:rPr>
                    <w:t>1.595 g/cm³</w:t>
                  </w:r>
                </w:p>
                <w:p w14:paraId="66B9708D">
                  <w:pPr>
                    <w:rPr>
                      <w:rFonts w:hint="default" w:ascii="Times New Roman" w:hAnsi="Times New Roman" w:cs="Times New Roman"/>
                      <w:snapToGrid w:val="0"/>
                      <w:color w:val="000000"/>
                    </w:rPr>
                  </w:pPr>
                  <w:r>
                    <w:rPr>
                      <w:rFonts w:hint="default" w:ascii="Times New Roman" w:hAnsi="Times New Roman" w:cs="Times New Roman"/>
                      <w:snapToGrid w:val="0"/>
                      <w:color w:val="000000"/>
                    </w:rPr>
                    <w:t>外观</w:t>
                  </w:r>
                  <w:r>
                    <w:rPr>
                      <w:rFonts w:hint="default" w:ascii="Times New Roman" w:hAnsi="Times New Roman" w:cs="Times New Roman"/>
                      <w:snapToGrid w:val="0"/>
                      <w:color w:val="000000"/>
                      <w:lang w:eastAsia="zh-CN"/>
                    </w:rPr>
                    <w:t>：</w:t>
                  </w:r>
                  <w:r>
                    <w:rPr>
                      <w:rFonts w:hint="default" w:ascii="Times New Roman" w:hAnsi="Times New Roman" w:cs="Times New Roman"/>
                      <w:snapToGrid w:val="0"/>
                      <w:color w:val="000000"/>
                    </w:rPr>
                    <w:t>白色结晶性粉末</w:t>
                  </w:r>
                </w:p>
              </w:tc>
              <w:tc>
                <w:tcPr>
                  <w:tcW w:w="1296" w:type="dxa"/>
                  <w:shd w:val="clear" w:color="auto" w:fill="auto"/>
                  <w:vAlign w:val="center"/>
                </w:tcPr>
                <w:p w14:paraId="653786AC">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pPr>
                  <w:r>
                    <w:rPr>
                      <w:rFonts w:hint="default" w:ascii="Times New Roman" w:hAnsi="Times New Roman" w:eastAsia="宋体" w:cs="Times New Roman"/>
                      <w:i w:val="0"/>
                      <w:iCs w:val="0"/>
                      <w:caps w:val="0"/>
                      <w:snapToGrid w:val="0"/>
                      <w:color w:val="auto"/>
                      <w:spacing w:val="0"/>
                      <w:sz w:val="21"/>
                      <w:szCs w:val="21"/>
                      <w:highlight w:val="none"/>
                      <w:shd w:val="clear" w:fill="FFFFFF"/>
                      <w:lang w:val="en-US" w:eastAsia="zh-CN"/>
                    </w:rPr>
                    <w:t>无资料</w:t>
                  </w:r>
                </w:p>
              </w:tc>
              <w:tc>
                <w:tcPr>
                  <w:tcW w:w="1618" w:type="dxa"/>
                  <w:shd w:val="clear" w:color="auto" w:fill="auto"/>
                  <w:vAlign w:val="center"/>
                </w:tcPr>
                <w:p w14:paraId="0A2B0E1B">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snapToGrid w:val="0"/>
                      <w:color w:val="000000"/>
                      <w:szCs w:val="21"/>
                      <w:highlight w:val="none"/>
                      <w:shd w:val="clear" w:fill="FFFFFF"/>
                    </w:rPr>
                  </w:pPr>
                  <w:r>
                    <w:rPr>
                      <w:rFonts w:hint="default" w:ascii="Times New Roman" w:hAnsi="Times New Roman" w:cs="Times New Roman"/>
                      <w:snapToGrid w:val="0"/>
                      <w:color w:val="auto"/>
                      <w:szCs w:val="21"/>
                      <w:highlight w:val="none"/>
                      <w:shd w:val="clear" w:fill="FFFFFF"/>
                    </w:rPr>
                    <w:t>大鼠经口LD50：6440 μg/kg；大鼠腹腔LD50：4300 μg/kg；小鼠腹腔LD50：4900 μg/kg；小鼠皮下LD50：3600 μg/kg</w:t>
                  </w:r>
                </w:p>
              </w:tc>
            </w:tr>
            <w:tr w14:paraId="10A41A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40" w:hRule="atLeast"/>
              </w:trPr>
              <w:tc>
                <w:tcPr>
                  <w:tcW w:w="1044" w:type="dxa"/>
                  <w:shd w:val="clear" w:color="auto" w:fill="auto"/>
                  <w:vAlign w:val="center"/>
                </w:tcPr>
                <w:p w14:paraId="70525907">
                  <w:pPr>
                    <w:keepNext w:val="0"/>
                    <w:keepLines w:val="0"/>
                    <w:widowControl/>
                    <w:suppressLineNumbers w:val="0"/>
                    <w:jc w:val="center"/>
                    <w:textAlignment w:val="center"/>
                    <w:rPr>
                      <w:rFonts w:hint="default" w:ascii="Times New Roman" w:hAnsi="Times New Roman" w:eastAsia="宋体" w:cs="Times New Roman"/>
                      <w:i w:val="0"/>
                      <w:iCs w:val="0"/>
                      <w:caps w:val="0"/>
                      <w:snapToGrid w:val="0"/>
                      <w:color w:val="000000"/>
                      <w:spacing w:val="0"/>
                      <w:sz w:val="21"/>
                      <w:szCs w:val="21"/>
                      <w:shd w:val="clear"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fill="FFFFFF"/>
                      <w:lang w:val="en-US" w:eastAsia="zh-CN"/>
                    </w:rPr>
                    <w:t>盐酸</w:t>
                  </w:r>
                </w:p>
              </w:tc>
              <w:tc>
                <w:tcPr>
                  <w:tcW w:w="1142" w:type="dxa"/>
                  <w:vAlign w:val="center"/>
                </w:tcPr>
                <w:p w14:paraId="1E35E892">
                  <w:pPr>
                    <w:pStyle w:val="83"/>
                    <w:keepNext w:val="0"/>
                    <w:keepLines w:val="0"/>
                    <w:pageBreakBefore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hint="default" w:ascii="Times New Roman" w:hAnsi="Times New Roman" w:eastAsia="宋体" w:cs="Times New Roman"/>
                      <w:i w:val="0"/>
                      <w:iCs w:val="0"/>
                      <w:caps w:val="0"/>
                      <w:snapToGrid w:val="0"/>
                      <w:color w:val="000000"/>
                      <w:spacing w:val="0"/>
                      <w:sz w:val="21"/>
                      <w:szCs w:val="21"/>
                      <w:shd w:val="clear" w:fill="FFFFFF"/>
                      <w:lang w:val="en-US" w:eastAsia="zh-CN"/>
                    </w:rPr>
                  </w:pPr>
                  <w:r>
                    <w:rPr>
                      <w:rFonts w:hint="default" w:ascii="Times New Roman" w:hAnsi="Times New Roman" w:eastAsia="宋体" w:cs="Times New Roman"/>
                      <w:i w:val="0"/>
                      <w:iCs w:val="0"/>
                      <w:caps w:val="0"/>
                      <w:snapToGrid w:val="0"/>
                      <w:color w:val="333333"/>
                      <w:spacing w:val="0"/>
                      <w:sz w:val="21"/>
                      <w:szCs w:val="21"/>
                      <w:shd w:val="clear" w:fill="FFFFFF"/>
                      <w:lang w:val="en-US" w:eastAsia="zh-CN"/>
                    </w:rPr>
                    <w:t>HCl</w:t>
                  </w:r>
                </w:p>
              </w:tc>
              <w:tc>
                <w:tcPr>
                  <w:tcW w:w="2758" w:type="dxa"/>
                  <w:vAlign w:val="center"/>
                </w:tcPr>
                <w:p w14:paraId="3BEF7129">
                  <w:pPr>
                    <w:rPr>
                      <w:rFonts w:hint="default"/>
                      <w:snapToGrid w:val="0"/>
                      <w:color w:val="000000"/>
                    </w:rPr>
                  </w:pPr>
                  <w:r>
                    <w:rPr>
                      <w:rFonts w:hint="default"/>
                      <w:snapToGrid w:val="0"/>
                      <w:color w:val="000000"/>
                    </w:rPr>
                    <w:t>熔点-27.32 ℃（38％溶液）</w:t>
                  </w:r>
                </w:p>
                <w:p w14:paraId="48BA0548">
                  <w:pPr>
                    <w:rPr>
                      <w:rFonts w:hint="default"/>
                      <w:snapToGrid w:val="0"/>
                      <w:color w:val="000000"/>
                    </w:rPr>
                  </w:pPr>
                  <w:r>
                    <w:rPr>
                      <w:rFonts w:hint="default"/>
                      <w:snapToGrid w:val="0"/>
                      <w:color w:val="000000"/>
                    </w:rPr>
                    <w:t>沸 点48 ℃（38％溶液）</w:t>
                  </w:r>
                </w:p>
                <w:p w14:paraId="00E8A8D2">
                  <w:pPr>
                    <w:rPr>
                      <w:rFonts w:hint="default"/>
                      <w:snapToGrid w:val="0"/>
                      <w:color w:val="000000"/>
                    </w:rPr>
                  </w:pPr>
                  <w:r>
                    <w:rPr>
                      <w:rFonts w:hint="eastAsia"/>
                      <w:snapToGrid w:val="0"/>
                      <w:color w:val="000000"/>
                      <w:lang w:val="en-US" w:eastAsia="zh-CN"/>
                    </w:rPr>
                    <w:t>密度：1.179</w:t>
                  </w:r>
                  <w:r>
                    <w:rPr>
                      <w:rFonts w:hint="default" w:ascii="Times New Roman" w:hAnsi="Times New Roman" w:cs="Times New Roman"/>
                      <w:snapToGrid w:val="0"/>
                      <w:color w:val="000000"/>
                    </w:rPr>
                    <w:t xml:space="preserve"> g/cm³</w:t>
                  </w:r>
                </w:p>
                <w:p w14:paraId="4DF813A5">
                  <w:pPr>
                    <w:rPr>
                      <w:rFonts w:hint="default"/>
                      <w:snapToGrid w:val="0"/>
                      <w:color w:val="000000"/>
                    </w:rPr>
                  </w:pPr>
                  <w:r>
                    <w:rPr>
                      <w:rFonts w:hint="default"/>
                      <w:snapToGrid w:val="0"/>
                      <w:color w:val="000000"/>
                    </w:rPr>
                    <w:t>外观</w:t>
                  </w:r>
                  <w:r>
                    <w:rPr>
                      <w:rFonts w:hint="default"/>
                      <w:snapToGrid w:val="0"/>
                      <w:color w:val="000000"/>
                      <w:lang w:eastAsia="zh-CN"/>
                    </w:rPr>
                    <w:t>：</w:t>
                  </w:r>
                  <w:r>
                    <w:rPr>
                      <w:rFonts w:hint="default"/>
                      <w:snapToGrid w:val="0"/>
                      <w:color w:val="000000"/>
                    </w:rPr>
                    <w:t>无色至淡黄色清澈液体</w:t>
                  </w:r>
                </w:p>
              </w:tc>
              <w:tc>
                <w:tcPr>
                  <w:tcW w:w="1296" w:type="dxa"/>
                  <w:shd w:val="clear" w:color="auto" w:fill="auto"/>
                  <w:vAlign w:val="center"/>
                </w:tcPr>
                <w:p w14:paraId="21AB3E39">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eastAsia="宋体" w:cs="Times New Roman"/>
                      <w:i w:val="0"/>
                      <w:iCs w:val="0"/>
                      <w:caps w:val="0"/>
                      <w:snapToGrid w:val="0"/>
                      <w:color w:val="000000"/>
                      <w:spacing w:val="0"/>
                      <w:sz w:val="21"/>
                      <w:szCs w:val="21"/>
                      <w:highlight w:val="none"/>
                      <w:shd w:val="clear" w:fill="FFFFFF"/>
                      <w:lang w:val="en-US" w:eastAsia="zh-CN"/>
                    </w:rPr>
                  </w:pPr>
                  <w:r>
                    <w:rPr>
                      <w:rFonts w:hint="default" w:eastAsia="宋体" w:cs="Times New Roman"/>
                      <w:i w:val="0"/>
                      <w:iCs w:val="0"/>
                      <w:caps w:val="0"/>
                      <w:snapToGrid w:val="0"/>
                      <w:color w:val="auto"/>
                      <w:spacing w:val="0"/>
                      <w:sz w:val="21"/>
                      <w:szCs w:val="21"/>
                      <w:highlight w:val="none"/>
                      <w:shd w:val="clear" w:fill="FFFFFF"/>
                      <w:lang w:val="en-US" w:eastAsia="zh-CN"/>
                    </w:rPr>
                    <w:t>无资料</w:t>
                  </w:r>
                </w:p>
              </w:tc>
              <w:tc>
                <w:tcPr>
                  <w:tcW w:w="1618" w:type="dxa"/>
                  <w:shd w:val="clear" w:color="auto" w:fill="auto"/>
                  <w:vAlign w:val="center"/>
                </w:tcPr>
                <w:p w14:paraId="568137A7">
                  <w:pPr>
                    <w:keepNext w:val="0"/>
                    <w:keepLines w:val="0"/>
                    <w:pageBreakBefore w:val="0"/>
                    <w:widowControl/>
                    <w:wordWrap/>
                    <w:overflowPunct/>
                    <w:topLinePunct w:val="0"/>
                    <w:autoSpaceDE w:val="0"/>
                    <w:autoSpaceDN w:val="0"/>
                    <w:bidi w:val="0"/>
                    <w:adjustRightInd w:val="0"/>
                    <w:snapToGrid w:val="0"/>
                    <w:ind w:left="0" w:leftChars="0" w:right="0" w:rightChars="0" w:firstLine="0" w:firstLineChars="0"/>
                    <w:jc w:val="center"/>
                    <w:rPr>
                      <w:rFonts w:hint="default"/>
                      <w:snapToGrid w:val="0"/>
                      <w:color w:val="000000"/>
                      <w:szCs w:val="21"/>
                      <w:highlight w:val="none"/>
                      <w:shd w:val="clear" w:fill="FFFFFF"/>
                    </w:rPr>
                  </w:pPr>
                  <w:r>
                    <w:rPr>
                      <w:rFonts w:hint="default" w:eastAsia="宋体" w:cs="Times New Roman"/>
                      <w:i w:val="0"/>
                      <w:iCs w:val="0"/>
                      <w:caps w:val="0"/>
                      <w:snapToGrid w:val="0"/>
                      <w:color w:val="auto"/>
                      <w:spacing w:val="0"/>
                      <w:sz w:val="21"/>
                      <w:szCs w:val="21"/>
                      <w:highlight w:val="none"/>
                      <w:shd w:val="clear" w:fill="FFFFFF"/>
                      <w:lang w:val="en-US" w:eastAsia="zh-CN"/>
                    </w:rPr>
                    <w:t>无资料</w:t>
                  </w:r>
                </w:p>
              </w:tc>
            </w:tr>
          </w:tbl>
          <w:p w14:paraId="6A36576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22" w:firstLineChars="175"/>
              <w:jc w:val="left"/>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bCs/>
                <w:color w:val="auto"/>
                <w:kern w:val="2"/>
                <w:sz w:val="24"/>
                <w:szCs w:val="24"/>
                <w:highlight w:val="none"/>
                <w:lang w:val="en-US" w:eastAsia="zh-CN" w:bidi="ar-SA"/>
              </w:rPr>
              <w:t>5.</w:t>
            </w:r>
            <w:r>
              <w:rPr>
                <w:rFonts w:hint="default" w:ascii="Times New Roman" w:hAnsi="Times New Roman" w:eastAsia="宋体" w:cs="Times New Roman"/>
                <w:b/>
                <w:bCs/>
                <w:color w:val="auto"/>
                <w:sz w:val="24"/>
                <w:highlight w:val="none"/>
                <w:lang w:val="en-US" w:eastAsia="zh-CN"/>
              </w:rPr>
              <w:t>主要</w:t>
            </w:r>
            <w:r>
              <w:rPr>
                <w:rFonts w:hint="eastAsia" w:ascii="Times New Roman" w:hAnsi="Times New Roman" w:eastAsia="宋体" w:cs="Times New Roman"/>
                <w:b/>
                <w:bCs/>
                <w:color w:val="auto"/>
                <w:sz w:val="24"/>
                <w:highlight w:val="none"/>
                <w:lang w:val="en-US" w:eastAsia="zh-CN"/>
              </w:rPr>
              <w:t>工艺设备</w:t>
            </w:r>
          </w:p>
          <w:p w14:paraId="3C93FB2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20" w:firstLineChars="175"/>
              <w:jc w:val="left"/>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本</w:t>
            </w:r>
            <w:r>
              <w:rPr>
                <w:rFonts w:hint="eastAsia" w:cs="Times New Roman"/>
                <w:b w:val="0"/>
                <w:bCs w:val="0"/>
                <w:color w:val="auto"/>
                <w:sz w:val="24"/>
                <w:highlight w:val="none"/>
                <w:lang w:val="en-US" w:eastAsia="zh-CN"/>
              </w:rPr>
              <w:t>次扩建项目未新增设备，均依托原有</w:t>
            </w:r>
            <w:r>
              <w:rPr>
                <w:rFonts w:hint="eastAsia" w:cs="Times New Roman"/>
                <w:i w:val="0"/>
                <w:iCs w:val="0"/>
                <w:color w:val="auto"/>
                <w:kern w:val="2"/>
                <w:sz w:val="24"/>
                <w:szCs w:val="24"/>
                <w:highlight w:val="none"/>
                <w:u w:val="none"/>
                <w:lang w:val="en-US" w:eastAsia="zh-CN" w:bidi="ar"/>
              </w:rPr>
              <w:t>设备。现有项目</w:t>
            </w:r>
            <w:r>
              <w:rPr>
                <w:rFonts w:hint="eastAsia" w:ascii="Times New Roman" w:hAnsi="Times New Roman" w:eastAsia="宋体" w:cs="Times New Roman"/>
                <w:b w:val="0"/>
                <w:bCs w:val="0"/>
                <w:color w:val="auto"/>
                <w:sz w:val="24"/>
                <w:highlight w:val="none"/>
                <w:lang w:val="en-US" w:eastAsia="zh-CN"/>
              </w:rPr>
              <w:t>主要设备清单见下表2-</w:t>
            </w:r>
            <w:r>
              <w:rPr>
                <w:rFonts w:hint="eastAsia" w:cs="Times New Roman"/>
                <w:b w:val="0"/>
                <w:bCs w:val="0"/>
                <w:color w:val="auto"/>
                <w:sz w:val="24"/>
                <w:highlight w:val="none"/>
                <w:lang w:val="en-US" w:eastAsia="zh-CN"/>
              </w:rPr>
              <w:t>5</w:t>
            </w:r>
            <w:r>
              <w:rPr>
                <w:rFonts w:hint="eastAsia" w:ascii="Times New Roman" w:hAnsi="Times New Roman" w:eastAsia="宋体" w:cs="Times New Roman"/>
                <w:b w:val="0"/>
                <w:bCs w:val="0"/>
                <w:color w:val="auto"/>
                <w:sz w:val="24"/>
                <w:highlight w:val="none"/>
                <w:lang w:val="en-US" w:eastAsia="zh-CN"/>
              </w:rPr>
              <w:t>。</w:t>
            </w:r>
          </w:p>
          <w:p w14:paraId="5CBF6BF3">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 xml:space="preserve">表2-5 </w:t>
            </w:r>
            <w:r>
              <w:rPr>
                <w:rFonts w:hint="eastAsia" w:cs="Times New Roman"/>
                <w:b/>
                <w:bCs/>
                <w:color w:val="auto"/>
                <w:sz w:val="24"/>
                <w:highlight w:val="none"/>
                <w:lang w:val="en-US" w:eastAsia="zh-CN"/>
              </w:rPr>
              <w:t xml:space="preserve"> 现有项目</w:t>
            </w:r>
            <w:r>
              <w:rPr>
                <w:rFonts w:hint="eastAsia" w:ascii="Times New Roman" w:hAnsi="Times New Roman" w:eastAsia="宋体" w:cs="Times New Roman"/>
                <w:b/>
                <w:bCs/>
                <w:color w:val="auto"/>
                <w:sz w:val="24"/>
                <w:highlight w:val="none"/>
                <w:lang w:val="en-US" w:eastAsia="zh-CN"/>
              </w:rPr>
              <w:t>主要实验设备清单</w:t>
            </w:r>
          </w:p>
          <w:tbl>
            <w:tblPr>
              <w:tblStyle w:val="31"/>
              <w:tblW w:w="795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00"/>
              <w:gridCol w:w="1346"/>
              <w:gridCol w:w="1798"/>
              <w:gridCol w:w="1302"/>
            </w:tblGrid>
            <w:tr w14:paraId="59ABD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AEBA27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序号</w:t>
                  </w:r>
                </w:p>
              </w:tc>
              <w:tc>
                <w:tcPr>
                  <w:tcW w:w="2600" w:type="dxa"/>
                  <w:tcBorders>
                    <w:tl2br w:val="nil"/>
                    <w:tr2bl w:val="nil"/>
                  </w:tcBorders>
                  <w:noWrap w:val="0"/>
                  <w:vAlign w:val="center"/>
                </w:tcPr>
                <w:p w14:paraId="5C02D4AF">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设备名称</w:t>
                  </w:r>
                </w:p>
              </w:tc>
              <w:tc>
                <w:tcPr>
                  <w:tcW w:w="1346" w:type="dxa"/>
                  <w:tcBorders>
                    <w:tl2br w:val="nil"/>
                    <w:tr2bl w:val="nil"/>
                  </w:tcBorders>
                  <w:noWrap w:val="0"/>
                  <w:vAlign w:val="center"/>
                </w:tcPr>
                <w:p w14:paraId="7E87D8B1">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数量</w:t>
                  </w:r>
                </w:p>
              </w:tc>
              <w:tc>
                <w:tcPr>
                  <w:tcW w:w="1798" w:type="dxa"/>
                  <w:tcBorders>
                    <w:tl2br w:val="nil"/>
                    <w:tr2bl w:val="nil"/>
                  </w:tcBorders>
                  <w:noWrap w:val="0"/>
                  <w:vAlign w:val="center"/>
                </w:tcPr>
                <w:p w14:paraId="63C5963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规格型号</w:t>
                  </w:r>
                </w:p>
              </w:tc>
              <w:tc>
                <w:tcPr>
                  <w:tcW w:w="1302" w:type="dxa"/>
                  <w:tcBorders>
                    <w:tl2br w:val="nil"/>
                    <w:tr2bl w:val="nil"/>
                  </w:tcBorders>
                  <w:noWrap w:val="0"/>
                  <w:vAlign w:val="center"/>
                </w:tcPr>
                <w:p w14:paraId="79179759">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备注</w:t>
                  </w:r>
                </w:p>
              </w:tc>
            </w:tr>
            <w:tr w14:paraId="06AFA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D13009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2600" w:type="dxa"/>
                  <w:tcBorders>
                    <w:tl2br w:val="nil"/>
                    <w:tr2bl w:val="nil"/>
                  </w:tcBorders>
                  <w:noWrap w:val="0"/>
                  <w:vAlign w:val="center"/>
                </w:tcPr>
                <w:p w14:paraId="0BC76D9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大龙搅拌器</w:t>
                  </w:r>
                </w:p>
              </w:tc>
              <w:tc>
                <w:tcPr>
                  <w:tcW w:w="1346" w:type="dxa"/>
                  <w:tcBorders>
                    <w:tl2br w:val="nil"/>
                    <w:tr2bl w:val="nil"/>
                  </w:tcBorders>
                  <w:noWrap w:val="0"/>
                  <w:vAlign w:val="center"/>
                </w:tcPr>
                <w:p w14:paraId="6187665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13台</w:t>
                  </w:r>
                </w:p>
              </w:tc>
              <w:tc>
                <w:tcPr>
                  <w:tcW w:w="1798" w:type="dxa"/>
                  <w:tcBorders>
                    <w:tl2br w:val="nil"/>
                    <w:tr2bl w:val="nil"/>
                  </w:tcBorders>
                  <w:noWrap w:val="0"/>
                  <w:vAlign w:val="center"/>
                </w:tcPr>
                <w:p w14:paraId="02FF073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MS-H-Pro</w:t>
                  </w:r>
                </w:p>
              </w:tc>
              <w:tc>
                <w:tcPr>
                  <w:tcW w:w="1302" w:type="dxa"/>
                  <w:tcBorders>
                    <w:tl2br w:val="nil"/>
                    <w:tr2bl w:val="nil"/>
                  </w:tcBorders>
                  <w:noWrap w:val="0"/>
                  <w:vAlign w:val="center"/>
                </w:tcPr>
                <w:p w14:paraId="576F7C7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74C4CE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0BADBF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2600" w:type="dxa"/>
                  <w:tcBorders>
                    <w:tl2br w:val="nil"/>
                    <w:tr2bl w:val="nil"/>
                  </w:tcBorders>
                  <w:noWrap w:val="0"/>
                  <w:vAlign w:val="center"/>
                </w:tcPr>
                <w:p w14:paraId="0D37707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旋转蒸发仪</w:t>
                  </w:r>
                  <w:r>
                    <w:rPr>
                      <w:rFonts w:hint="eastAsia" w:cs="Times New Roman"/>
                      <w:i w:val="0"/>
                      <w:iCs w:val="0"/>
                      <w:color w:val="auto"/>
                      <w:kern w:val="0"/>
                      <w:sz w:val="21"/>
                      <w:szCs w:val="21"/>
                      <w:highlight w:val="none"/>
                      <w:u w:val="none"/>
                      <w:lang w:val="en-US" w:eastAsia="zh-CN" w:bidi="ar"/>
                    </w:rPr>
                    <w:t>（1L）</w:t>
                  </w:r>
                </w:p>
              </w:tc>
              <w:tc>
                <w:tcPr>
                  <w:tcW w:w="1346" w:type="dxa"/>
                  <w:tcBorders>
                    <w:tl2br w:val="nil"/>
                    <w:tr2bl w:val="nil"/>
                  </w:tcBorders>
                  <w:noWrap w:val="0"/>
                  <w:vAlign w:val="center"/>
                </w:tcPr>
                <w:p w14:paraId="763281F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34129B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RE100-Pro</w:t>
                  </w:r>
                </w:p>
              </w:tc>
              <w:tc>
                <w:tcPr>
                  <w:tcW w:w="1302" w:type="dxa"/>
                  <w:tcBorders>
                    <w:tl2br w:val="nil"/>
                    <w:tr2bl w:val="nil"/>
                  </w:tcBorders>
                  <w:noWrap w:val="0"/>
                  <w:vAlign w:val="center"/>
                </w:tcPr>
                <w:p w14:paraId="755C30B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6537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B06912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2600" w:type="dxa"/>
                  <w:tcBorders>
                    <w:tl2br w:val="nil"/>
                    <w:tr2bl w:val="nil"/>
                  </w:tcBorders>
                  <w:noWrap w:val="0"/>
                  <w:vAlign w:val="center"/>
                </w:tcPr>
                <w:p w14:paraId="443D233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旋转蒸发仪</w:t>
                  </w:r>
                  <w:r>
                    <w:rPr>
                      <w:rFonts w:hint="eastAsia" w:cs="Times New Roman"/>
                      <w:i w:val="0"/>
                      <w:iCs w:val="0"/>
                      <w:color w:val="auto"/>
                      <w:kern w:val="0"/>
                      <w:sz w:val="21"/>
                      <w:szCs w:val="21"/>
                      <w:highlight w:val="none"/>
                      <w:u w:val="none"/>
                      <w:lang w:val="en-US" w:eastAsia="zh-CN" w:bidi="ar"/>
                    </w:rPr>
                    <w:t>（1L）</w:t>
                  </w:r>
                </w:p>
              </w:tc>
              <w:tc>
                <w:tcPr>
                  <w:tcW w:w="1346" w:type="dxa"/>
                  <w:tcBorders>
                    <w:tl2br w:val="nil"/>
                    <w:tr2bl w:val="nil"/>
                  </w:tcBorders>
                  <w:noWrap w:val="0"/>
                  <w:vAlign w:val="center"/>
                </w:tcPr>
                <w:p w14:paraId="64B297A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308F432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RE-3000B</w:t>
                  </w:r>
                </w:p>
              </w:tc>
              <w:tc>
                <w:tcPr>
                  <w:tcW w:w="1302" w:type="dxa"/>
                  <w:tcBorders>
                    <w:tl2br w:val="nil"/>
                    <w:tr2bl w:val="nil"/>
                  </w:tcBorders>
                  <w:noWrap w:val="0"/>
                  <w:vAlign w:val="center"/>
                </w:tcPr>
                <w:p w14:paraId="6DBB674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87861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555386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2600" w:type="dxa"/>
                  <w:tcBorders>
                    <w:tl2br w:val="nil"/>
                    <w:tr2bl w:val="nil"/>
                  </w:tcBorders>
                  <w:noWrap w:val="0"/>
                  <w:vAlign w:val="center"/>
                </w:tcPr>
                <w:p w14:paraId="2176FB5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隔膜真空泵</w:t>
                  </w:r>
                </w:p>
              </w:tc>
              <w:tc>
                <w:tcPr>
                  <w:tcW w:w="1346" w:type="dxa"/>
                  <w:tcBorders>
                    <w:tl2br w:val="nil"/>
                    <w:tr2bl w:val="nil"/>
                  </w:tcBorders>
                  <w:noWrap w:val="0"/>
                  <w:vAlign w:val="center"/>
                </w:tcPr>
                <w:p w14:paraId="0B9E9B3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5台</w:t>
                  </w:r>
                </w:p>
              </w:tc>
              <w:tc>
                <w:tcPr>
                  <w:tcW w:w="1798" w:type="dxa"/>
                  <w:tcBorders>
                    <w:tl2br w:val="nil"/>
                    <w:tr2bl w:val="nil"/>
                  </w:tcBorders>
                  <w:noWrap w:val="0"/>
                  <w:vAlign w:val="center"/>
                </w:tcPr>
                <w:p w14:paraId="0CF71B0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MP-201ZA</w:t>
                  </w:r>
                </w:p>
              </w:tc>
              <w:tc>
                <w:tcPr>
                  <w:tcW w:w="1302" w:type="dxa"/>
                  <w:tcBorders>
                    <w:tl2br w:val="nil"/>
                    <w:tr2bl w:val="nil"/>
                  </w:tcBorders>
                  <w:noWrap w:val="0"/>
                  <w:vAlign w:val="center"/>
                </w:tcPr>
                <w:p w14:paraId="5B47ED2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C7E81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D89211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2600" w:type="dxa"/>
                  <w:tcBorders>
                    <w:tl2br w:val="nil"/>
                    <w:tr2bl w:val="nil"/>
                  </w:tcBorders>
                  <w:noWrap w:val="0"/>
                  <w:vAlign w:val="center"/>
                </w:tcPr>
                <w:p w14:paraId="73584C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隔膜真空泵</w:t>
                  </w:r>
                </w:p>
              </w:tc>
              <w:tc>
                <w:tcPr>
                  <w:tcW w:w="1346" w:type="dxa"/>
                  <w:tcBorders>
                    <w:tl2br w:val="nil"/>
                    <w:tr2bl w:val="nil"/>
                  </w:tcBorders>
                  <w:noWrap w:val="0"/>
                  <w:vAlign w:val="center"/>
                </w:tcPr>
                <w:p w14:paraId="328097C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3台</w:t>
                  </w:r>
                </w:p>
              </w:tc>
              <w:tc>
                <w:tcPr>
                  <w:tcW w:w="1798" w:type="dxa"/>
                  <w:tcBorders>
                    <w:tl2br w:val="nil"/>
                    <w:tr2bl w:val="nil"/>
                  </w:tcBorders>
                  <w:noWrap w:val="0"/>
                  <w:vAlign w:val="center"/>
                </w:tcPr>
                <w:p w14:paraId="7575BA0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MP-401</w:t>
                  </w:r>
                </w:p>
              </w:tc>
              <w:tc>
                <w:tcPr>
                  <w:tcW w:w="1302" w:type="dxa"/>
                  <w:tcBorders>
                    <w:tl2br w:val="nil"/>
                    <w:tr2bl w:val="nil"/>
                  </w:tcBorders>
                  <w:noWrap w:val="0"/>
                  <w:vAlign w:val="center"/>
                </w:tcPr>
                <w:p w14:paraId="3074DE4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77EAA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CC5471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2600" w:type="dxa"/>
                  <w:tcBorders>
                    <w:tl2br w:val="nil"/>
                    <w:tr2bl w:val="nil"/>
                  </w:tcBorders>
                  <w:noWrap w:val="0"/>
                  <w:vAlign w:val="center"/>
                </w:tcPr>
                <w:p w14:paraId="1EC9E32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循环水真空泵</w:t>
                  </w:r>
                </w:p>
              </w:tc>
              <w:tc>
                <w:tcPr>
                  <w:tcW w:w="1346" w:type="dxa"/>
                  <w:tcBorders>
                    <w:tl2br w:val="nil"/>
                    <w:tr2bl w:val="nil"/>
                  </w:tcBorders>
                  <w:noWrap w:val="0"/>
                  <w:vAlign w:val="center"/>
                </w:tcPr>
                <w:p w14:paraId="35691B6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5台</w:t>
                  </w:r>
                </w:p>
              </w:tc>
              <w:tc>
                <w:tcPr>
                  <w:tcW w:w="1798" w:type="dxa"/>
                  <w:tcBorders>
                    <w:tl2br w:val="nil"/>
                    <w:tr2bl w:val="nil"/>
                  </w:tcBorders>
                  <w:noWrap w:val="0"/>
                  <w:vAlign w:val="center"/>
                </w:tcPr>
                <w:p w14:paraId="24C53BA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SHZ-DIII</w:t>
                  </w:r>
                </w:p>
              </w:tc>
              <w:tc>
                <w:tcPr>
                  <w:tcW w:w="1302" w:type="dxa"/>
                  <w:tcBorders>
                    <w:tl2br w:val="nil"/>
                    <w:tr2bl w:val="nil"/>
                  </w:tcBorders>
                  <w:noWrap w:val="0"/>
                  <w:vAlign w:val="center"/>
                </w:tcPr>
                <w:p w14:paraId="02A102C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91AF7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45F286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c>
                <w:tcPr>
                  <w:tcW w:w="2600" w:type="dxa"/>
                  <w:tcBorders>
                    <w:tl2br w:val="nil"/>
                    <w:tr2bl w:val="nil"/>
                  </w:tcBorders>
                  <w:noWrap w:val="0"/>
                  <w:vAlign w:val="center"/>
                </w:tcPr>
                <w:p w14:paraId="3577950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电子天平</w:t>
                  </w:r>
                </w:p>
              </w:tc>
              <w:tc>
                <w:tcPr>
                  <w:tcW w:w="1346" w:type="dxa"/>
                  <w:tcBorders>
                    <w:tl2br w:val="nil"/>
                    <w:tr2bl w:val="nil"/>
                  </w:tcBorders>
                  <w:noWrap w:val="0"/>
                  <w:vAlign w:val="center"/>
                </w:tcPr>
                <w:p w14:paraId="1AA0EB1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106D4CD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JA4103</w:t>
                  </w:r>
                </w:p>
              </w:tc>
              <w:tc>
                <w:tcPr>
                  <w:tcW w:w="1302" w:type="dxa"/>
                  <w:tcBorders>
                    <w:tl2br w:val="nil"/>
                    <w:tr2bl w:val="nil"/>
                  </w:tcBorders>
                  <w:noWrap w:val="0"/>
                  <w:vAlign w:val="center"/>
                </w:tcPr>
                <w:p w14:paraId="13ECDE3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14C52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1A249A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w:t>
                  </w:r>
                </w:p>
              </w:tc>
              <w:tc>
                <w:tcPr>
                  <w:tcW w:w="2600" w:type="dxa"/>
                  <w:tcBorders>
                    <w:tl2br w:val="nil"/>
                    <w:tr2bl w:val="nil"/>
                  </w:tcBorders>
                  <w:noWrap w:val="0"/>
                  <w:vAlign w:val="center"/>
                </w:tcPr>
                <w:p w14:paraId="3DC31EA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旋转蒸发仪</w:t>
                  </w:r>
                </w:p>
              </w:tc>
              <w:tc>
                <w:tcPr>
                  <w:tcW w:w="1346" w:type="dxa"/>
                  <w:tcBorders>
                    <w:tl2br w:val="nil"/>
                    <w:tr2bl w:val="nil"/>
                  </w:tcBorders>
                  <w:noWrap w:val="0"/>
                  <w:vAlign w:val="center"/>
                </w:tcPr>
                <w:p w14:paraId="3BA8C3A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2BBDF25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RK-50Ex</w:t>
                  </w:r>
                </w:p>
              </w:tc>
              <w:tc>
                <w:tcPr>
                  <w:tcW w:w="1302" w:type="dxa"/>
                  <w:tcBorders>
                    <w:tl2br w:val="nil"/>
                    <w:tr2bl w:val="nil"/>
                  </w:tcBorders>
                  <w:noWrap w:val="0"/>
                  <w:vAlign w:val="center"/>
                </w:tcPr>
                <w:p w14:paraId="7E3D7D2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2F8B4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DE3842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2600" w:type="dxa"/>
                  <w:tcBorders>
                    <w:tl2br w:val="nil"/>
                    <w:tr2bl w:val="nil"/>
                  </w:tcBorders>
                  <w:noWrap w:val="0"/>
                  <w:vAlign w:val="center"/>
                </w:tcPr>
                <w:p w14:paraId="42F145B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双层玻璃釜</w:t>
                  </w:r>
                  <w:r>
                    <w:rPr>
                      <w:rFonts w:hint="eastAsia" w:cs="Times New Roman"/>
                      <w:i w:val="0"/>
                      <w:iCs w:val="0"/>
                      <w:color w:val="auto"/>
                      <w:kern w:val="0"/>
                      <w:sz w:val="21"/>
                      <w:szCs w:val="21"/>
                      <w:highlight w:val="none"/>
                      <w:u w:val="none"/>
                      <w:lang w:val="en-US" w:eastAsia="zh-CN" w:bidi="ar"/>
                    </w:rPr>
                    <w:t>（10L）</w:t>
                  </w:r>
                </w:p>
              </w:tc>
              <w:tc>
                <w:tcPr>
                  <w:tcW w:w="1346" w:type="dxa"/>
                  <w:tcBorders>
                    <w:tl2br w:val="nil"/>
                    <w:tr2bl w:val="nil"/>
                  </w:tcBorders>
                  <w:noWrap w:val="0"/>
                  <w:vAlign w:val="center"/>
                </w:tcPr>
                <w:p w14:paraId="7EA1B02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i w:val="0"/>
                      <w:iCs w:val="0"/>
                      <w:color w:val="auto"/>
                      <w:kern w:val="0"/>
                      <w:sz w:val="21"/>
                      <w:szCs w:val="21"/>
                      <w:highlight w:val="none"/>
                      <w:u w:val="none"/>
                      <w:lang w:val="en-US" w:eastAsia="zh-CN" w:bidi="ar"/>
                    </w:rPr>
                    <w:t>1</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798" w:type="dxa"/>
                  <w:tcBorders>
                    <w:tl2br w:val="nil"/>
                    <w:tr2bl w:val="nil"/>
                  </w:tcBorders>
                  <w:noWrap w:val="0"/>
                  <w:vAlign w:val="center"/>
                </w:tcPr>
                <w:p w14:paraId="19116DE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GK-10Ex</w:t>
                  </w:r>
                </w:p>
              </w:tc>
              <w:tc>
                <w:tcPr>
                  <w:tcW w:w="1302" w:type="dxa"/>
                  <w:tcBorders>
                    <w:tl2br w:val="nil"/>
                    <w:tr2bl w:val="nil"/>
                  </w:tcBorders>
                  <w:noWrap w:val="0"/>
                  <w:vAlign w:val="center"/>
                </w:tcPr>
                <w:p w14:paraId="135D8A5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化学合成</w:t>
                  </w:r>
                </w:p>
              </w:tc>
            </w:tr>
            <w:tr w14:paraId="349F87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68AF178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i w:val="0"/>
                      <w:iCs w:val="0"/>
                      <w:color w:val="auto"/>
                      <w:kern w:val="0"/>
                      <w:sz w:val="21"/>
                      <w:szCs w:val="21"/>
                      <w:highlight w:val="none"/>
                      <w:u w:val="none"/>
                      <w:lang w:val="en-US" w:eastAsia="zh-CN" w:bidi="ar"/>
                    </w:rPr>
                  </w:pPr>
                  <w:r>
                    <w:rPr>
                      <w:rFonts w:hint="eastAsia" w:cs="Times New Roman"/>
                      <w:b w:val="0"/>
                      <w:bCs w:val="0"/>
                      <w:i w:val="0"/>
                      <w:iCs w:val="0"/>
                      <w:color w:val="auto"/>
                      <w:kern w:val="0"/>
                      <w:sz w:val="21"/>
                      <w:szCs w:val="21"/>
                      <w:highlight w:val="none"/>
                      <w:u w:val="none"/>
                      <w:lang w:val="en-US" w:eastAsia="zh-CN" w:bidi="ar"/>
                    </w:rPr>
                    <w:t>10</w:t>
                  </w:r>
                </w:p>
              </w:tc>
              <w:tc>
                <w:tcPr>
                  <w:tcW w:w="2600" w:type="dxa"/>
                  <w:tcBorders>
                    <w:tl2br w:val="nil"/>
                    <w:tr2bl w:val="nil"/>
                  </w:tcBorders>
                  <w:noWrap w:val="0"/>
                  <w:vAlign w:val="center"/>
                </w:tcPr>
                <w:p w14:paraId="31B8020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双层玻璃釜</w:t>
                  </w:r>
                  <w:r>
                    <w:rPr>
                      <w:rFonts w:hint="eastAsia" w:cs="Times New Roman"/>
                      <w:i w:val="0"/>
                      <w:iCs w:val="0"/>
                      <w:color w:val="auto"/>
                      <w:kern w:val="0"/>
                      <w:sz w:val="21"/>
                      <w:szCs w:val="21"/>
                      <w:highlight w:val="none"/>
                      <w:u w:val="none"/>
                      <w:lang w:val="en-US" w:eastAsia="zh-CN" w:bidi="ar"/>
                    </w:rPr>
                    <w:t>（20L）</w:t>
                  </w:r>
                </w:p>
              </w:tc>
              <w:tc>
                <w:tcPr>
                  <w:tcW w:w="1346" w:type="dxa"/>
                  <w:tcBorders>
                    <w:tl2br w:val="nil"/>
                    <w:tr2bl w:val="nil"/>
                  </w:tcBorders>
                  <w:noWrap w:val="0"/>
                  <w:vAlign w:val="center"/>
                </w:tcPr>
                <w:p w14:paraId="463000C5">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798" w:type="dxa"/>
                  <w:tcBorders>
                    <w:tl2br w:val="nil"/>
                    <w:tr2bl w:val="nil"/>
                  </w:tcBorders>
                  <w:noWrap w:val="0"/>
                  <w:vAlign w:val="center"/>
                </w:tcPr>
                <w:p w14:paraId="1C31FA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GX-20Ex</w:t>
                  </w:r>
                </w:p>
              </w:tc>
              <w:tc>
                <w:tcPr>
                  <w:tcW w:w="1302" w:type="dxa"/>
                  <w:tcBorders>
                    <w:tl2br w:val="nil"/>
                    <w:tr2bl w:val="nil"/>
                  </w:tcBorders>
                  <w:noWrap w:val="0"/>
                  <w:vAlign w:val="center"/>
                </w:tcPr>
                <w:p w14:paraId="0D27552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化学合成</w:t>
                  </w:r>
                </w:p>
              </w:tc>
            </w:tr>
            <w:tr w14:paraId="70191B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A627671">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b w:val="0"/>
                      <w:bCs w:val="0"/>
                      <w:i w:val="0"/>
                      <w:iCs w:val="0"/>
                      <w:color w:val="auto"/>
                      <w:kern w:val="0"/>
                      <w:sz w:val="21"/>
                      <w:szCs w:val="21"/>
                      <w:highlight w:val="none"/>
                      <w:u w:val="none"/>
                      <w:lang w:val="en-US" w:eastAsia="zh-CN" w:bidi="ar"/>
                    </w:rPr>
                  </w:pPr>
                  <w:r>
                    <w:rPr>
                      <w:rFonts w:hint="eastAsia" w:cs="Times New Roman"/>
                      <w:b w:val="0"/>
                      <w:bCs w:val="0"/>
                      <w:i w:val="0"/>
                      <w:iCs w:val="0"/>
                      <w:color w:val="auto"/>
                      <w:kern w:val="0"/>
                      <w:sz w:val="21"/>
                      <w:szCs w:val="21"/>
                      <w:highlight w:val="none"/>
                      <w:u w:val="none"/>
                      <w:lang w:val="en-US" w:eastAsia="zh-CN" w:bidi="ar"/>
                    </w:rPr>
                    <w:t>11</w:t>
                  </w:r>
                </w:p>
              </w:tc>
              <w:tc>
                <w:tcPr>
                  <w:tcW w:w="2600" w:type="dxa"/>
                  <w:tcBorders>
                    <w:tl2br w:val="nil"/>
                    <w:tr2bl w:val="nil"/>
                  </w:tcBorders>
                  <w:noWrap w:val="0"/>
                  <w:vAlign w:val="center"/>
                </w:tcPr>
                <w:p w14:paraId="6D57A9C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玻璃结晶釜（50L)</w:t>
                  </w:r>
                </w:p>
              </w:tc>
              <w:tc>
                <w:tcPr>
                  <w:tcW w:w="1346" w:type="dxa"/>
                  <w:tcBorders>
                    <w:tl2br w:val="nil"/>
                    <w:tr2bl w:val="nil"/>
                  </w:tcBorders>
                  <w:noWrap w:val="0"/>
                  <w:vAlign w:val="center"/>
                </w:tcPr>
                <w:p w14:paraId="7B689347">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798" w:type="dxa"/>
                  <w:tcBorders>
                    <w:tl2br w:val="nil"/>
                    <w:tr2bl w:val="nil"/>
                  </w:tcBorders>
                  <w:noWrap w:val="0"/>
                  <w:vAlign w:val="center"/>
                </w:tcPr>
                <w:p w14:paraId="4B963BE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GX-</w:t>
                  </w:r>
                  <w:r>
                    <w:rPr>
                      <w:rFonts w:hint="eastAsia"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i w:val="0"/>
                      <w:iCs w:val="0"/>
                      <w:color w:val="auto"/>
                      <w:kern w:val="0"/>
                      <w:sz w:val="21"/>
                      <w:szCs w:val="21"/>
                      <w:highlight w:val="none"/>
                      <w:u w:val="none"/>
                      <w:lang w:val="en-US" w:eastAsia="zh-CN" w:bidi="ar"/>
                    </w:rPr>
                    <w:t>0Ex</w:t>
                  </w:r>
                </w:p>
              </w:tc>
              <w:tc>
                <w:tcPr>
                  <w:tcW w:w="1302" w:type="dxa"/>
                  <w:tcBorders>
                    <w:tl2br w:val="nil"/>
                    <w:tr2bl w:val="nil"/>
                  </w:tcBorders>
                  <w:noWrap w:val="0"/>
                  <w:vAlign w:val="center"/>
                </w:tcPr>
                <w:p w14:paraId="51EC830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主要控制温度条件进行结晶过程</w:t>
                  </w:r>
                </w:p>
              </w:tc>
            </w:tr>
            <w:tr w14:paraId="00502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5539AA5">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b w:val="0"/>
                      <w:bCs w:val="0"/>
                      <w:i w:val="0"/>
                      <w:iCs w:val="0"/>
                      <w:color w:val="auto"/>
                      <w:kern w:val="0"/>
                      <w:sz w:val="21"/>
                      <w:szCs w:val="21"/>
                      <w:highlight w:val="none"/>
                      <w:u w:val="none"/>
                      <w:lang w:val="en-US" w:eastAsia="zh-CN" w:bidi="ar"/>
                    </w:rPr>
                  </w:pPr>
                  <w:r>
                    <w:rPr>
                      <w:rFonts w:hint="eastAsia" w:cs="Times New Roman"/>
                      <w:b w:val="0"/>
                      <w:bCs w:val="0"/>
                      <w:i w:val="0"/>
                      <w:iCs w:val="0"/>
                      <w:color w:val="auto"/>
                      <w:kern w:val="0"/>
                      <w:sz w:val="21"/>
                      <w:szCs w:val="21"/>
                      <w:highlight w:val="none"/>
                      <w:u w:val="none"/>
                      <w:lang w:val="en-US" w:eastAsia="zh-CN" w:bidi="ar"/>
                    </w:rPr>
                    <w:t>12</w:t>
                  </w:r>
                </w:p>
              </w:tc>
              <w:tc>
                <w:tcPr>
                  <w:tcW w:w="2600" w:type="dxa"/>
                  <w:tcBorders>
                    <w:tl2br w:val="nil"/>
                    <w:tr2bl w:val="nil"/>
                  </w:tcBorders>
                  <w:noWrap w:val="0"/>
                  <w:vAlign w:val="center"/>
                </w:tcPr>
                <w:p w14:paraId="46B2A64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玻璃萃取釜</w:t>
                  </w:r>
                  <w:r>
                    <w:rPr>
                      <w:rFonts w:hint="eastAsia"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100L)</w:t>
                  </w:r>
                </w:p>
              </w:tc>
              <w:tc>
                <w:tcPr>
                  <w:tcW w:w="1346" w:type="dxa"/>
                  <w:tcBorders>
                    <w:tl2br w:val="nil"/>
                    <w:tr2bl w:val="nil"/>
                  </w:tcBorders>
                  <w:noWrap w:val="0"/>
                  <w:vAlign w:val="center"/>
                </w:tcPr>
                <w:p w14:paraId="5EAFE756">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798" w:type="dxa"/>
                  <w:tcBorders>
                    <w:tl2br w:val="nil"/>
                    <w:tr2bl w:val="nil"/>
                  </w:tcBorders>
                  <w:noWrap w:val="0"/>
                  <w:vAlign w:val="center"/>
                </w:tcPr>
                <w:p w14:paraId="1C3B8D9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GK-100Ex</w:t>
                  </w:r>
                </w:p>
              </w:tc>
              <w:tc>
                <w:tcPr>
                  <w:tcW w:w="1302" w:type="dxa"/>
                  <w:tcBorders>
                    <w:tl2br w:val="nil"/>
                    <w:tr2bl w:val="nil"/>
                  </w:tcBorders>
                  <w:noWrap w:val="0"/>
                  <w:vAlign w:val="center"/>
                </w:tcPr>
                <w:p w14:paraId="7EE8CCE0">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r>
                    <w:rPr>
                      <w:rFonts w:hint="eastAsia"/>
                      <w:color w:val="auto"/>
                      <w:kern w:val="0"/>
                      <w:szCs w:val="21"/>
                      <w:highlight w:val="none"/>
                      <w:u w:val="none"/>
                      <w:lang w:val="en-US" w:eastAsia="zh-CN" w:bidi="ar"/>
                    </w:rPr>
                    <w:t>主要</w:t>
                  </w:r>
                  <w:r>
                    <w:rPr>
                      <w:rFonts w:hint="default"/>
                      <w:color w:val="auto"/>
                      <w:kern w:val="0"/>
                      <w:szCs w:val="21"/>
                      <w:highlight w:val="none"/>
                      <w:u w:val="none"/>
                      <w:lang w:val="en-US" w:eastAsia="zh-CN" w:bidi="ar"/>
                    </w:rPr>
                    <w:t>利用</w:t>
                  </w:r>
                  <w:r>
                    <w:rPr>
                      <w:rFonts w:hint="eastAsia" w:ascii="Times New Roman" w:hAnsi="Times New Roman" w:cs="Times New Roman"/>
                      <w:color w:val="auto"/>
                      <w:kern w:val="0"/>
                      <w:szCs w:val="21"/>
                      <w:highlight w:val="none"/>
                      <w:u w:val="none"/>
                      <w:lang w:val="en-US" w:eastAsia="zh-CN" w:bidi="ar"/>
                    </w:rPr>
                    <w:t>溶解</w:t>
                  </w:r>
                  <w:r>
                    <w:rPr>
                      <w:rFonts w:hint="default"/>
                      <w:color w:val="auto"/>
                      <w:kern w:val="0"/>
                      <w:szCs w:val="21"/>
                      <w:highlight w:val="none"/>
                      <w:u w:val="none"/>
                      <w:lang w:bidi="ar"/>
                    </w:rPr>
                    <w:t>度差异实现物</w:t>
                  </w:r>
                  <w:r>
                    <w:rPr>
                      <w:rFonts w:hint="eastAsia"/>
                      <w:color w:val="auto"/>
                      <w:kern w:val="0"/>
                      <w:szCs w:val="21"/>
                      <w:highlight w:val="none"/>
                      <w:u w:val="none"/>
                      <w:lang w:val="en-US" w:eastAsia="zh-CN" w:bidi="ar"/>
                    </w:rPr>
                    <w:t>转移过程</w:t>
                  </w:r>
                </w:p>
              </w:tc>
            </w:tr>
            <w:tr w14:paraId="6EC91B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C24EB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13</w:t>
                  </w:r>
                </w:p>
              </w:tc>
              <w:tc>
                <w:tcPr>
                  <w:tcW w:w="2600" w:type="dxa"/>
                  <w:tcBorders>
                    <w:tl2br w:val="nil"/>
                    <w:tr2bl w:val="nil"/>
                  </w:tcBorders>
                  <w:noWrap w:val="0"/>
                  <w:vAlign w:val="center"/>
                </w:tcPr>
                <w:p w14:paraId="6FB0B50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高低温循环装置</w:t>
                  </w:r>
                </w:p>
              </w:tc>
              <w:tc>
                <w:tcPr>
                  <w:tcW w:w="1346" w:type="dxa"/>
                  <w:tcBorders>
                    <w:tl2br w:val="nil"/>
                    <w:tr2bl w:val="nil"/>
                  </w:tcBorders>
                  <w:noWrap w:val="0"/>
                  <w:vAlign w:val="center"/>
                </w:tcPr>
                <w:p w14:paraId="7BE7A60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4959DF5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GDX-10080</w:t>
                  </w:r>
                </w:p>
              </w:tc>
              <w:tc>
                <w:tcPr>
                  <w:tcW w:w="1302" w:type="dxa"/>
                  <w:tcBorders>
                    <w:tl2br w:val="nil"/>
                    <w:tr2bl w:val="nil"/>
                  </w:tcBorders>
                  <w:noWrap w:val="0"/>
                  <w:vAlign w:val="center"/>
                </w:tcPr>
                <w:p w14:paraId="0C356CE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A2468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01E726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14</w:t>
                  </w:r>
                </w:p>
              </w:tc>
              <w:tc>
                <w:tcPr>
                  <w:tcW w:w="2600" w:type="dxa"/>
                  <w:tcBorders>
                    <w:tl2br w:val="nil"/>
                    <w:tr2bl w:val="nil"/>
                  </w:tcBorders>
                  <w:noWrap w:val="0"/>
                  <w:vAlign w:val="center"/>
                </w:tcPr>
                <w:p w14:paraId="5597893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旋转蒸发仪</w:t>
                  </w:r>
                  <w:r>
                    <w:rPr>
                      <w:rFonts w:hint="eastAsia" w:cs="Times New Roman"/>
                      <w:i w:val="0"/>
                      <w:iCs w:val="0"/>
                      <w:color w:val="auto"/>
                      <w:kern w:val="0"/>
                      <w:sz w:val="21"/>
                      <w:szCs w:val="21"/>
                      <w:highlight w:val="none"/>
                      <w:u w:val="none"/>
                      <w:lang w:val="en-US" w:eastAsia="zh-CN" w:bidi="ar"/>
                    </w:rPr>
                    <w:t>（1L）</w:t>
                  </w:r>
                </w:p>
              </w:tc>
              <w:tc>
                <w:tcPr>
                  <w:tcW w:w="1346" w:type="dxa"/>
                  <w:tcBorders>
                    <w:tl2br w:val="nil"/>
                    <w:tr2bl w:val="nil"/>
                  </w:tcBorders>
                  <w:noWrap w:val="0"/>
                  <w:vAlign w:val="center"/>
                </w:tcPr>
                <w:p w14:paraId="606C679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7台</w:t>
                  </w:r>
                </w:p>
              </w:tc>
              <w:tc>
                <w:tcPr>
                  <w:tcW w:w="1798" w:type="dxa"/>
                  <w:tcBorders>
                    <w:tl2br w:val="nil"/>
                    <w:tr2bl w:val="nil"/>
                  </w:tcBorders>
                  <w:noWrap w:val="0"/>
                  <w:vAlign w:val="center"/>
                </w:tcPr>
                <w:p w14:paraId="4B3D74C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RE-2000B</w:t>
                  </w:r>
                </w:p>
              </w:tc>
              <w:tc>
                <w:tcPr>
                  <w:tcW w:w="1302" w:type="dxa"/>
                  <w:tcBorders>
                    <w:tl2br w:val="nil"/>
                    <w:tr2bl w:val="nil"/>
                  </w:tcBorders>
                  <w:noWrap w:val="0"/>
                  <w:vAlign w:val="center"/>
                </w:tcPr>
                <w:p w14:paraId="5F62FD8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7014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C6AD17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15</w:t>
                  </w:r>
                </w:p>
              </w:tc>
              <w:tc>
                <w:tcPr>
                  <w:tcW w:w="2600" w:type="dxa"/>
                  <w:tcBorders>
                    <w:tl2br w:val="nil"/>
                    <w:tr2bl w:val="nil"/>
                  </w:tcBorders>
                  <w:noWrap w:val="0"/>
                  <w:vAlign w:val="center"/>
                </w:tcPr>
                <w:p w14:paraId="2AC1C43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旋转蒸发仪</w:t>
                  </w:r>
                  <w:r>
                    <w:rPr>
                      <w:rFonts w:hint="eastAsia" w:cs="Times New Roman"/>
                      <w:i w:val="0"/>
                      <w:iCs w:val="0"/>
                      <w:color w:val="auto"/>
                      <w:kern w:val="0"/>
                      <w:sz w:val="21"/>
                      <w:szCs w:val="21"/>
                      <w:highlight w:val="none"/>
                      <w:u w:val="none"/>
                      <w:lang w:val="en-US" w:eastAsia="zh-CN" w:bidi="ar"/>
                    </w:rPr>
                    <w:t>（20L）</w:t>
                  </w:r>
                </w:p>
              </w:tc>
              <w:tc>
                <w:tcPr>
                  <w:tcW w:w="1346" w:type="dxa"/>
                  <w:tcBorders>
                    <w:tl2br w:val="nil"/>
                    <w:tr2bl w:val="nil"/>
                  </w:tcBorders>
                  <w:noWrap w:val="0"/>
                  <w:vAlign w:val="center"/>
                </w:tcPr>
                <w:p w14:paraId="0DFAFD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r>
                    <w:rPr>
                      <w:rFonts w:hint="default" w:ascii="Times New Roman" w:hAnsi="Times New Roman" w:eastAsia="宋体" w:cs="Times New Roman"/>
                      <w:i w:val="0"/>
                      <w:iCs w:val="0"/>
                      <w:color w:val="auto"/>
                      <w:kern w:val="0"/>
                      <w:sz w:val="21"/>
                      <w:szCs w:val="21"/>
                      <w:highlight w:val="none"/>
                      <w:u w:val="none"/>
                      <w:lang w:val="en-US" w:eastAsia="zh-CN" w:bidi="ar"/>
                    </w:rPr>
                    <w:t>台</w:t>
                  </w:r>
                </w:p>
              </w:tc>
              <w:tc>
                <w:tcPr>
                  <w:tcW w:w="1798" w:type="dxa"/>
                  <w:tcBorders>
                    <w:tl2br w:val="nil"/>
                    <w:tr2bl w:val="nil"/>
                  </w:tcBorders>
                  <w:noWrap w:val="0"/>
                  <w:vAlign w:val="center"/>
                </w:tcPr>
                <w:p w14:paraId="332290B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RK-2002EX</w:t>
                  </w:r>
                </w:p>
              </w:tc>
              <w:tc>
                <w:tcPr>
                  <w:tcW w:w="1302" w:type="dxa"/>
                  <w:tcBorders>
                    <w:tl2br w:val="nil"/>
                    <w:tr2bl w:val="nil"/>
                  </w:tcBorders>
                  <w:noWrap w:val="0"/>
                  <w:vAlign w:val="center"/>
                </w:tcPr>
                <w:p w14:paraId="7F2405F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FA617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1E20B0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16</w:t>
                  </w:r>
                </w:p>
              </w:tc>
              <w:tc>
                <w:tcPr>
                  <w:tcW w:w="2600" w:type="dxa"/>
                  <w:tcBorders>
                    <w:tl2br w:val="nil"/>
                    <w:tr2bl w:val="nil"/>
                  </w:tcBorders>
                  <w:noWrap w:val="0"/>
                  <w:vAlign w:val="center"/>
                </w:tcPr>
                <w:p w14:paraId="5550611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集热恒温加热磁力搅拌器</w:t>
                  </w:r>
                </w:p>
              </w:tc>
              <w:tc>
                <w:tcPr>
                  <w:tcW w:w="1346" w:type="dxa"/>
                  <w:tcBorders>
                    <w:tl2br w:val="nil"/>
                    <w:tr2bl w:val="nil"/>
                  </w:tcBorders>
                  <w:noWrap w:val="0"/>
                  <w:vAlign w:val="center"/>
                </w:tcPr>
                <w:p w14:paraId="6FD3B20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42C1EE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DF-101S</w:t>
                  </w:r>
                </w:p>
              </w:tc>
              <w:tc>
                <w:tcPr>
                  <w:tcW w:w="1302" w:type="dxa"/>
                  <w:tcBorders>
                    <w:tl2br w:val="nil"/>
                    <w:tr2bl w:val="nil"/>
                  </w:tcBorders>
                  <w:noWrap w:val="0"/>
                  <w:vAlign w:val="center"/>
                </w:tcPr>
                <w:p w14:paraId="65E72E2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39C0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E04CA7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17</w:t>
                  </w:r>
                </w:p>
              </w:tc>
              <w:tc>
                <w:tcPr>
                  <w:tcW w:w="2600" w:type="dxa"/>
                  <w:tcBorders>
                    <w:tl2br w:val="nil"/>
                    <w:tr2bl w:val="nil"/>
                  </w:tcBorders>
                  <w:noWrap w:val="0"/>
                  <w:vAlign w:val="center"/>
                </w:tcPr>
                <w:p w14:paraId="1AC3BE3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集热恒温加热磁力搅拌器</w:t>
                  </w:r>
                </w:p>
              </w:tc>
              <w:tc>
                <w:tcPr>
                  <w:tcW w:w="1346" w:type="dxa"/>
                  <w:tcBorders>
                    <w:tl2br w:val="nil"/>
                    <w:tr2bl w:val="nil"/>
                  </w:tcBorders>
                  <w:noWrap w:val="0"/>
                  <w:vAlign w:val="center"/>
                </w:tcPr>
                <w:p w14:paraId="3B2DB3F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3947C93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DF-101T</w:t>
                  </w:r>
                </w:p>
              </w:tc>
              <w:tc>
                <w:tcPr>
                  <w:tcW w:w="1302" w:type="dxa"/>
                  <w:tcBorders>
                    <w:tl2br w:val="nil"/>
                    <w:tr2bl w:val="nil"/>
                  </w:tcBorders>
                  <w:noWrap w:val="0"/>
                  <w:vAlign w:val="center"/>
                </w:tcPr>
                <w:p w14:paraId="2B910AF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B7908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472376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18</w:t>
                  </w:r>
                </w:p>
              </w:tc>
              <w:tc>
                <w:tcPr>
                  <w:tcW w:w="2600" w:type="dxa"/>
                  <w:tcBorders>
                    <w:tl2br w:val="nil"/>
                    <w:tr2bl w:val="nil"/>
                  </w:tcBorders>
                  <w:noWrap w:val="0"/>
                  <w:vAlign w:val="center"/>
                </w:tcPr>
                <w:p w14:paraId="1098B1C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数显恒温磁力搅拌器</w:t>
                  </w:r>
                </w:p>
              </w:tc>
              <w:tc>
                <w:tcPr>
                  <w:tcW w:w="1346" w:type="dxa"/>
                  <w:tcBorders>
                    <w:tl2br w:val="nil"/>
                    <w:tr2bl w:val="nil"/>
                  </w:tcBorders>
                  <w:noWrap w:val="0"/>
                  <w:vAlign w:val="center"/>
                </w:tcPr>
                <w:p w14:paraId="06348C3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6D493F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95-2型</w:t>
                  </w:r>
                </w:p>
              </w:tc>
              <w:tc>
                <w:tcPr>
                  <w:tcW w:w="1302" w:type="dxa"/>
                  <w:tcBorders>
                    <w:tl2br w:val="nil"/>
                    <w:tr2bl w:val="nil"/>
                  </w:tcBorders>
                  <w:noWrap w:val="0"/>
                  <w:vAlign w:val="center"/>
                </w:tcPr>
                <w:p w14:paraId="2D40AC6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70397A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D78B0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19</w:t>
                  </w:r>
                </w:p>
              </w:tc>
              <w:tc>
                <w:tcPr>
                  <w:tcW w:w="2600" w:type="dxa"/>
                  <w:tcBorders>
                    <w:tl2br w:val="nil"/>
                    <w:tr2bl w:val="nil"/>
                  </w:tcBorders>
                  <w:noWrap w:val="0"/>
                  <w:vAlign w:val="center"/>
                </w:tcPr>
                <w:p w14:paraId="114CD0C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旋转蒸发仪</w:t>
                  </w:r>
                  <w:r>
                    <w:rPr>
                      <w:rFonts w:hint="eastAsia"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50L</w:t>
                  </w:r>
                  <w:r>
                    <w:rPr>
                      <w:rFonts w:hint="eastAsia" w:cs="Times New Roman"/>
                      <w:i w:val="0"/>
                      <w:iCs w:val="0"/>
                      <w:color w:val="auto"/>
                      <w:kern w:val="0"/>
                      <w:sz w:val="21"/>
                      <w:szCs w:val="21"/>
                      <w:highlight w:val="none"/>
                      <w:u w:val="none"/>
                      <w:lang w:val="en-US" w:eastAsia="zh-CN" w:bidi="ar"/>
                    </w:rPr>
                    <w:t>）</w:t>
                  </w:r>
                </w:p>
              </w:tc>
              <w:tc>
                <w:tcPr>
                  <w:tcW w:w="1346" w:type="dxa"/>
                  <w:tcBorders>
                    <w:tl2br w:val="nil"/>
                    <w:tr2bl w:val="nil"/>
                  </w:tcBorders>
                  <w:noWrap w:val="0"/>
                  <w:vAlign w:val="center"/>
                </w:tcPr>
                <w:p w14:paraId="028300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1E45667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RK-50Ex</w:t>
                  </w:r>
                </w:p>
              </w:tc>
              <w:tc>
                <w:tcPr>
                  <w:tcW w:w="1302" w:type="dxa"/>
                  <w:tcBorders>
                    <w:tl2br w:val="nil"/>
                    <w:tr2bl w:val="nil"/>
                  </w:tcBorders>
                  <w:noWrap w:val="0"/>
                  <w:vAlign w:val="center"/>
                </w:tcPr>
                <w:p w14:paraId="27245B8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B3F1B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F33292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w:t>
                  </w:r>
                </w:p>
              </w:tc>
              <w:tc>
                <w:tcPr>
                  <w:tcW w:w="2600" w:type="dxa"/>
                  <w:tcBorders>
                    <w:tl2br w:val="nil"/>
                    <w:tr2bl w:val="nil"/>
                  </w:tcBorders>
                  <w:noWrap w:val="0"/>
                  <w:vAlign w:val="center"/>
                </w:tcPr>
                <w:p w14:paraId="380B9AE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电子天平</w:t>
                  </w:r>
                </w:p>
              </w:tc>
              <w:tc>
                <w:tcPr>
                  <w:tcW w:w="1346" w:type="dxa"/>
                  <w:tcBorders>
                    <w:tl2br w:val="nil"/>
                    <w:tr2bl w:val="nil"/>
                  </w:tcBorders>
                  <w:noWrap w:val="0"/>
                  <w:vAlign w:val="center"/>
                </w:tcPr>
                <w:p w14:paraId="593F208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4974DF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B3000LE</w:t>
                  </w:r>
                </w:p>
              </w:tc>
              <w:tc>
                <w:tcPr>
                  <w:tcW w:w="1302" w:type="dxa"/>
                  <w:tcBorders>
                    <w:tl2br w:val="nil"/>
                    <w:tr2bl w:val="nil"/>
                  </w:tcBorders>
                  <w:noWrap w:val="0"/>
                  <w:vAlign w:val="center"/>
                </w:tcPr>
                <w:p w14:paraId="17FDF16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4E553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7069B3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21</w:t>
                  </w:r>
                </w:p>
              </w:tc>
              <w:tc>
                <w:tcPr>
                  <w:tcW w:w="2600" w:type="dxa"/>
                  <w:tcBorders>
                    <w:tl2br w:val="nil"/>
                    <w:tr2bl w:val="nil"/>
                  </w:tcBorders>
                  <w:noWrap w:val="0"/>
                  <w:vAlign w:val="center"/>
                </w:tcPr>
                <w:p w14:paraId="5412E75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暗箱式紫外分析仪</w:t>
                  </w:r>
                </w:p>
              </w:tc>
              <w:tc>
                <w:tcPr>
                  <w:tcW w:w="1346" w:type="dxa"/>
                  <w:tcBorders>
                    <w:tl2br w:val="nil"/>
                    <w:tr2bl w:val="nil"/>
                  </w:tcBorders>
                  <w:noWrap w:val="0"/>
                  <w:vAlign w:val="center"/>
                </w:tcPr>
                <w:p w14:paraId="011202A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3CFDD40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DF-20D</w:t>
                  </w:r>
                </w:p>
              </w:tc>
              <w:tc>
                <w:tcPr>
                  <w:tcW w:w="1302" w:type="dxa"/>
                  <w:tcBorders>
                    <w:tl2br w:val="nil"/>
                    <w:tr2bl w:val="nil"/>
                  </w:tcBorders>
                  <w:noWrap w:val="0"/>
                  <w:vAlign w:val="center"/>
                </w:tcPr>
                <w:p w14:paraId="0B643AA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29AC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FC41FE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22</w:t>
                  </w:r>
                </w:p>
              </w:tc>
              <w:tc>
                <w:tcPr>
                  <w:tcW w:w="2600" w:type="dxa"/>
                  <w:tcBorders>
                    <w:tl2br w:val="nil"/>
                    <w:tr2bl w:val="nil"/>
                  </w:tcBorders>
                  <w:noWrap w:val="0"/>
                  <w:vAlign w:val="center"/>
                </w:tcPr>
                <w:p w14:paraId="166B2A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高低温循环装置</w:t>
                  </w:r>
                </w:p>
              </w:tc>
              <w:tc>
                <w:tcPr>
                  <w:tcW w:w="1346" w:type="dxa"/>
                  <w:tcBorders>
                    <w:tl2br w:val="nil"/>
                    <w:tr2bl w:val="nil"/>
                  </w:tcBorders>
                  <w:noWrap w:val="0"/>
                  <w:vAlign w:val="center"/>
                </w:tcPr>
                <w:p w14:paraId="7CE295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322EF63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GDX-5080</w:t>
                  </w:r>
                </w:p>
              </w:tc>
              <w:tc>
                <w:tcPr>
                  <w:tcW w:w="1302" w:type="dxa"/>
                  <w:tcBorders>
                    <w:tl2br w:val="nil"/>
                    <w:tr2bl w:val="nil"/>
                  </w:tcBorders>
                  <w:noWrap w:val="0"/>
                  <w:vAlign w:val="center"/>
                </w:tcPr>
                <w:p w14:paraId="775C61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05914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5107EA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23</w:t>
                  </w:r>
                </w:p>
              </w:tc>
              <w:tc>
                <w:tcPr>
                  <w:tcW w:w="2600" w:type="dxa"/>
                  <w:tcBorders>
                    <w:tl2br w:val="nil"/>
                    <w:tr2bl w:val="nil"/>
                  </w:tcBorders>
                  <w:noWrap w:val="0"/>
                  <w:vAlign w:val="center"/>
                </w:tcPr>
                <w:p w14:paraId="710F32B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恒温水油浴锅</w:t>
                  </w:r>
                </w:p>
              </w:tc>
              <w:tc>
                <w:tcPr>
                  <w:tcW w:w="1346" w:type="dxa"/>
                  <w:tcBorders>
                    <w:tl2br w:val="nil"/>
                    <w:tr2bl w:val="nil"/>
                  </w:tcBorders>
                  <w:noWrap w:val="0"/>
                  <w:vAlign w:val="center"/>
                </w:tcPr>
                <w:p w14:paraId="0973FF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20FC23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RK-50Ex</w:t>
                  </w:r>
                </w:p>
              </w:tc>
              <w:tc>
                <w:tcPr>
                  <w:tcW w:w="1302" w:type="dxa"/>
                  <w:tcBorders>
                    <w:tl2br w:val="nil"/>
                    <w:tr2bl w:val="nil"/>
                  </w:tcBorders>
                  <w:noWrap w:val="0"/>
                  <w:vAlign w:val="center"/>
                </w:tcPr>
                <w:p w14:paraId="3B9380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20376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7CB55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24</w:t>
                  </w:r>
                </w:p>
              </w:tc>
              <w:tc>
                <w:tcPr>
                  <w:tcW w:w="2600" w:type="dxa"/>
                  <w:tcBorders>
                    <w:tl2br w:val="nil"/>
                    <w:tr2bl w:val="nil"/>
                  </w:tcBorders>
                  <w:noWrap w:val="0"/>
                  <w:vAlign w:val="center"/>
                </w:tcPr>
                <w:p w14:paraId="6AA337D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隔膜真空泵</w:t>
                  </w:r>
                </w:p>
              </w:tc>
              <w:tc>
                <w:tcPr>
                  <w:tcW w:w="1346" w:type="dxa"/>
                  <w:tcBorders>
                    <w:tl2br w:val="nil"/>
                    <w:tr2bl w:val="nil"/>
                  </w:tcBorders>
                  <w:noWrap w:val="0"/>
                  <w:vAlign w:val="center"/>
                </w:tcPr>
                <w:p w14:paraId="3AE7259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6F63A3C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PM28633-950-50</w:t>
                  </w:r>
                </w:p>
              </w:tc>
              <w:tc>
                <w:tcPr>
                  <w:tcW w:w="1302" w:type="dxa"/>
                  <w:tcBorders>
                    <w:tl2br w:val="nil"/>
                    <w:tr2bl w:val="nil"/>
                  </w:tcBorders>
                  <w:noWrap w:val="0"/>
                  <w:vAlign w:val="center"/>
                </w:tcPr>
                <w:p w14:paraId="2AB1A90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B1778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E2659E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25</w:t>
                  </w:r>
                </w:p>
              </w:tc>
              <w:tc>
                <w:tcPr>
                  <w:tcW w:w="2600" w:type="dxa"/>
                  <w:tcBorders>
                    <w:tl2br w:val="nil"/>
                    <w:tr2bl w:val="nil"/>
                  </w:tcBorders>
                  <w:noWrap w:val="0"/>
                  <w:vAlign w:val="center"/>
                </w:tcPr>
                <w:p w14:paraId="30C97B4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低温冷却循环泵</w:t>
                  </w:r>
                </w:p>
              </w:tc>
              <w:tc>
                <w:tcPr>
                  <w:tcW w:w="1346" w:type="dxa"/>
                  <w:tcBorders>
                    <w:tl2br w:val="nil"/>
                    <w:tr2bl w:val="nil"/>
                  </w:tcBorders>
                  <w:noWrap w:val="0"/>
                  <w:vAlign w:val="center"/>
                </w:tcPr>
                <w:p w14:paraId="492A145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3台</w:t>
                  </w:r>
                </w:p>
              </w:tc>
              <w:tc>
                <w:tcPr>
                  <w:tcW w:w="1798" w:type="dxa"/>
                  <w:tcBorders>
                    <w:tl2br w:val="nil"/>
                    <w:tr2bl w:val="nil"/>
                  </w:tcBorders>
                  <w:noWrap w:val="0"/>
                  <w:vAlign w:val="center"/>
                </w:tcPr>
                <w:p w14:paraId="5DFE1DE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DLSK-100/30</w:t>
                  </w:r>
                </w:p>
              </w:tc>
              <w:tc>
                <w:tcPr>
                  <w:tcW w:w="1302" w:type="dxa"/>
                  <w:tcBorders>
                    <w:tl2br w:val="nil"/>
                    <w:tr2bl w:val="nil"/>
                  </w:tcBorders>
                  <w:noWrap w:val="0"/>
                  <w:vAlign w:val="center"/>
                </w:tcPr>
                <w:p w14:paraId="02996B2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90ACD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0579BE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26</w:t>
                  </w:r>
                </w:p>
              </w:tc>
              <w:tc>
                <w:tcPr>
                  <w:tcW w:w="2600" w:type="dxa"/>
                  <w:tcBorders>
                    <w:tl2br w:val="nil"/>
                    <w:tr2bl w:val="nil"/>
                  </w:tcBorders>
                  <w:noWrap w:val="0"/>
                  <w:vAlign w:val="center"/>
                </w:tcPr>
                <w:p w14:paraId="6DEDD37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低温冷却液循环泵</w:t>
                  </w:r>
                </w:p>
              </w:tc>
              <w:tc>
                <w:tcPr>
                  <w:tcW w:w="1346" w:type="dxa"/>
                  <w:tcBorders>
                    <w:tl2br w:val="nil"/>
                    <w:tr2bl w:val="nil"/>
                  </w:tcBorders>
                  <w:noWrap w:val="0"/>
                  <w:vAlign w:val="center"/>
                </w:tcPr>
                <w:p w14:paraId="0DC2BE5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6台</w:t>
                  </w:r>
                </w:p>
              </w:tc>
              <w:tc>
                <w:tcPr>
                  <w:tcW w:w="1798" w:type="dxa"/>
                  <w:tcBorders>
                    <w:tl2br w:val="nil"/>
                    <w:tr2bl w:val="nil"/>
                  </w:tcBorders>
                  <w:noWrap w:val="0"/>
                  <w:vAlign w:val="center"/>
                </w:tcPr>
                <w:p w14:paraId="7845BF3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DLSK-10/20</w:t>
                  </w:r>
                </w:p>
              </w:tc>
              <w:tc>
                <w:tcPr>
                  <w:tcW w:w="1302" w:type="dxa"/>
                  <w:tcBorders>
                    <w:tl2br w:val="nil"/>
                    <w:tr2bl w:val="nil"/>
                  </w:tcBorders>
                  <w:noWrap w:val="0"/>
                  <w:vAlign w:val="center"/>
                </w:tcPr>
                <w:p w14:paraId="6C0CD34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D8C8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6179F03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27</w:t>
                  </w:r>
                </w:p>
              </w:tc>
              <w:tc>
                <w:tcPr>
                  <w:tcW w:w="2600" w:type="dxa"/>
                  <w:tcBorders>
                    <w:tl2br w:val="nil"/>
                    <w:tr2bl w:val="nil"/>
                  </w:tcBorders>
                  <w:noWrap w:val="0"/>
                  <w:vAlign w:val="center"/>
                </w:tcPr>
                <w:p w14:paraId="119DF8D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磁力搅拌器</w:t>
                  </w:r>
                </w:p>
              </w:tc>
              <w:tc>
                <w:tcPr>
                  <w:tcW w:w="1346" w:type="dxa"/>
                  <w:tcBorders>
                    <w:tl2br w:val="nil"/>
                    <w:tr2bl w:val="nil"/>
                  </w:tcBorders>
                  <w:noWrap w:val="0"/>
                  <w:vAlign w:val="center"/>
                </w:tcPr>
                <w:p w14:paraId="409D4E8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11台</w:t>
                  </w:r>
                </w:p>
              </w:tc>
              <w:tc>
                <w:tcPr>
                  <w:tcW w:w="1798" w:type="dxa"/>
                  <w:tcBorders>
                    <w:tl2br w:val="nil"/>
                    <w:tr2bl w:val="nil"/>
                  </w:tcBorders>
                  <w:noWrap w:val="0"/>
                  <w:vAlign w:val="center"/>
                </w:tcPr>
                <w:p w14:paraId="1CB9074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98-2型</w:t>
                  </w:r>
                </w:p>
              </w:tc>
              <w:tc>
                <w:tcPr>
                  <w:tcW w:w="1302" w:type="dxa"/>
                  <w:tcBorders>
                    <w:tl2br w:val="nil"/>
                    <w:tr2bl w:val="nil"/>
                  </w:tcBorders>
                  <w:noWrap w:val="0"/>
                  <w:vAlign w:val="center"/>
                </w:tcPr>
                <w:p w14:paraId="6AE6257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2085A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FA61E3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28</w:t>
                  </w:r>
                </w:p>
              </w:tc>
              <w:tc>
                <w:tcPr>
                  <w:tcW w:w="2600" w:type="dxa"/>
                  <w:tcBorders>
                    <w:tl2br w:val="nil"/>
                    <w:tr2bl w:val="nil"/>
                  </w:tcBorders>
                  <w:noWrap w:val="0"/>
                  <w:vAlign w:val="center"/>
                </w:tcPr>
                <w:p w14:paraId="45D16C5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加热磁力搅拌器</w:t>
                  </w:r>
                </w:p>
              </w:tc>
              <w:tc>
                <w:tcPr>
                  <w:tcW w:w="1346" w:type="dxa"/>
                  <w:tcBorders>
                    <w:tl2br w:val="nil"/>
                    <w:tr2bl w:val="nil"/>
                  </w:tcBorders>
                  <w:noWrap w:val="0"/>
                  <w:vAlign w:val="center"/>
                </w:tcPr>
                <w:p w14:paraId="0D81361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17台</w:t>
                  </w:r>
                </w:p>
              </w:tc>
              <w:tc>
                <w:tcPr>
                  <w:tcW w:w="1798" w:type="dxa"/>
                  <w:tcBorders>
                    <w:tl2br w:val="nil"/>
                    <w:tr2bl w:val="nil"/>
                  </w:tcBorders>
                  <w:noWrap w:val="0"/>
                  <w:vAlign w:val="center"/>
                </w:tcPr>
                <w:p w14:paraId="01A9928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MS-H-Pro+</w:t>
                  </w:r>
                </w:p>
              </w:tc>
              <w:tc>
                <w:tcPr>
                  <w:tcW w:w="1302" w:type="dxa"/>
                  <w:tcBorders>
                    <w:tl2br w:val="nil"/>
                    <w:tr2bl w:val="nil"/>
                  </w:tcBorders>
                  <w:noWrap w:val="0"/>
                  <w:vAlign w:val="center"/>
                </w:tcPr>
                <w:p w14:paraId="243FE2D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54A28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48D4FD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29</w:t>
                  </w:r>
                </w:p>
              </w:tc>
              <w:tc>
                <w:tcPr>
                  <w:tcW w:w="2600" w:type="dxa"/>
                  <w:tcBorders>
                    <w:tl2br w:val="nil"/>
                    <w:tr2bl w:val="nil"/>
                  </w:tcBorders>
                  <w:noWrap w:val="0"/>
                  <w:vAlign w:val="center"/>
                </w:tcPr>
                <w:p w14:paraId="290A05C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中低压制备仪Flash Biotage</w:t>
                  </w:r>
                </w:p>
              </w:tc>
              <w:tc>
                <w:tcPr>
                  <w:tcW w:w="1346" w:type="dxa"/>
                  <w:tcBorders>
                    <w:tl2br w:val="nil"/>
                    <w:tr2bl w:val="nil"/>
                  </w:tcBorders>
                  <w:noWrap w:val="0"/>
                  <w:vAlign w:val="center"/>
                </w:tcPr>
                <w:p w14:paraId="56748B0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2ED96F8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ISLS2033130</w:t>
                  </w:r>
                </w:p>
              </w:tc>
              <w:tc>
                <w:tcPr>
                  <w:tcW w:w="1302" w:type="dxa"/>
                  <w:tcBorders>
                    <w:tl2br w:val="nil"/>
                    <w:tr2bl w:val="nil"/>
                  </w:tcBorders>
                  <w:noWrap w:val="0"/>
                  <w:vAlign w:val="center"/>
                </w:tcPr>
                <w:p w14:paraId="46C5F9C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0C163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B8E10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30</w:t>
                  </w:r>
                </w:p>
              </w:tc>
              <w:tc>
                <w:tcPr>
                  <w:tcW w:w="2600" w:type="dxa"/>
                  <w:tcBorders>
                    <w:tl2br w:val="nil"/>
                    <w:tr2bl w:val="nil"/>
                  </w:tcBorders>
                  <w:noWrap w:val="0"/>
                  <w:vAlign w:val="center"/>
                </w:tcPr>
                <w:p w14:paraId="697A772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高低温循环一体机</w:t>
                  </w:r>
                </w:p>
              </w:tc>
              <w:tc>
                <w:tcPr>
                  <w:tcW w:w="1346" w:type="dxa"/>
                  <w:tcBorders>
                    <w:tl2br w:val="nil"/>
                    <w:tr2bl w:val="nil"/>
                  </w:tcBorders>
                  <w:noWrap w:val="0"/>
                  <w:vAlign w:val="center"/>
                </w:tcPr>
                <w:p w14:paraId="3A941B2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92D025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WGD-5080</w:t>
                  </w:r>
                </w:p>
              </w:tc>
              <w:tc>
                <w:tcPr>
                  <w:tcW w:w="1302" w:type="dxa"/>
                  <w:tcBorders>
                    <w:tl2br w:val="nil"/>
                    <w:tr2bl w:val="nil"/>
                  </w:tcBorders>
                  <w:noWrap w:val="0"/>
                  <w:vAlign w:val="center"/>
                </w:tcPr>
                <w:p w14:paraId="46245FD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C492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4BDC1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31</w:t>
                  </w:r>
                </w:p>
              </w:tc>
              <w:tc>
                <w:tcPr>
                  <w:tcW w:w="2600" w:type="dxa"/>
                  <w:tcBorders>
                    <w:tl2br w:val="nil"/>
                    <w:tr2bl w:val="nil"/>
                  </w:tcBorders>
                  <w:noWrap w:val="0"/>
                  <w:vAlign w:val="center"/>
                </w:tcPr>
                <w:p w14:paraId="00BBD5B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冰柜</w:t>
                  </w:r>
                </w:p>
              </w:tc>
              <w:tc>
                <w:tcPr>
                  <w:tcW w:w="1346" w:type="dxa"/>
                  <w:tcBorders>
                    <w:tl2br w:val="nil"/>
                    <w:tr2bl w:val="nil"/>
                  </w:tcBorders>
                  <w:noWrap w:val="0"/>
                  <w:vAlign w:val="center"/>
                </w:tcPr>
                <w:p w14:paraId="090CA71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3台</w:t>
                  </w:r>
                </w:p>
              </w:tc>
              <w:tc>
                <w:tcPr>
                  <w:tcW w:w="1798" w:type="dxa"/>
                  <w:tcBorders>
                    <w:tl2br w:val="nil"/>
                    <w:tr2bl w:val="nil"/>
                  </w:tcBorders>
                  <w:noWrap w:val="0"/>
                  <w:vAlign w:val="center"/>
                </w:tcPr>
                <w:p w14:paraId="6F83E00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100L</w:t>
                  </w:r>
                </w:p>
              </w:tc>
              <w:tc>
                <w:tcPr>
                  <w:tcW w:w="1302" w:type="dxa"/>
                  <w:tcBorders>
                    <w:tl2br w:val="nil"/>
                    <w:tr2bl w:val="nil"/>
                  </w:tcBorders>
                  <w:noWrap w:val="0"/>
                  <w:vAlign w:val="center"/>
                </w:tcPr>
                <w:p w14:paraId="070D695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FEAE5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9F6E40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32</w:t>
                  </w:r>
                </w:p>
              </w:tc>
              <w:tc>
                <w:tcPr>
                  <w:tcW w:w="2600" w:type="dxa"/>
                  <w:tcBorders>
                    <w:tl2br w:val="nil"/>
                    <w:tr2bl w:val="nil"/>
                  </w:tcBorders>
                  <w:noWrap w:val="0"/>
                  <w:vAlign w:val="center"/>
                </w:tcPr>
                <w:p w14:paraId="6D625BA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油泵</w:t>
                  </w:r>
                </w:p>
              </w:tc>
              <w:tc>
                <w:tcPr>
                  <w:tcW w:w="1346" w:type="dxa"/>
                  <w:tcBorders>
                    <w:tl2br w:val="nil"/>
                    <w:tr2bl w:val="nil"/>
                  </w:tcBorders>
                  <w:noWrap w:val="0"/>
                  <w:vAlign w:val="center"/>
                </w:tcPr>
                <w:p w14:paraId="1F666B8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14004DB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临海</w:t>
                  </w:r>
                </w:p>
              </w:tc>
              <w:tc>
                <w:tcPr>
                  <w:tcW w:w="1302" w:type="dxa"/>
                  <w:tcBorders>
                    <w:tl2br w:val="nil"/>
                    <w:tr2bl w:val="nil"/>
                  </w:tcBorders>
                  <w:noWrap w:val="0"/>
                  <w:vAlign w:val="center"/>
                </w:tcPr>
                <w:p w14:paraId="49CE4AB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1F69C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71F1DF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33</w:t>
                  </w:r>
                </w:p>
              </w:tc>
              <w:tc>
                <w:tcPr>
                  <w:tcW w:w="2600" w:type="dxa"/>
                  <w:tcBorders>
                    <w:tl2br w:val="nil"/>
                    <w:tr2bl w:val="nil"/>
                  </w:tcBorders>
                  <w:noWrap w:val="0"/>
                  <w:vAlign w:val="center"/>
                </w:tcPr>
                <w:p w14:paraId="40F834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中低压制备仪Flash Biotage</w:t>
                  </w:r>
                </w:p>
              </w:tc>
              <w:tc>
                <w:tcPr>
                  <w:tcW w:w="1346" w:type="dxa"/>
                  <w:tcBorders>
                    <w:tl2br w:val="nil"/>
                    <w:tr2bl w:val="nil"/>
                  </w:tcBorders>
                  <w:noWrap w:val="0"/>
                  <w:vAlign w:val="center"/>
                </w:tcPr>
                <w:p w14:paraId="31499BA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5290D5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Isolera</w:t>
                  </w:r>
                </w:p>
              </w:tc>
              <w:tc>
                <w:tcPr>
                  <w:tcW w:w="1302" w:type="dxa"/>
                  <w:tcBorders>
                    <w:tl2br w:val="nil"/>
                    <w:tr2bl w:val="nil"/>
                  </w:tcBorders>
                  <w:noWrap w:val="0"/>
                  <w:vAlign w:val="center"/>
                </w:tcPr>
                <w:p w14:paraId="2671BF6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27872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CCF4E9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34</w:t>
                  </w:r>
                </w:p>
              </w:tc>
              <w:tc>
                <w:tcPr>
                  <w:tcW w:w="2600" w:type="dxa"/>
                  <w:tcBorders>
                    <w:tl2br w:val="nil"/>
                    <w:tr2bl w:val="nil"/>
                  </w:tcBorders>
                  <w:noWrap w:val="0"/>
                  <w:vAlign w:val="center"/>
                </w:tcPr>
                <w:p w14:paraId="1D87FF4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电子天平</w:t>
                  </w:r>
                </w:p>
              </w:tc>
              <w:tc>
                <w:tcPr>
                  <w:tcW w:w="1346" w:type="dxa"/>
                  <w:tcBorders>
                    <w:tl2br w:val="nil"/>
                    <w:tr2bl w:val="nil"/>
                  </w:tcBorders>
                  <w:noWrap w:val="0"/>
                  <w:vAlign w:val="center"/>
                </w:tcPr>
                <w:p w14:paraId="2048EFA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4台</w:t>
                  </w:r>
                </w:p>
              </w:tc>
              <w:tc>
                <w:tcPr>
                  <w:tcW w:w="1798" w:type="dxa"/>
                  <w:tcBorders>
                    <w:tl2br w:val="nil"/>
                    <w:tr2bl w:val="nil"/>
                  </w:tcBorders>
                  <w:noWrap w:val="0"/>
                  <w:vAlign w:val="center"/>
                </w:tcPr>
                <w:p w14:paraId="70DA517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BSM-220.3</w:t>
                  </w:r>
                </w:p>
              </w:tc>
              <w:tc>
                <w:tcPr>
                  <w:tcW w:w="1302" w:type="dxa"/>
                  <w:tcBorders>
                    <w:tl2br w:val="nil"/>
                    <w:tr2bl w:val="nil"/>
                  </w:tcBorders>
                  <w:noWrap w:val="0"/>
                  <w:vAlign w:val="center"/>
                </w:tcPr>
                <w:p w14:paraId="1284E44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A95A0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103083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35</w:t>
                  </w:r>
                </w:p>
              </w:tc>
              <w:tc>
                <w:tcPr>
                  <w:tcW w:w="2600" w:type="dxa"/>
                  <w:tcBorders>
                    <w:tl2br w:val="nil"/>
                    <w:tr2bl w:val="nil"/>
                  </w:tcBorders>
                  <w:noWrap w:val="0"/>
                  <w:vAlign w:val="center"/>
                </w:tcPr>
                <w:p w14:paraId="5037C74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超声波</w:t>
                  </w:r>
                </w:p>
              </w:tc>
              <w:tc>
                <w:tcPr>
                  <w:tcW w:w="1346" w:type="dxa"/>
                  <w:tcBorders>
                    <w:tl2br w:val="nil"/>
                    <w:tr2bl w:val="nil"/>
                  </w:tcBorders>
                  <w:noWrap w:val="0"/>
                  <w:vAlign w:val="center"/>
                </w:tcPr>
                <w:p w14:paraId="159CFE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457EE6B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KQ-300DE</w:t>
                  </w:r>
                </w:p>
              </w:tc>
              <w:tc>
                <w:tcPr>
                  <w:tcW w:w="1302" w:type="dxa"/>
                  <w:tcBorders>
                    <w:tl2br w:val="nil"/>
                    <w:tr2bl w:val="nil"/>
                  </w:tcBorders>
                  <w:noWrap w:val="0"/>
                  <w:vAlign w:val="center"/>
                </w:tcPr>
                <w:p w14:paraId="559952B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E5203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680DDB8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36</w:t>
                  </w:r>
                </w:p>
              </w:tc>
              <w:tc>
                <w:tcPr>
                  <w:tcW w:w="2600" w:type="dxa"/>
                  <w:tcBorders>
                    <w:tl2br w:val="nil"/>
                    <w:tr2bl w:val="nil"/>
                  </w:tcBorders>
                  <w:noWrap w:val="0"/>
                  <w:vAlign w:val="center"/>
                </w:tcPr>
                <w:p w14:paraId="15F0ADE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电子天平</w:t>
                  </w:r>
                </w:p>
              </w:tc>
              <w:tc>
                <w:tcPr>
                  <w:tcW w:w="1346" w:type="dxa"/>
                  <w:tcBorders>
                    <w:tl2br w:val="nil"/>
                    <w:tr2bl w:val="nil"/>
                  </w:tcBorders>
                  <w:noWrap w:val="0"/>
                  <w:vAlign w:val="center"/>
                </w:tcPr>
                <w:p w14:paraId="7599F15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810F9A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labpro</w:t>
                  </w:r>
                </w:p>
              </w:tc>
              <w:tc>
                <w:tcPr>
                  <w:tcW w:w="1302" w:type="dxa"/>
                  <w:tcBorders>
                    <w:tl2br w:val="nil"/>
                    <w:tr2bl w:val="nil"/>
                  </w:tcBorders>
                  <w:noWrap w:val="0"/>
                  <w:vAlign w:val="center"/>
                </w:tcPr>
                <w:p w14:paraId="6EAA062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F7BE7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7DA0EC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37</w:t>
                  </w:r>
                </w:p>
              </w:tc>
              <w:tc>
                <w:tcPr>
                  <w:tcW w:w="2600" w:type="dxa"/>
                  <w:tcBorders>
                    <w:tl2br w:val="nil"/>
                    <w:tr2bl w:val="nil"/>
                  </w:tcBorders>
                  <w:noWrap w:val="0"/>
                  <w:vAlign w:val="center"/>
                </w:tcPr>
                <w:p w14:paraId="232DBBE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液质联用仪LCMS</w:t>
                  </w:r>
                </w:p>
              </w:tc>
              <w:tc>
                <w:tcPr>
                  <w:tcW w:w="1346" w:type="dxa"/>
                  <w:tcBorders>
                    <w:tl2br w:val="nil"/>
                    <w:tr2bl w:val="nil"/>
                  </w:tcBorders>
                  <w:noWrap w:val="0"/>
                  <w:vAlign w:val="center"/>
                </w:tcPr>
                <w:p w14:paraId="440FA1E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13BCF3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Aglient 1290</w:t>
                  </w:r>
                </w:p>
              </w:tc>
              <w:tc>
                <w:tcPr>
                  <w:tcW w:w="1302" w:type="dxa"/>
                  <w:tcBorders>
                    <w:tl2br w:val="nil"/>
                    <w:tr2bl w:val="nil"/>
                  </w:tcBorders>
                  <w:noWrap w:val="0"/>
                  <w:vAlign w:val="center"/>
                </w:tcPr>
                <w:p w14:paraId="6B0913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E20ED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87D476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38</w:t>
                  </w:r>
                </w:p>
              </w:tc>
              <w:tc>
                <w:tcPr>
                  <w:tcW w:w="2600" w:type="dxa"/>
                  <w:tcBorders>
                    <w:tl2br w:val="nil"/>
                    <w:tr2bl w:val="nil"/>
                  </w:tcBorders>
                  <w:noWrap w:val="0"/>
                  <w:vAlign w:val="center"/>
                </w:tcPr>
                <w:p w14:paraId="171F10B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氮气发生器</w:t>
                  </w:r>
                </w:p>
              </w:tc>
              <w:tc>
                <w:tcPr>
                  <w:tcW w:w="1346" w:type="dxa"/>
                  <w:tcBorders>
                    <w:tl2br w:val="nil"/>
                    <w:tr2bl w:val="nil"/>
                  </w:tcBorders>
                  <w:noWrap w:val="0"/>
                  <w:vAlign w:val="center"/>
                </w:tcPr>
                <w:p w14:paraId="1E53863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715457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NM32LA 230V</w:t>
                  </w:r>
                </w:p>
              </w:tc>
              <w:tc>
                <w:tcPr>
                  <w:tcW w:w="1302" w:type="dxa"/>
                  <w:tcBorders>
                    <w:tl2br w:val="nil"/>
                    <w:tr2bl w:val="nil"/>
                  </w:tcBorders>
                  <w:noWrap w:val="0"/>
                  <w:vAlign w:val="center"/>
                </w:tcPr>
                <w:p w14:paraId="499CDA9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C834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39FBBC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39</w:t>
                  </w:r>
                </w:p>
              </w:tc>
              <w:tc>
                <w:tcPr>
                  <w:tcW w:w="2600" w:type="dxa"/>
                  <w:tcBorders>
                    <w:tl2br w:val="nil"/>
                    <w:tr2bl w:val="nil"/>
                  </w:tcBorders>
                  <w:noWrap w:val="0"/>
                  <w:vAlign w:val="center"/>
                </w:tcPr>
                <w:p w14:paraId="4BC764C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高效液相色谱仪01</w:t>
                  </w:r>
                </w:p>
              </w:tc>
              <w:tc>
                <w:tcPr>
                  <w:tcW w:w="1346" w:type="dxa"/>
                  <w:tcBorders>
                    <w:tl2br w:val="nil"/>
                    <w:tr2bl w:val="nil"/>
                  </w:tcBorders>
                  <w:noWrap w:val="0"/>
                  <w:vAlign w:val="center"/>
                </w:tcPr>
                <w:p w14:paraId="24F18C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4台</w:t>
                  </w:r>
                </w:p>
              </w:tc>
              <w:tc>
                <w:tcPr>
                  <w:tcW w:w="1798" w:type="dxa"/>
                  <w:tcBorders>
                    <w:tl2br w:val="nil"/>
                    <w:tr2bl w:val="nil"/>
                  </w:tcBorders>
                  <w:noWrap w:val="0"/>
                  <w:vAlign w:val="center"/>
                </w:tcPr>
                <w:p w14:paraId="281FF87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2998PDA+e2695</w:t>
                  </w:r>
                </w:p>
              </w:tc>
              <w:tc>
                <w:tcPr>
                  <w:tcW w:w="1302" w:type="dxa"/>
                  <w:tcBorders>
                    <w:tl2br w:val="nil"/>
                    <w:tr2bl w:val="nil"/>
                  </w:tcBorders>
                  <w:noWrap w:val="0"/>
                  <w:vAlign w:val="center"/>
                </w:tcPr>
                <w:p w14:paraId="1BFEFE1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D5C8F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B67EBD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40</w:t>
                  </w:r>
                </w:p>
              </w:tc>
              <w:tc>
                <w:tcPr>
                  <w:tcW w:w="2600" w:type="dxa"/>
                  <w:tcBorders>
                    <w:tl2br w:val="nil"/>
                    <w:tr2bl w:val="nil"/>
                  </w:tcBorders>
                  <w:noWrap w:val="0"/>
                  <w:vAlign w:val="center"/>
                </w:tcPr>
                <w:p w14:paraId="13E4018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高效液相色谱仪05</w:t>
                  </w:r>
                </w:p>
              </w:tc>
              <w:tc>
                <w:tcPr>
                  <w:tcW w:w="1346" w:type="dxa"/>
                  <w:tcBorders>
                    <w:tl2br w:val="nil"/>
                    <w:tr2bl w:val="nil"/>
                  </w:tcBorders>
                  <w:noWrap w:val="0"/>
                  <w:vAlign w:val="center"/>
                </w:tcPr>
                <w:p w14:paraId="3B6C8CF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1D43A1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Aglient 1260</w:t>
                  </w:r>
                </w:p>
              </w:tc>
              <w:tc>
                <w:tcPr>
                  <w:tcW w:w="1302" w:type="dxa"/>
                  <w:tcBorders>
                    <w:tl2br w:val="nil"/>
                    <w:tr2bl w:val="nil"/>
                  </w:tcBorders>
                  <w:noWrap w:val="0"/>
                  <w:vAlign w:val="center"/>
                </w:tcPr>
                <w:p w14:paraId="26E1137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9228D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0DB5B3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41</w:t>
                  </w:r>
                </w:p>
              </w:tc>
              <w:tc>
                <w:tcPr>
                  <w:tcW w:w="2600" w:type="dxa"/>
                  <w:tcBorders>
                    <w:tl2br w:val="nil"/>
                    <w:tr2bl w:val="nil"/>
                  </w:tcBorders>
                  <w:noWrap w:val="0"/>
                  <w:vAlign w:val="center"/>
                </w:tcPr>
                <w:p w14:paraId="4CEDC29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岛津制备色谱仪</w:t>
                  </w:r>
                </w:p>
              </w:tc>
              <w:tc>
                <w:tcPr>
                  <w:tcW w:w="1346" w:type="dxa"/>
                  <w:tcBorders>
                    <w:tl2br w:val="nil"/>
                    <w:tr2bl w:val="nil"/>
                  </w:tcBorders>
                  <w:noWrap w:val="0"/>
                  <w:vAlign w:val="center"/>
                </w:tcPr>
                <w:p w14:paraId="5B6B21C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51C78D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LC-20AP+FRC-10A</w:t>
                  </w:r>
                </w:p>
              </w:tc>
              <w:tc>
                <w:tcPr>
                  <w:tcW w:w="1302" w:type="dxa"/>
                  <w:tcBorders>
                    <w:tl2br w:val="nil"/>
                    <w:tr2bl w:val="nil"/>
                  </w:tcBorders>
                  <w:noWrap w:val="0"/>
                  <w:vAlign w:val="center"/>
                </w:tcPr>
                <w:p w14:paraId="10DCC23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3926A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BCAECF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42</w:t>
                  </w:r>
                </w:p>
              </w:tc>
              <w:tc>
                <w:tcPr>
                  <w:tcW w:w="2600" w:type="dxa"/>
                  <w:tcBorders>
                    <w:tl2br w:val="nil"/>
                    <w:tr2bl w:val="nil"/>
                  </w:tcBorders>
                  <w:noWrap w:val="0"/>
                  <w:vAlign w:val="center"/>
                </w:tcPr>
                <w:p w14:paraId="69772CF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热重分析仪TGA</w:t>
                  </w:r>
                </w:p>
              </w:tc>
              <w:tc>
                <w:tcPr>
                  <w:tcW w:w="1346" w:type="dxa"/>
                  <w:tcBorders>
                    <w:tl2br w:val="nil"/>
                    <w:tr2bl w:val="nil"/>
                  </w:tcBorders>
                  <w:noWrap w:val="0"/>
                  <w:vAlign w:val="center"/>
                </w:tcPr>
                <w:p w14:paraId="53D655F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266AFEC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TGA550</w:t>
                  </w:r>
                </w:p>
              </w:tc>
              <w:tc>
                <w:tcPr>
                  <w:tcW w:w="1302" w:type="dxa"/>
                  <w:tcBorders>
                    <w:tl2br w:val="nil"/>
                    <w:tr2bl w:val="nil"/>
                  </w:tcBorders>
                  <w:noWrap w:val="0"/>
                  <w:vAlign w:val="center"/>
                </w:tcPr>
                <w:p w14:paraId="147E5A8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76C4F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434E7B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43</w:t>
                  </w:r>
                </w:p>
              </w:tc>
              <w:tc>
                <w:tcPr>
                  <w:tcW w:w="2600" w:type="dxa"/>
                  <w:tcBorders>
                    <w:tl2br w:val="nil"/>
                    <w:tr2bl w:val="nil"/>
                  </w:tcBorders>
                  <w:noWrap w:val="0"/>
                  <w:vAlign w:val="center"/>
                </w:tcPr>
                <w:p w14:paraId="795EF01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差示扫描量仪DSC</w:t>
                  </w:r>
                </w:p>
              </w:tc>
              <w:tc>
                <w:tcPr>
                  <w:tcW w:w="1346" w:type="dxa"/>
                  <w:tcBorders>
                    <w:tl2br w:val="nil"/>
                    <w:tr2bl w:val="nil"/>
                  </w:tcBorders>
                  <w:noWrap w:val="0"/>
                  <w:vAlign w:val="center"/>
                </w:tcPr>
                <w:p w14:paraId="3AD85AB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5BB4A5C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DSC250</w:t>
                  </w:r>
                </w:p>
              </w:tc>
              <w:tc>
                <w:tcPr>
                  <w:tcW w:w="1302" w:type="dxa"/>
                  <w:tcBorders>
                    <w:tl2br w:val="nil"/>
                    <w:tr2bl w:val="nil"/>
                  </w:tcBorders>
                  <w:noWrap w:val="0"/>
                  <w:vAlign w:val="center"/>
                </w:tcPr>
                <w:p w14:paraId="5C5EDA9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0D09D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23084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44</w:t>
                  </w:r>
                </w:p>
              </w:tc>
              <w:tc>
                <w:tcPr>
                  <w:tcW w:w="2600" w:type="dxa"/>
                  <w:tcBorders>
                    <w:tl2br w:val="nil"/>
                    <w:tr2bl w:val="nil"/>
                  </w:tcBorders>
                  <w:noWrap w:val="0"/>
                  <w:vAlign w:val="center"/>
                </w:tcPr>
                <w:p w14:paraId="4672B3F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离子色谱仪IC</w:t>
                  </w:r>
                </w:p>
              </w:tc>
              <w:tc>
                <w:tcPr>
                  <w:tcW w:w="1346" w:type="dxa"/>
                  <w:tcBorders>
                    <w:tl2br w:val="nil"/>
                    <w:tr2bl w:val="nil"/>
                  </w:tcBorders>
                  <w:noWrap w:val="0"/>
                  <w:vAlign w:val="center"/>
                </w:tcPr>
                <w:p w14:paraId="3FBE2EE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B16D35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DIONEX AQUION</w:t>
                  </w:r>
                </w:p>
                <w:p w14:paraId="005BD88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+DIONEX AS-DV</w:t>
                  </w:r>
                </w:p>
              </w:tc>
              <w:tc>
                <w:tcPr>
                  <w:tcW w:w="1302" w:type="dxa"/>
                  <w:tcBorders>
                    <w:tl2br w:val="nil"/>
                    <w:tr2bl w:val="nil"/>
                  </w:tcBorders>
                  <w:noWrap w:val="0"/>
                  <w:vAlign w:val="center"/>
                </w:tcPr>
                <w:p w14:paraId="58A8B32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7CCE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452DAB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45</w:t>
                  </w:r>
                </w:p>
              </w:tc>
              <w:tc>
                <w:tcPr>
                  <w:tcW w:w="2600" w:type="dxa"/>
                  <w:tcBorders>
                    <w:tl2br w:val="nil"/>
                    <w:tr2bl w:val="nil"/>
                  </w:tcBorders>
                  <w:noWrap w:val="0"/>
                  <w:vAlign w:val="center"/>
                </w:tcPr>
                <w:p w14:paraId="32A77CF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电子天平</w:t>
                  </w:r>
                </w:p>
              </w:tc>
              <w:tc>
                <w:tcPr>
                  <w:tcW w:w="1346" w:type="dxa"/>
                  <w:tcBorders>
                    <w:tl2br w:val="nil"/>
                    <w:tr2bl w:val="nil"/>
                  </w:tcBorders>
                  <w:noWrap w:val="0"/>
                  <w:vAlign w:val="center"/>
                </w:tcPr>
                <w:p w14:paraId="5FEAEEE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8A4ECB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XSR205DU/A</w:t>
                  </w:r>
                </w:p>
              </w:tc>
              <w:tc>
                <w:tcPr>
                  <w:tcW w:w="1302" w:type="dxa"/>
                  <w:tcBorders>
                    <w:tl2br w:val="nil"/>
                    <w:tr2bl w:val="nil"/>
                  </w:tcBorders>
                  <w:noWrap w:val="0"/>
                  <w:vAlign w:val="center"/>
                </w:tcPr>
                <w:p w14:paraId="6861509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F6644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531261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46</w:t>
                  </w:r>
                </w:p>
              </w:tc>
              <w:tc>
                <w:tcPr>
                  <w:tcW w:w="2600" w:type="dxa"/>
                  <w:tcBorders>
                    <w:tl2br w:val="nil"/>
                    <w:tr2bl w:val="nil"/>
                  </w:tcBorders>
                  <w:noWrap w:val="0"/>
                  <w:vAlign w:val="center"/>
                </w:tcPr>
                <w:p w14:paraId="0BB989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水分仪</w:t>
                  </w:r>
                </w:p>
              </w:tc>
              <w:tc>
                <w:tcPr>
                  <w:tcW w:w="1346" w:type="dxa"/>
                  <w:tcBorders>
                    <w:tl2br w:val="nil"/>
                    <w:tr2bl w:val="nil"/>
                  </w:tcBorders>
                  <w:noWrap w:val="0"/>
                  <w:vAlign w:val="center"/>
                </w:tcPr>
                <w:p w14:paraId="349636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6ACC109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V20S</w:t>
                  </w:r>
                </w:p>
              </w:tc>
              <w:tc>
                <w:tcPr>
                  <w:tcW w:w="1302" w:type="dxa"/>
                  <w:tcBorders>
                    <w:tl2br w:val="nil"/>
                    <w:tr2bl w:val="nil"/>
                  </w:tcBorders>
                  <w:noWrap w:val="0"/>
                  <w:vAlign w:val="center"/>
                </w:tcPr>
                <w:p w14:paraId="18D496A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0B61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02AE8C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47</w:t>
                  </w:r>
                </w:p>
              </w:tc>
              <w:tc>
                <w:tcPr>
                  <w:tcW w:w="2600" w:type="dxa"/>
                  <w:tcBorders>
                    <w:tl2br w:val="nil"/>
                    <w:tr2bl w:val="nil"/>
                  </w:tcBorders>
                  <w:noWrap w:val="0"/>
                  <w:vAlign w:val="center"/>
                </w:tcPr>
                <w:p w14:paraId="6A455B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数码生物显微镜</w:t>
                  </w:r>
                </w:p>
              </w:tc>
              <w:tc>
                <w:tcPr>
                  <w:tcW w:w="1346" w:type="dxa"/>
                  <w:tcBorders>
                    <w:tl2br w:val="nil"/>
                    <w:tr2bl w:val="nil"/>
                  </w:tcBorders>
                  <w:noWrap w:val="0"/>
                  <w:vAlign w:val="center"/>
                </w:tcPr>
                <w:p w14:paraId="441E9E1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3553FBA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BK6000</w:t>
                  </w:r>
                </w:p>
              </w:tc>
              <w:tc>
                <w:tcPr>
                  <w:tcW w:w="1302" w:type="dxa"/>
                  <w:tcBorders>
                    <w:tl2br w:val="nil"/>
                    <w:tr2bl w:val="nil"/>
                  </w:tcBorders>
                  <w:noWrap w:val="0"/>
                  <w:vAlign w:val="center"/>
                </w:tcPr>
                <w:p w14:paraId="77F308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D2FDA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727621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48</w:t>
                  </w:r>
                </w:p>
              </w:tc>
              <w:tc>
                <w:tcPr>
                  <w:tcW w:w="2600" w:type="dxa"/>
                  <w:tcBorders>
                    <w:tl2br w:val="nil"/>
                    <w:tr2bl w:val="nil"/>
                  </w:tcBorders>
                  <w:noWrap w:val="0"/>
                  <w:vAlign w:val="center"/>
                </w:tcPr>
                <w:p w14:paraId="40D816E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除湿机</w:t>
                  </w:r>
                </w:p>
              </w:tc>
              <w:tc>
                <w:tcPr>
                  <w:tcW w:w="1346" w:type="dxa"/>
                  <w:tcBorders>
                    <w:tl2br w:val="nil"/>
                    <w:tr2bl w:val="nil"/>
                  </w:tcBorders>
                  <w:noWrap w:val="0"/>
                  <w:vAlign w:val="center"/>
                </w:tcPr>
                <w:p w14:paraId="55D82E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1893CC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ZG-FD2060</w:t>
                  </w:r>
                </w:p>
              </w:tc>
              <w:tc>
                <w:tcPr>
                  <w:tcW w:w="1302" w:type="dxa"/>
                  <w:tcBorders>
                    <w:tl2br w:val="nil"/>
                    <w:tr2bl w:val="nil"/>
                  </w:tcBorders>
                  <w:noWrap w:val="0"/>
                  <w:vAlign w:val="center"/>
                </w:tcPr>
                <w:p w14:paraId="420A58D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ECD0D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6629CB4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49</w:t>
                  </w:r>
                </w:p>
              </w:tc>
              <w:tc>
                <w:tcPr>
                  <w:tcW w:w="2600" w:type="dxa"/>
                  <w:tcBorders>
                    <w:tl2br w:val="nil"/>
                    <w:tr2bl w:val="nil"/>
                  </w:tcBorders>
                  <w:noWrap w:val="0"/>
                  <w:vAlign w:val="center"/>
                </w:tcPr>
                <w:p w14:paraId="26922EA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除湿机</w:t>
                  </w:r>
                </w:p>
              </w:tc>
              <w:tc>
                <w:tcPr>
                  <w:tcW w:w="1346" w:type="dxa"/>
                  <w:tcBorders>
                    <w:tl2br w:val="nil"/>
                    <w:tr2bl w:val="nil"/>
                  </w:tcBorders>
                  <w:noWrap w:val="0"/>
                  <w:vAlign w:val="center"/>
                </w:tcPr>
                <w:p w14:paraId="05D39B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FABDBA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OJ-1512E</w:t>
                  </w:r>
                </w:p>
              </w:tc>
              <w:tc>
                <w:tcPr>
                  <w:tcW w:w="1302" w:type="dxa"/>
                  <w:tcBorders>
                    <w:tl2br w:val="nil"/>
                    <w:tr2bl w:val="nil"/>
                  </w:tcBorders>
                  <w:noWrap w:val="0"/>
                  <w:vAlign w:val="center"/>
                </w:tcPr>
                <w:p w14:paraId="7FFAF49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5AF7B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F9368F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50</w:t>
                  </w:r>
                </w:p>
              </w:tc>
              <w:tc>
                <w:tcPr>
                  <w:tcW w:w="2600" w:type="dxa"/>
                  <w:tcBorders>
                    <w:tl2br w:val="nil"/>
                    <w:tr2bl w:val="nil"/>
                  </w:tcBorders>
                  <w:noWrap w:val="0"/>
                  <w:vAlign w:val="center"/>
                </w:tcPr>
                <w:p w14:paraId="5754F9B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数控超声清洗器</w:t>
                  </w:r>
                </w:p>
              </w:tc>
              <w:tc>
                <w:tcPr>
                  <w:tcW w:w="1346" w:type="dxa"/>
                  <w:tcBorders>
                    <w:tl2br w:val="nil"/>
                    <w:tr2bl w:val="nil"/>
                  </w:tcBorders>
                  <w:noWrap w:val="0"/>
                  <w:vAlign w:val="center"/>
                </w:tcPr>
                <w:p w14:paraId="0B51D85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DD8531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KQ-400DE</w:t>
                  </w:r>
                </w:p>
              </w:tc>
              <w:tc>
                <w:tcPr>
                  <w:tcW w:w="1302" w:type="dxa"/>
                  <w:tcBorders>
                    <w:tl2br w:val="nil"/>
                    <w:tr2bl w:val="nil"/>
                  </w:tcBorders>
                  <w:noWrap w:val="0"/>
                  <w:vAlign w:val="center"/>
                </w:tcPr>
                <w:p w14:paraId="4EE4BB7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2E4B5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C737CE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51</w:t>
                  </w:r>
                </w:p>
              </w:tc>
              <w:tc>
                <w:tcPr>
                  <w:tcW w:w="2600" w:type="dxa"/>
                  <w:tcBorders>
                    <w:tl2br w:val="nil"/>
                    <w:tr2bl w:val="nil"/>
                  </w:tcBorders>
                  <w:noWrap w:val="0"/>
                  <w:vAlign w:val="center"/>
                </w:tcPr>
                <w:p w14:paraId="17EAA0F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pH计</w:t>
                  </w:r>
                </w:p>
              </w:tc>
              <w:tc>
                <w:tcPr>
                  <w:tcW w:w="1346" w:type="dxa"/>
                  <w:tcBorders>
                    <w:tl2br w:val="nil"/>
                    <w:tr2bl w:val="nil"/>
                  </w:tcBorders>
                  <w:noWrap w:val="0"/>
                  <w:vAlign w:val="center"/>
                </w:tcPr>
                <w:p w14:paraId="58599AA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B7BE1F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FiveEasy Plus FE28</w:t>
                  </w:r>
                </w:p>
              </w:tc>
              <w:tc>
                <w:tcPr>
                  <w:tcW w:w="1302" w:type="dxa"/>
                  <w:tcBorders>
                    <w:tl2br w:val="nil"/>
                    <w:tr2bl w:val="nil"/>
                  </w:tcBorders>
                  <w:noWrap w:val="0"/>
                  <w:vAlign w:val="center"/>
                </w:tcPr>
                <w:p w14:paraId="03DAB25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EC765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1EC6A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52</w:t>
                  </w:r>
                </w:p>
              </w:tc>
              <w:tc>
                <w:tcPr>
                  <w:tcW w:w="2600" w:type="dxa"/>
                  <w:tcBorders>
                    <w:tl2br w:val="nil"/>
                    <w:tr2bl w:val="nil"/>
                  </w:tcBorders>
                  <w:noWrap w:val="0"/>
                  <w:vAlign w:val="center"/>
                </w:tcPr>
                <w:p w14:paraId="05322D1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涡旋仪</w:t>
                  </w:r>
                </w:p>
              </w:tc>
              <w:tc>
                <w:tcPr>
                  <w:tcW w:w="1346" w:type="dxa"/>
                  <w:tcBorders>
                    <w:tl2br w:val="nil"/>
                    <w:tr2bl w:val="nil"/>
                  </w:tcBorders>
                  <w:noWrap w:val="0"/>
                  <w:vAlign w:val="center"/>
                </w:tcPr>
                <w:p w14:paraId="22894C7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2592803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QL-901</w:t>
                  </w:r>
                </w:p>
              </w:tc>
              <w:tc>
                <w:tcPr>
                  <w:tcW w:w="1302" w:type="dxa"/>
                  <w:tcBorders>
                    <w:tl2br w:val="nil"/>
                    <w:tr2bl w:val="nil"/>
                  </w:tcBorders>
                  <w:noWrap w:val="0"/>
                  <w:vAlign w:val="center"/>
                </w:tcPr>
                <w:p w14:paraId="33B8A44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79EE9F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3BC3E7E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53</w:t>
                  </w:r>
                </w:p>
              </w:tc>
              <w:tc>
                <w:tcPr>
                  <w:tcW w:w="2600" w:type="dxa"/>
                  <w:tcBorders>
                    <w:tl2br w:val="nil"/>
                    <w:tr2bl w:val="nil"/>
                  </w:tcBorders>
                  <w:noWrap w:val="0"/>
                  <w:vAlign w:val="center"/>
                </w:tcPr>
                <w:p w14:paraId="68704F11">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铄鼎超纯水机系列</w:t>
                  </w:r>
                </w:p>
              </w:tc>
              <w:tc>
                <w:tcPr>
                  <w:tcW w:w="1346" w:type="dxa"/>
                  <w:tcBorders>
                    <w:tl2br w:val="nil"/>
                    <w:tr2bl w:val="nil"/>
                  </w:tcBorders>
                  <w:noWrap w:val="0"/>
                  <w:vAlign w:val="center"/>
                </w:tcPr>
                <w:p w14:paraId="2A44BB2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4BEA328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LD-WFUP-VF-30</w:t>
                  </w:r>
                </w:p>
              </w:tc>
              <w:tc>
                <w:tcPr>
                  <w:tcW w:w="1302" w:type="dxa"/>
                  <w:tcBorders>
                    <w:tl2br w:val="nil"/>
                    <w:tr2bl w:val="nil"/>
                  </w:tcBorders>
                  <w:noWrap w:val="0"/>
                  <w:vAlign w:val="center"/>
                </w:tcPr>
                <w:p w14:paraId="3F11FA86">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798B0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71812D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54</w:t>
                  </w:r>
                </w:p>
              </w:tc>
              <w:tc>
                <w:tcPr>
                  <w:tcW w:w="2600" w:type="dxa"/>
                  <w:tcBorders>
                    <w:tl2br w:val="nil"/>
                    <w:tr2bl w:val="nil"/>
                  </w:tcBorders>
                  <w:noWrap w:val="0"/>
                  <w:vAlign w:val="center"/>
                </w:tcPr>
                <w:p w14:paraId="182B18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恒温混匀仪</w:t>
                  </w:r>
                </w:p>
              </w:tc>
              <w:tc>
                <w:tcPr>
                  <w:tcW w:w="1346" w:type="dxa"/>
                  <w:tcBorders>
                    <w:tl2br w:val="nil"/>
                    <w:tr2bl w:val="nil"/>
                  </w:tcBorders>
                  <w:noWrap w:val="0"/>
                  <w:vAlign w:val="center"/>
                </w:tcPr>
                <w:p w14:paraId="2C25CD7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4415B71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TCS10</w:t>
                  </w:r>
                </w:p>
              </w:tc>
              <w:tc>
                <w:tcPr>
                  <w:tcW w:w="1302" w:type="dxa"/>
                  <w:tcBorders>
                    <w:tl2br w:val="nil"/>
                    <w:tr2bl w:val="nil"/>
                  </w:tcBorders>
                  <w:noWrap w:val="0"/>
                  <w:vAlign w:val="center"/>
                </w:tcPr>
                <w:p w14:paraId="07A346C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26C04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17909A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55</w:t>
                  </w:r>
                </w:p>
              </w:tc>
              <w:tc>
                <w:tcPr>
                  <w:tcW w:w="2600" w:type="dxa"/>
                  <w:tcBorders>
                    <w:tl2br w:val="nil"/>
                    <w:tr2bl w:val="nil"/>
                  </w:tcBorders>
                  <w:noWrap w:val="0"/>
                  <w:vAlign w:val="center"/>
                </w:tcPr>
                <w:p w14:paraId="7616E89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离心机</w:t>
                  </w:r>
                </w:p>
              </w:tc>
              <w:tc>
                <w:tcPr>
                  <w:tcW w:w="1346" w:type="dxa"/>
                  <w:tcBorders>
                    <w:tl2br w:val="nil"/>
                    <w:tr2bl w:val="nil"/>
                  </w:tcBorders>
                  <w:noWrap w:val="0"/>
                  <w:vAlign w:val="center"/>
                </w:tcPr>
                <w:p w14:paraId="77967CB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6F2DF30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TiMI-4K</w:t>
                  </w:r>
                </w:p>
              </w:tc>
              <w:tc>
                <w:tcPr>
                  <w:tcW w:w="1302" w:type="dxa"/>
                  <w:tcBorders>
                    <w:tl2br w:val="nil"/>
                    <w:tr2bl w:val="nil"/>
                  </w:tcBorders>
                  <w:noWrap w:val="0"/>
                  <w:vAlign w:val="center"/>
                </w:tcPr>
                <w:p w14:paraId="14417DF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FBFEE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105E957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56</w:t>
                  </w:r>
                </w:p>
              </w:tc>
              <w:tc>
                <w:tcPr>
                  <w:tcW w:w="2600" w:type="dxa"/>
                  <w:tcBorders>
                    <w:tl2br w:val="nil"/>
                    <w:tr2bl w:val="nil"/>
                  </w:tcBorders>
                  <w:noWrap w:val="0"/>
                  <w:vAlign w:val="center"/>
                </w:tcPr>
                <w:p w14:paraId="77F48D3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药品阴凉/冷藏柜</w:t>
                  </w:r>
                </w:p>
              </w:tc>
              <w:tc>
                <w:tcPr>
                  <w:tcW w:w="1346" w:type="dxa"/>
                  <w:tcBorders>
                    <w:tl2br w:val="nil"/>
                    <w:tr2bl w:val="nil"/>
                  </w:tcBorders>
                  <w:noWrap w:val="0"/>
                  <w:vAlign w:val="center"/>
                </w:tcPr>
                <w:p w14:paraId="39EF3DB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1761410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LF-Z0915/800</w:t>
                  </w:r>
                </w:p>
              </w:tc>
              <w:tc>
                <w:tcPr>
                  <w:tcW w:w="1302" w:type="dxa"/>
                  <w:tcBorders>
                    <w:tl2br w:val="nil"/>
                    <w:tr2bl w:val="nil"/>
                  </w:tcBorders>
                  <w:noWrap w:val="0"/>
                  <w:vAlign w:val="center"/>
                </w:tcPr>
                <w:p w14:paraId="4AD95B7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AC79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4918429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57</w:t>
                  </w:r>
                </w:p>
              </w:tc>
              <w:tc>
                <w:tcPr>
                  <w:tcW w:w="2600" w:type="dxa"/>
                  <w:tcBorders>
                    <w:tl2br w:val="nil"/>
                    <w:tr2bl w:val="nil"/>
                  </w:tcBorders>
                  <w:noWrap w:val="0"/>
                  <w:vAlign w:val="center"/>
                </w:tcPr>
                <w:p w14:paraId="2B6DF4A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恒温恒湿箱</w:t>
                  </w:r>
                </w:p>
              </w:tc>
              <w:tc>
                <w:tcPr>
                  <w:tcW w:w="1346" w:type="dxa"/>
                  <w:tcBorders>
                    <w:tl2br w:val="nil"/>
                    <w:tr2bl w:val="nil"/>
                  </w:tcBorders>
                  <w:noWrap w:val="0"/>
                  <w:vAlign w:val="center"/>
                </w:tcPr>
                <w:p w14:paraId="705CF67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35D2287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LHS-50CL</w:t>
                  </w:r>
                </w:p>
              </w:tc>
              <w:tc>
                <w:tcPr>
                  <w:tcW w:w="1302" w:type="dxa"/>
                  <w:tcBorders>
                    <w:tl2br w:val="nil"/>
                    <w:tr2bl w:val="nil"/>
                  </w:tcBorders>
                  <w:noWrap w:val="0"/>
                  <w:vAlign w:val="center"/>
                </w:tcPr>
                <w:p w14:paraId="7296AC4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2107DC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2B162B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58</w:t>
                  </w:r>
                </w:p>
              </w:tc>
              <w:tc>
                <w:tcPr>
                  <w:tcW w:w="2600" w:type="dxa"/>
                  <w:tcBorders>
                    <w:tl2br w:val="nil"/>
                    <w:tr2bl w:val="nil"/>
                  </w:tcBorders>
                  <w:noWrap w:val="0"/>
                  <w:vAlign w:val="center"/>
                </w:tcPr>
                <w:p w14:paraId="62171E0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药品稳定性试验箱</w:t>
                  </w:r>
                </w:p>
              </w:tc>
              <w:tc>
                <w:tcPr>
                  <w:tcW w:w="1346" w:type="dxa"/>
                  <w:tcBorders>
                    <w:tl2br w:val="nil"/>
                    <w:tr2bl w:val="nil"/>
                  </w:tcBorders>
                  <w:noWrap w:val="0"/>
                  <w:vAlign w:val="center"/>
                </w:tcPr>
                <w:p w14:paraId="44ACD59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3台</w:t>
                  </w:r>
                </w:p>
              </w:tc>
              <w:tc>
                <w:tcPr>
                  <w:tcW w:w="1798" w:type="dxa"/>
                  <w:tcBorders>
                    <w:tl2br w:val="nil"/>
                    <w:tr2bl w:val="nil"/>
                  </w:tcBorders>
                  <w:noWrap w:val="0"/>
                  <w:vAlign w:val="center"/>
                </w:tcPr>
                <w:p w14:paraId="6AF88B4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SHH500SD-2T</w:t>
                  </w:r>
                </w:p>
              </w:tc>
              <w:tc>
                <w:tcPr>
                  <w:tcW w:w="1302" w:type="dxa"/>
                  <w:tcBorders>
                    <w:tl2br w:val="nil"/>
                    <w:tr2bl w:val="nil"/>
                  </w:tcBorders>
                  <w:noWrap w:val="0"/>
                  <w:vAlign w:val="center"/>
                </w:tcPr>
                <w:p w14:paraId="05758E7D">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D32D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034F944F">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59</w:t>
                  </w:r>
                </w:p>
              </w:tc>
              <w:tc>
                <w:tcPr>
                  <w:tcW w:w="2600" w:type="dxa"/>
                  <w:tcBorders>
                    <w:tl2br w:val="nil"/>
                    <w:tr2bl w:val="nil"/>
                  </w:tcBorders>
                  <w:noWrap w:val="0"/>
                  <w:vAlign w:val="center"/>
                </w:tcPr>
                <w:p w14:paraId="1800687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药品强光照射试验箱</w:t>
                  </w:r>
                </w:p>
              </w:tc>
              <w:tc>
                <w:tcPr>
                  <w:tcW w:w="1346" w:type="dxa"/>
                  <w:tcBorders>
                    <w:tl2br w:val="nil"/>
                    <w:tr2bl w:val="nil"/>
                  </w:tcBorders>
                  <w:noWrap w:val="0"/>
                  <w:vAlign w:val="center"/>
                </w:tcPr>
                <w:p w14:paraId="67FF310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987143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SHH-100GD-2</w:t>
                  </w:r>
                </w:p>
              </w:tc>
              <w:tc>
                <w:tcPr>
                  <w:tcW w:w="1302" w:type="dxa"/>
                  <w:tcBorders>
                    <w:tl2br w:val="nil"/>
                    <w:tr2bl w:val="nil"/>
                  </w:tcBorders>
                  <w:noWrap w:val="0"/>
                  <w:vAlign w:val="center"/>
                </w:tcPr>
                <w:p w14:paraId="2B4CF6B5">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85F8B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39E8BA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60</w:t>
                  </w:r>
                </w:p>
              </w:tc>
              <w:tc>
                <w:tcPr>
                  <w:tcW w:w="2600" w:type="dxa"/>
                  <w:tcBorders>
                    <w:tl2br w:val="nil"/>
                    <w:tr2bl w:val="nil"/>
                  </w:tcBorders>
                  <w:noWrap w:val="0"/>
                  <w:vAlign w:val="center"/>
                </w:tcPr>
                <w:p w14:paraId="5FBAE7C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综合药品稳定试验箱</w:t>
                  </w:r>
                </w:p>
              </w:tc>
              <w:tc>
                <w:tcPr>
                  <w:tcW w:w="1346" w:type="dxa"/>
                  <w:tcBorders>
                    <w:tl2br w:val="nil"/>
                    <w:tr2bl w:val="nil"/>
                  </w:tcBorders>
                  <w:noWrap w:val="0"/>
                  <w:vAlign w:val="center"/>
                </w:tcPr>
                <w:p w14:paraId="5E381C6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74038A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LDS-275GT-N</w:t>
                  </w:r>
                </w:p>
              </w:tc>
              <w:tc>
                <w:tcPr>
                  <w:tcW w:w="1302" w:type="dxa"/>
                  <w:tcBorders>
                    <w:tl2br w:val="nil"/>
                    <w:tr2bl w:val="nil"/>
                  </w:tcBorders>
                  <w:noWrap w:val="0"/>
                  <w:vAlign w:val="center"/>
                </w:tcPr>
                <w:p w14:paraId="23BEE46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2DBA6D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8A0E80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61</w:t>
                  </w:r>
                </w:p>
              </w:tc>
              <w:tc>
                <w:tcPr>
                  <w:tcW w:w="2600" w:type="dxa"/>
                  <w:tcBorders>
                    <w:tl2br w:val="nil"/>
                    <w:tr2bl w:val="nil"/>
                  </w:tcBorders>
                  <w:noWrap w:val="0"/>
                  <w:vAlign w:val="center"/>
                </w:tcPr>
                <w:p w14:paraId="5F1D3A6E">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电热鼓风干燥箱</w:t>
                  </w:r>
                </w:p>
              </w:tc>
              <w:tc>
                <w:tcPr>
                  <w:tcW w:w="1346" w:type="dxa"/>
                  <w:tcBorders>
                    <w:tl2br w:val="nil"/>
                    <w:tr2bl w:val="nil"/>
                  </w:tcBorders>
                  <w:noWrap w:val="0"/>
                  <w:vAlign w:val="center"/>
                </w:tcPr>
                <w:p w14:paraId="0EEEBA2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0EE81E77">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DHG-9245A</w:t>
                  </w:r>
                </w:p>
              </w:tc>
              <w:tc>
                <w:tcPr>
                  <w:tcW w:w="1302" w:type="dxa"/>
                  <w:tcBorders>
                    <w:tl2br w:val="nil"/>
                    <w:tr2bl w:val="nil"/>
                  </w:tcBorders>
                  <w:noWrap w:val="0"/>
                  <w:vAlign w:val="center"/>
                </w:tcPr>
                <w:p w14:paraId="089280DC">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352DA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F2924EA">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62</w:t>
                  </w:r>
                </w:p>
              </w:tc>
              <w:tc>
                <w:tcPr>
                  <w:tcW w:w="2600" w:type="dxa"/>
                  <w:tcBorders>
                    <w:tl2br w:val="nil"/>
                    <w:tr2bl w:val="nil"/>
                  </w:tcBorders>
                  <w:noWrap w:val="0"/>
                  <w:vAlign w:val="center"/>
                </w:tcPr>
                <w:p w14:paraId="502225F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真空干燥箱</w:t>
                  </w:r>
                </w:p>
              </w:tc>
              <w:tc>
                <w:tcPr>
                  <w:tcW w:w="1346" w:type="dxa"/>
                  <w:tcBorders>
                    <w:tl2br w:val="nil"/>
                    <w:tr2bl w:val="nil"/>
                  </w:tcBorders>
                  <w:noWrap w:val="0"/>
                  <w:vAlign w:val="center"/>
                </w:tcPr>
                <w:p w14:paraId="2F4EEE8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2台</w:t>
                  </w:r>
                </w:p>
              </w:tc>
              <w:tc>
                <w:tcPr>
                  <w:tcW w:w="1798" w:type="dxa"/>
                  <w:tcBorders>
                    <w:tl2br w:val="nil"/>
                    <w:tr2bl w:val="nil"/>
                  </w:tcBorders>
                  <w:noWrap w:val="0"/>
                  <w:vAlign w:val="center"/>
                </w:tcPr>
                <w:p w14:paraId="57ECC76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DZF-6020</w:t>
                  </w:r>
                </w:p>
              </w:tc>
              <w:tc>
                <w:tcPr>
                  <w:tcW w:w="1302" w:type="dxa"/>
                  <w:tcBorders>
                    <w:tl2br w:val="nil"/>
                    <w:tr2bl w:val="nil"/>
                  </w:tcBorders>
                  <w:noWrap w:val="0"/>
                  <w:vAlign w:val="center"/>
                </w:tcPr>
                <w:p w14:paraId="4F920109">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B8000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8B6398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63</w:t>
                  </w:r>
                </w:p>
              </w:tc>
              <w:tc>
                <w:tcPr>
                  <w:tcW w:w="2600" w:type="dxa"/>
                  <w:tcBorders>
                    <w:tl2br w:val="nil"/>
                    <w:tr2bl w:val="nil"/>
                  </w:tcBorders>
                  <w:noWrap w:val="0"/>
                  <w:vAlign w:val="center"/>
                </w:tcPr>
                <w:p w14:paraId="6EF61F80">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箱式电阻炉</w:t>
                  </w:r>
                </w:p>
              </w:tc>
              <w:tc>
                <w:tcPr>
                  <w:tcW w:w="1346" w:type="dxa"/>
                  <w:tcBorders>
                    <w:tl2br w:val="nil"/>
                    <w:tr2bl w:val="nil"/>
                  </w:tcBorders>
                  <w:noWrap w:val="0"/>
                  <w:vAlign w:val="center"/>
                </w:tcPr>
                <w:p w14:paraId="467EAD9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1台</w:t>
                  </w:r>
                </w:p>
              </w:tc>
              <w:tc>
                <w:tcPr>
                  <w:tcW w:w="1798" w:type="dxa"/>
                  <w:tcBorders>
                    <w:tl2br w:val="nil"/>
                    <w:tr2bl w:val="nil"/>
                  </w:tcBorders>
                  <w:noWrap w:val="0"/>
                  <w:vAlign w:val="center"/>
                </w:tcPr>
                <w:p w14:paraId="116D9A52">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SX2-4-10N</w:t>
                  </w:r>
                </w:p>
              </w:tc>
              <w:tc>
                <w:tcPr>
                  <w:tcW w:w="1302" w:type="dxa"/>
                  <w:tcBorders>
                    <w:tl2br w:val="nil"/>
                    <w:tr2bl w:val="nil"/>
                  </w:tcBorders>
                  <w:noWrap w:val="0"/>
                  <w:vAlign w:val="center"/>
                </w:tcPr>
                <w:p w14:paraId="4346D5A3">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A7813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63CEEC0">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64</w:t>
                  </w:r>
                </w:p>
              </w:tc>
              <w:tc>
                <w:tcPr>
                  <w:tcW w:w="2600" w:type="dxa"/>
                  <w:tcBorders>
                    <w:tl2br w:val="nil"/>
                    <w:tr2bl w:val="nil"/>
                  </w:tcBorders>
                  <w:noWrap w:val="0"/>
                  <w:vAlign w:val="center"/>
                </w:tcPr>
                <w:p w14:paraId="4EF0460B">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玻璃钢离心风机</w:t>
                  </w:r>
                </w:p>
              </w:tc>
              <w:tc>
                <w:tcPr>
                  <w:tcW w:w="1346" w:type="dxa"/>
                  <w:tcBorders>
                    <w:tl2br w:val="nil"/>
                    <w:tr2bl w:val="nil"/>
                  </w:tcBorders>
                  <w:noWrap w:val="0"/>
                  <w:vAlign w:val="center"/>
                </w:tcPr>
                <w:p w14:paraId="5BDD38A8">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3台</w:t>
                  </w:r>
                </w:p>
              </w:tc>
              <w:tc>
                <w:tcPr>
                  <w:tcW w:w="1798" w:type="dxa"/>
                  <w:tcBorders>
                    <w:tl2br w:val="nil"/>
                    <w:tr2bl w:val="nil"/>
                  </w:tcBorders>
                  <w:noWrap w:val="0"/>
                  <w:vAlign w:val="center"/>
                </w:tcPr>
                <w:p w14:paraId="278A4B74">
                  <w:pPr>
                    <w:keepNext w:val="0"/>
                    <w:keepLines w:val="0"/>
                    <w:pageBreakBefore w:val="0"/>
                    <w:widowControl/>
                    <w:suppressLineNumbers w:val="0"/>
                    <w:kinsoku/>
                    <w:wordWrap/>
                    <w:overflowPunct/>
                    <w:topLinePunct w:val="0"/>
                    <w:bidi w:val="0"/>
                    <w:adjustRightInd w:val="0"/>
                    <w:snapToGrid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XC-4#-4</w:t>
                  </w:r>
                </w:p>
              </w:tc>
              <w:tc>
                <w:tcPr>
                  <w:tcW w:w="1302" w:type="dxa"/>
                  <w:tcBorders>
                    <w:tl2br w:val="nil"/>
                    <w:tr2bl w:val="nil"/>
                  </w:tcBorders>
                  <w:noWrap w:val="0"/>
                  <w:vAlign w:val="center"/>
                </w:tcPr>
                <w:p w14:paraId="6C024A4B">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p>
              </w:tc>
            </w:tr>
            <w:tr w14:paraId="64104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53CD7A2A">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67</w:t>
                  </w:r>
                </w:p>
              </w:tc>
              <w:tc>
                <w:tcPr>
                  <w:tcW w:w="2600" w:type="dxa"/>
                  <w:tcBorders>
                    <w:tl2br w:val="nil"/>
                    <w:tr2bl w:val="nil"/>
                  </w:tcBorders>
                  <w:noWrap w:val="0"/>
                  <w:vAlign w:val="center"/>
                </w:tcPr>
                <w:p w14:paraId="6B721979">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桌入型通风柜</w:t>
                  </w:r>
                </w:p>
              </w:tc>
              <w:tc>
                <w:tcPr>
                  <w:tcW w:w="1346" w:type="dxa"/>
                  <w:tcBorders>
                    <w:tl2br w:val="nil"/>
                    <w:tr2bl w:val="nil"/>
                  </w:tcBorders>
                  <w:noWrap w:val="0"/>
                  <w:vAlign w:val="center"/>
                </w:tcPr>
                <w:p w14:paraId="7220CC83">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27台</w:t>
                  </w:r>
                </w:p>
              </w:tc>
              <w:tc>
                <w:tcPr>
                  <w:tcW w:w="1798" w:type="dxa"/>
                  <w:tcBorders>
                    <w:tl2br w:val="nil"/>
                    <w:tr2bl w:val="nil"/>
                  </w:tcBorders>
                  <w:noWrap w:val="0"/>
                  <w:vAlign w:val="center"/>
                </w:tcPr>
                <w:p w14:paraId="497BED12">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1302" w:type="dxa"/>
                  <w:tcBorders>
                    <w:tl2br w:val="nil"/>
                    <w:tr2bl w:val="nil"/>
                  </w:tcBorders>
                  <w:noWrap w:val="0"/>
                  <w:vAlign w:val="center"/>
                </w:tcPr>
                <w:p w14:paraId="24B54923">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p>
              </w:tc>
            </w:tr>
            <w:tr w14:paraId="31A331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2B7688F6">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68</w:t>
                  </w:r>
                </w:p>
              </w:tc>
              <w:tc>
                <w:tcPr>
                  <w:tcW w:w="2600" w:type="dxa"/>
                  <w:tcBorders>
                    <w:tl2br w:val="nil"/>
                    <w:tr2bl w:val="nil"/>
                  </w:tcBorders>
                  <w:noWrap w:val="0"/>
                  <w:vAlign w:val="center"/>
                </w:tcPr>
                <w:p w14:paraId="566835CC">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台入型通风柜</w:t>
                  </w:r>
                </w:p>
              </w:tc>
              <w:tc>
                <w:tcPr>
                  <w:tcW w:w="1346" w:type="dxa"/>
                  <w:tcBorders>
                    <w:tl2br w:val="nil"/>
                    <w:tr2bl w:val="nil"/>
                  </w:tcBorders>
                  <w:noWrap w:val="0"/>
                  <w:vAlign w:val="center"/>
                </w:tcPr>
                <w:p w14:paraId="1F653DCC">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22台</w:t>
                  </w:r>
                </w:p>
              </w:tc>
              <w:tc>
                <w:tcPr>
                  <w:tcW w:w="1798" w:type="dxa"/>
                  <w:tcBorders>
                    <w:tl2br w:val="nil"/>
                    <w:tr2bl w:val="nil"/>
                  </w:tcBorders>
                  <w:noWrap w:val="0"/>
                  <w:vAlign w:val="center"/>
                </w:tcPr>
                <w:p w14:paraId="185A7F74">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1302" w:type="dxa"/>
                  <w:tcBorders>
                    <w:tl2br w:val="nil"/>
                    <w:tr2bl w:val="nil"/>
                  </w:tcBorders>
                  <w:noWrap w:val="0"/>
                  <w:vAlign w:val="center"/>
                </w:tcPr>
                <w:p w14:paraId="7050334E">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p>
              </w:tc>
            </w:tr>
            <w:tr w14:paraId="7ABDBB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700F4BDF">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69</w:t>
                  </w:r>
                </w:p>
              </w:tc>
              <w:tc>
                <w:tcPr>
                  <w:tcW w:w="2600" w:type="dxa"/>
                  <w:tcBorders>
                    <w:tl2br w:val="nil"/>
                    <w:tr2bl w:val="nil"/>
                  </w:tcBorders>
                  <w:noWrap w:val="0"/>
                  <w:vAlign w:val="center"/>
                </w:tcPr>
                <w:p w14:paraId="61A233B0">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桌上型通风柜</w:t>
                  </w:r>
                </w:p>
              </w:tc>
              <w:tc>
                <w:tcPr>
                  <w:tcW w:w="1346" w:type="dxa"/>
                  <w:tcBorders>
                    <w:tl2br w:val="nil"/>
                    <w:tr2bl w:val="nil"/>
                  </w:tcBorders>
                  <w:noWrap w:val="0"/>
                  <w:vAlign w:val="center"/>
                </w:tcPr>
                <w:p w14:paraId="38C373F6">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3台</w:t>
                  </w:r>
                </w:p>
              </w:tc>
              <w:tc>
                <w:tcPr>
                  <w:tcW w:w="1798" w:type="dxa"/>
                  <w:tcBorders>
                    <w:tl2br w:val="nil"/>
                    <w:tr2bl w:val="nil"/>
                  </w:tcBorders>
                  <w:noWrap w:val="0"/>
                  <w:vAlign w:val="center"/>
                </w:tcPr>
                <w:p w14:paraId="12E5A40F">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1302" w:type="dxa"/>
                  <w:tcBorders>
                    <w:tl2br w:val="nil"/>
                    <w:tr2bl w:val="nil"/>
                  </w:tcBorders>
                  <w:noWrap w:val="0"/>
                  <w:vAlign w:val="center"/>
                </w:tcPr>
                <w:p w14:paraId="17A39BE2">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p>
              </w:tc>
            </w:tr>
            <w:tr w14:paraId="1268F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7" w:type="dxa"/>
                  <w:tcBorders>
                    <w:tl2br w:val="nil"/>
                    <w:tr2bl w:val="nil"/>
                  </w:tcBorders>
                  <w:noWrap w:val="0"/>
                  <w:vAlign w:val="center"/>
                </w:tcPr>
                <w:p w14:paraId="63C325E1">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70</w:t>
                  </w:r>
                </w:p>
              </w:tc>
              <w:tc>
                <w:tcPr>
                  <w:tcW w:w="2600" w:type="dxa"/>
                  <w:tcBorders>
                    <w:tl2br w:val="nil"/>
                    <w:tr2bl w:val="nil"/>
                  </w:tcBorders>
                  <w:noWrap w:val="0"/>
                  <w:vAlign w:val="center"/>
                </w:tcPr>
                <w:p w14:paraId="624D1361">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活性炭吸附装置</w:t>
                  </w:r>
                </w:p>
              </w:tc>
              <w:tc>
                <w:tcPr>
                  <w:tcW w:w="1346" w:type="dxa"/>
                  <w:tcBorders>
                    <w:tl2br w:val="nil"/>
                    <w:tr2bl w:val="nil"/>
                  </w:tcBorders>
                  <w:noWrap w:val="0"/>
                  <w:vAlign w:val="center"/>
                </w:tcPr>
                <w:p w14:paraId="4B67EE99">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6套</w:t>
                  </w:r>
                </w:p>
              </w:tc>
              <w:tc>
                <w:tcPr>
                  <w:tcW w:w="1798" w:type="dxa"/>
                  <w:tcBorders>
                    <w:tl2br w:val="nil"/>
                    <w:tr2bl w:val="nil"/>
                  </w:tcBorders>
                  <w:noWrap w:val="0"/>
                  <w:vAlign w:val="center"/>
                </w:tcPr>
                <w:p w14:paraId="41E0EC0D">
                  <w:pPr>
                    <w:keepNext w:val="0"/>
                    <w:keepLines w:val="0"/>
                    <w:pageBreakBefore w:val="0"/>
                    <w:widowControl/>
                    <w:suppressLineNumbers w:val="0"/>
                    <w:kinsoku/>
                    <w:wordWrap/>
                    <w:overflowPunct/>
                    <w:topLinePunct w:val="0"/>
                    <w:bidi w:val="0"/>
                    <w:adjustRightInd w:val="0"/>
                    <w:snapToGrid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1302" w:type="dxa"/>
                  <w:tcBorders>
                    <w:tl2br w:val="nil"/>
                    <w:tr2bl w:val="nil"/>
                  </w:tcBorders>
                  <w:noWrap w:val="0"/>
                  <w:vAlign w:val="center"/>
                </w:tcPr>
                <w:p w14:paraId="3813F0F2">
                  <w:pPr>
                    <w:keepNext w:val="0"/>
                    <w:keepLines w:val="0"/>
                    <w:pageBreakBefore w:val="0"/>
                    <w:widowControl/>
                    <w:suppressLineNumbers w:val="0"/>
                    <w:kinsoku/>
                    <w:wordWrap/>
                    <w:overflowPunct/>
                    <w:topLinePunct w:val="0"/>
                    <w:bidi w:val="0"/>
                    <w:adjustRightInd w:val="0"/>
                    <w:snapToGrid w:val="0"/>
                    <w:jc w:val="center"/>
                    <w:textAlignment w:val="center"/>
                    <w:rPr>
                      <w:rFonts w:hint="eastAsia" w:cs="Times New Roman"/>
                      <w:i w:val="0"/>
                      <w:iCs w:val="0"/>
                      <w:color w:val="auto"/>
                      <w:kern w:val="0"/>
                      <w:sz w:val="21"/>
                      <w:szCs w:val="21"/>
                      <w:highlight w:val="none"/>
                      <w:u w:val="none"/>
                      <w:lang w:val="en-US" w:eastAsia="zh-CN" w:bidi="ar"/>
                    </w:rPr>
                  </w:pPr>
                </w:p>
              </w:tc>
            </w:tr>
          </w:tbl>
          <w:p w14:paraId="2BEA4194">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0" w:leftChars="0" w:firstLine="0" w:firstLineChars="0"/>
              <w:jc w:val="left"/>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6</w:t>
            </w: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sz w:val="24"/>
                <w:highlight w:val="none"/>
                <w:lang w:val="en-US" w:eastAsia="zh-CN"/>
              </w:rPr>
              <w:t>研发方案</w:t>
            </w:r>
            <w:r>
              <w:rPr>
                <w:rFonts w:hint="eastAsia" w:cs="Times New Roman"/>
                <w:b/>
                <w:bCs/>
                <w:color w:val="auto"/>
                <w:sz w:val="24"/>
                <w:highlight w:val="none"/>
                <w:lang w:val="en-US" w:eastAsia="zh-CN"/>
              </w:rPr>
              <w:t>与实验效果判定方案</w:t>
            </w:r>
          </w:p>
          <w:p w14:paraId="1F56060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本项目主要从事药物研发业务，</w:t>
            </w:r>
            <w:r>
              <w:rPr>
                <w:rFonts w:hint="eastAsia" w:cs="Times New Roman"/>
                <w:b w:val="0"/>
                <w:bCs w:val="0"/>
                <w:color w:val="auto"/>
                <w:sz w:val="24"/>
                <w:highlight w:val="none"/>
                <w:lang w:val="en-US" w:eastAsia="zh-CN"/>
              </w:rPr>
              <w:t>具体包括</w:t>
            </w:r>
            <w:r>
              <w:rPr>
                <w:rFonts w:hint="eastAsia" w:ascii="Times New Roman" w:hAnsi="Times New Roman" w:eastAsia="宋体" w:cs="Times New Roman"/>
                <w:b w:val="0"/>
                <w:bCs w:val="0"/>
                <w:color w:val="auto"/>
                <w:sz w:val="24"/>
                <w:highlight w:val="none"/>
                <w:lang w:val="en-US" w:eastAsia="zh-CN"/>
              </w:rPr>
              <w:t>先导化合物</w:t>
            </w:r>
            <w:r>
              <w:rPr>
                <w:rFonts w:hint="eastAsia" w:cs="Times New Roman"/>
                <w:b w:val="0"/>
                <w:bCs w:val="0"/>
                <w:color w:val="auto"/>
                <w:sz w:val="24"/>
                <w:highlight w:val="none"/>
                <w:lang w:val="en-US" w:eastAsia="zh-CN"/>
              </w:rPr>
              <w:t>（药物活性分子化合物）</w:t>
            </w:r>
            <w:r>
              <w:rPr>
                <w:rFonts w:hint="eastAsia" w:ascii="Times New Roman" w:hAnsi="Times New Roman" w:eastAsia="宋体" w:cs="Times New Roman"/>
                <w:b w:val="0"/>
                <w:bCs w:val="0"/>
                <w:color w:val="auto"/>
                <w:sz w:val="24"/>
                <w:highlight w:val="none"/>
                <w:lang w:val="en-US" w:eastAsia="zh-CN"/>
              </w:rPr>
              <w:t>合成和</w:t>
            </w:r>
            <w:r>
              <w:rPr>
                <w:rFonts w:hint="eastAsia" w:cs="Times New Roman"/>
                <w:b w:val="0"/>
                <w:bCs w:val="0"/>
                <w:color w:val="auto"/>
                <w:sz w:val="24"/>
                <w:highlight w:val="none"/>
                <w:lang w:val="en-US" w:eastAsia="zh-CN"/>
              </w:rPr>
              <w:t>候选药物分子及</w:t>
            </w:r>
            <w:r>
              <w:rPr>
                <w:rFonts w:hint="eastAsia" w:ascii="Times New Roman" w:hAnsi="Times New Roman" w:eastAsia="宋体" w:cs="Times New Roman"/>
                <w:b w:val="0"/>
                <w:bCs w:val="0"/>
                <w:color w:val="auto"/>
                <w:sz w:val="24"/>
                <w:highlight w:val="none"/>
                <w:lang w:val="en-US" w:eastAsia="zh-CN"/>
              </w:rPr>
              <w:t>中间体工艺</w:t>
            </w:r>
            <w:r>
              <w:rPr>
                <w:rFonts w:hint="eastAsia" w:cs="Times New Roman"/>
                <w:b w:val="0"/>
                <w:bCs w:val="0"/>
                <w:color w:val="auto"/>
                <w:sz w:val="24"/>
                <w:highlight w:val="none"/>
                <w:lang w:val="en-US" w:eastAsia="zh-CN"/>
              </w:rPr>
              <w:t>研发两类</w:t>
            </w:r>
            <w:r>
              <w:rPr>
                <w:rFonts w:hint="eastAsia" w:ascii="Times New Roman" w:hAnsi="Times New Roman" w:eastAsia="宋体" w:cs="Times New Roman"/>
                <w:b w:val="0"/>
                <w:bCs w:val="0"/>
                <w:color w:val="auto"/>
                <w:sz w:val="24"/>
                <w:highlight w:val="none"/>
                <w:lang w:val="en-US" w:eastAsia="zh-CN"/>
              </w:rPr>
              <w:t>业务。</w:t>
            </w:r>
            <w:r>
              <w:rPr>
                <w:rFonts w:hint="eastAsia" w:cs="Times New Roman"/>
                <w:b w:val="0"/>
                <w:bCs w:val="0"/>
                <w:color w:val="auto"/>
                <w:sz w:val="24"/>
                <w:highlight w:val="none"/>
                <w:lang w:val="en-US" w:eastAsia="zh-CN"/>
              </w:rPr>
              <w:t>在先导化合物合成方面，通过化学合成对先导化合物进行结构改造，做构效关系研究，以期发现具有优良药效而低毒的候选药物分子。</w:t>
            </w:r>
          </w:p>
          <w:p w14:paraId="3FB1557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项目先导化合物合成研发工作属于探究性研究，单个先导分子需求量一般在5mg～100mg之间，在探试实验室进行实验批次一年约1000批次；再通过分析测试数据，根据产物的结构等标准确定候选的药物分子及中间体，在小试实验室进行候选药物分子及</w:t>
            </w:r>
            <w:r>
              <w:rPr>
                <w:rFonts w:hint="eastAsia" w:ascii="Times New Roman" w:hAnsi="Times New Roman" w:eastAsia="宋体" w:cs="Times New Roman"/>
                <w:b w:val="0"/>
                <w:bCs w:val="0"/>
                <w:color w:val="auto"/>
                <w:sz w:val="24"/>
                <w:highlight w:val="none"/>
                <w:lang w:val="en-US" w:eastAsia="zh-CN"/>
              </w:rPr>
              <w:t>中间体工艺</w:t>
            </w:r>
            <w:r>
              <w:rPr>
                <w:rFonts w:hint="eastAsia" w:cs="Times New Roman"/>
                <w:b w:val="0"/>
                <w:bCs w:val="0"/>
                <w:color w:val="auto"/>
                <w:sz w:val="24"/>
                <w:highlight w:val="none"/>
                <w:lang w:val="en-US" w:eastAsia="zh-CN"/>
              </w:rPr>
              <w:t>研发属于小试性研究，一般按照百克-千克级用量进行放大合成路线，一年约100批次。项目实验批次随市场需求变化而变化。由于本次扩建已完成，企业根据已完成项目实验批次与扩建后项目实验批次进行比较，本次扩建后实验批次较原有实验批次增加近乎一倍，具体</w:t>
            </w:r>
            <w:r>
              <w:rPr>
                <w:rFonts w:hint="eastAsia" w:ascii="Times New Roman" w:hAnsi="Times New Roman" w:eastAsia="宋体" w:cs="Times New Roman"/>
                <w:b w:val="0"/>
                <w:bCs w:val="0"/>
                <w:color w:val="auto"/>
                <w:sz w:val="24"/>
                <w:highlight w:val="none"/>
                <w:lang w:val="en-US" w:eastAsia="zh-CN"/>
              </w:rPr>
              <w:t>研发方案</w:t>
            </w:r>
            <w:r>
              <w:rPr>
                <w:rFonts w:hint="eastAsia" w:cs="Times New Roman"/>
                <w:b w:val="0"/>
                <w:bCs w:val="0"/>
                <w:color w:val="auto"/>
                <w:sz w:val="24"/>
                <w:highlight w:val="none"/>
                <w:lang w:val="en-US" w:eastAsia="zh-CN"/>
              </w:rPr>
              <w:t>涉及的实验批次</w:t>
            </w:r>
            <w:r>
              <w:rPr>
                <w:rFonts w:hint="eastAsia" w:ascii="Times New Roman" w:hAnsi="Times New Roman" w:eastAsia="宋体" w:cs="Times New Roman"/>
                <w:b w:val="0"/>
                <w:bCs w:val="0"/>
                <w:color w:val="auto"/>
                <w:sz w:val="24"/>
                <w:highlight w:val="none"/>
                <w:lang w:val="en-US" w:eastAsia="zh-CN"/>
              </w:rPr>
              <w:t>详见表</w:t>
            </w:r>
            <w:r>
              <w:rPr>
                <w:rFonts w:hint="eastAsia" w:cs="Times New Roman"/>
                <w:b w:val="0"/>
                <w:bCs w:val="0"/>
                <w:color w:val="auto"/>
                <w:sz w:val="24"/>
                <w:highlight w:val="none"/>
                <w:lang w:val="en-US" w:eastAsia="zh-CN"/>
              </w:rPr>
              <w:t>2-6</w:t>
            </w:r>
            <w:r>
              <w:rPr>
                <w:rFonts w:hint="eastAsia" w:ascii="Times New Roman" w:hAnsi="Times New Roman" w:eastAsia="宋体" w:cs="Times New Roman"/>
                <w:b w:val="0"/>
                <w:bCs w:val="0"/>
                <w:color w:val="auto"/>
                <w:sz w:val="24"/>
                <w:highlight w:val="none"/>
                <w:lang w:val="en-US" w:eastAsia="zh-CN"/>
              </w:rPr>
              <w:t>。</w:t>
            </w:r>
          </w:p>
          <w:p w14:paraId="08C365B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表2-6  项目研发方案一览表</w:t>
            </w:r>
          </w:p>
          <w:tbl>
            <w:tblPr>
              <w:tblStyle w:val="31"/>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26"/>
              <w:gridCol w:w="838"/>
              <w:gridCol w:w="963"/>
              <w:gridCol w:w="898"/>
              <w:gridCol w:w="917"/>
              <w:gridCol w:w="1346"/>
            </w:tblGrid>
            <w:tr w14:paraId="0505A0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5" w:type="pct"/>
                  <w:vMerge w:val="restart"/>
                  <w:tcBorders>
                    <w:tl2br w:val="nil"/>
                    <w:tr2bl w:val="nil"/>
                  </w:tcBorders>
                  <w:noWrap w:val="0"/>
                  <w:vAlign w:val="center"/>
                </w:tcPr>
                <w:p w14:paraId="2AA7AF1C">
                  <w:pPr>
                    <w:jc w:val="center"/>
                    <w:rPr>
                      <w:rFonts w:hint="default"/>
                      <w:b/>
                      <w:bCs/>
                      <w:color w:val="auto"/>
                      <w:highlight w:val="none"/>
                      <w:lang w:val="en-US" w:eastAsia="zh-CN"/>
                    </w:rPr>
                  </w:pPr>
                  <w:r>
                    <w:rPr>
                      <w:rFonts w:hint="eastAsia"/>
                      <w:b/>
                      <w:bCs/>
                      <w:color w:val="auto"/>
                      <w:highlight w:val="none"/>
                      <w:lang w:val="en-US" w:eastAsia="zh-CN"/>
                    </w:rPr>
                    <w:t>研发业务</w:t>
                  </w:r>
                </w:p>
              </w:tc>
              <w:tc>
                <w:tcPr>
                  <w:tcW w:w="2291" w:type="pct"/>
                  <w:gridSpan w:val="4"/>
                  <w:tcBorders>
                    <w:tl2br w:val="nil"/>
                    <w:tr2bl w:val="nil"/>
                  </w:tcBorders>
                  <w:noWrap w:val="0"/>
                  <w:vAlign w:val="center"/>
                </w:tcPr>
                <w:p w14:paraId="776456A0">
                  <w:pPr>
                    <w:jc w:val="center"/>
                    <w:rPr>
                      <w:rFonts w:hint="default"/>
                      <w:b/>
                      <w:bCs/>
                      <w:color w:val="auto"/>
                      <w:highlight w:val="none"/>
                      <w:lang w:val="en-US" w:eastAsia="zh-CN"/>
                    </w:rPr>
                  </w:pPr>
                  <w:r>
                    <w:rPr>
                      <w:rFonts w:hint="eastAsia"/>
                      <w:b/>
                      <w:bCs/>
                      <w:color w:val="auto"/>
                      <w:highlight w:val="none"/>
                      <w:lang w:val="en-US" w:eastAsia="zh-CN"/>
                    </w:rPr>
                    <w:t>实验批次/a</w:t>
                  </w:r>
                </w:p>
              </w:tc>
              <w:tc>
                <w:tcPr>
                  <w:tcW w:w="853" w:type="pct"/>
                  <w:vMerge w:val="restart"/>
                  <w:tcBorders>
                    <w:tl2br w:val="nil"/>
                    <w:tr2bl w:val="nil"/>
                  </w:tcBorders>
                  <w:shd w:val="clear" w:color="auto" w:fill="auto"/>
                  <w:noWrap w:val="0"/>
                  <w:vAlign w:val="center"/>
                </w:tcPr>
                <w:p w14:paraId="4863E951">
                  <w:pPr>
                    <w:jc w:val="center"/>
                    <w:rPr>
                      <w:rFonts w:hint="eastAsia" w:ascii="Times New Roman" w:hAnsi="Times New Roman" w:eastAsia="宋体" w:cs="Times New Roman"/>
                      <w:b/>
                      <w:bCs/>
                      <w:color w:val="auto"/>
                      <w:kern w:val="2"/>
                      <w:sz w:val="21"/>
                      <w:szCs w:val="24"/>
                      <w:highlight w:val="none"/>
                      <w:lang w:val="en-US" w:eastAsia="zh-CN" w:bidi="ar-SA"/>
                    </w:rPr>
                  </w:pPr>
                  <w:r>
                    <w:rPr>
                      <w:rFonts w:hint="eastAsia"/>
                      <w:b/>
                      <w:bCs/>
                      <w:color w:val="auto"/>
                      <w:highlight w:val="none"/>
                      <w:lang w:val="en-US" w:eastAsia="zh-CN"/>
                    </w:rPr>
                    <w:t>备注</w:t>
                  </w:r>
                </w:p>
              </w:tc>
            </w:tr>
            <w:tr w14:paraId="00B724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5" w:type="pct"/>
                  <w:vMerge w:val="continue"/>
                  <w:tcBorders>
                    <w:tl2br w:val="nil"/>
                    <w:tr2bl w:val="nil"/>
                  </w:tcBorders>
                  <w:noWrap w:val="0"/>
                  <w:vAlign w:val="center"/>
                </w:tcPr>
                <w:p w14:paraId="72CF6CEE">
                  <w:pPr>
                    <w:jc w:val="center"/>
                    <w:rPr>
                      <w:rFonts w:hint="eastAsia"/>
                      <w:b/>
                      <w:bCs/>
                      <w:color w:val="auto"/>
                      <w:highlight w:val="none"/>
                      <w:lang w:val="en-US" w:eastAsia="zh-CN"/>
                    </w:rPr>
                  </w:pPr>
                </w:p>
              </w:tc>
              <w:tc>
                <w:tcPr>
                  <w:tcW w:w="531" w:type="pct"/>
                  <w:tcBorders>
                    <w:tl2br w:val="nil"/>
                    <w:tr2bl w:val="nil"/>
                  </w:tcBorders>
                  <w:shd w:val="clear" w:color="auto" w:fill="auto"/>
                  <w:noWrap w:val="0"/>
                  <w:vAlign w:val="center"/>
                </w:tcPr>
                <w:p w14:paraId="3CF4A7AE">
                  <w:pPr>
                    <w:jc w:val="center"/>
                    <w:rPr>
                      <w:rFonts w:hint="eastAsia" w:ascii="Times New Roman" w:hAnsi="Times New Roman" w:eastAsia="宋体" w:cs="Times New Roman"/>
                      <w:b/>
                      <w:bCs/>
                      <w:color w:val="auto"/>
                      <w:kern w:val="2"/>
                      <w:sz w:val="21"/>
                      <w:szCs w:val="24"/>
                      <w:highlight w:val="none"/>
                      <w:lang w:val="en-US" w:eastAsia="zh-CN" w:bidi="ar-SA"/>
                    </w:rPr>
                  </w:pPr>
                  <w:r>
                    <w:rPr>
                      <w:rFonts w:hint="eastAsia"/>
                      <w:b/>
                      <w:bCs/>
                      <w:color w:val="auto"/>
                      <w:highlight w:val="none"/>
                      <w:lang w:val="en-US" w:eastAsia="zh-CN"/>
                    </w:rPr>
                    <w:t>现有</w:t>
                  </w:r>
                </w:p>
              </w:tc>
              <w:tc>
                <w:tcPr>
                  <w:tcW w:w="610" w:type="pct"/>
                  <w:tcBorders>
                    <w:tl2br w:val="nil"/>
                    <w:tr2bl w:val="nil"/>
                  </w:tcBorders>
                  <w:shd w:val="clear" w:color="auto" w:fill="auto"/>
                  <w:noWrap w:val="0"/>
                  <w:vAlign w:val="center"/>
                </w:tcPr>
                <w:p w14:paraId="7C830F3E">
                  <w:pPr>
                    <w:jc w:val="center"/>
                    <w:rPr>
                      <w:rFonts w:hint="default" w:ascii="Times New Roman" w:hAnsi="Times New Roman" w:eastAsia="宋体" w:cs="Times New Roman"/>
                      <w:b/>
                      <w:bCs/>
                      <w:color w:val="auto"/>
                      <w:kern w:val="2"/>
                      <w:sz w:val="21"/>
                      <w:szCs w:val="24"/>
                      <w:highlight w:val="none"/>
                      <w:lang w:val="en-US" w:eastAsia="zh-CN" w:bidi="ar-SA"/>
                    </w:rPr>
                  </w:pPr>
                  <w:r>
                    <w:rPr>
                      <w:rFonts w:hint="eastAsia" w:cs="Times New Roman"/>
                      <w:b/>
                      <w:bCs/>
                      <w:color w:val="auto"/>
                      <w:kern w:val="2"/>
                      <w:sz w:val="21"/>
                      <w:szCs w:val="24"/>
                      <w:highlight w:val="none"/>
                      <w:lang w:val="en-US" w:eastAsia="zh-CN" w:bidi="ar-SA"/>
                    </w:rPr>
                    <w:t>本次扩建新增</w:t>
                  </w:r>
                </w:p>
              </w:tc>
              <w:tc>
                <w:tcPr>
                  <w:tcW w:w="569" w:type="pct"/>
                  <w:tcBorders>
                    <w:tl2br w:val="nil"/>
                    <w:tr2bl w:val="nil"/>
                  </w:tcBorders>
                  <w:shd w:val="clear" w:color="auto" w:fill="auto"/>
                  <w:noWrap w:val="0"/>
                  <w:vAlign w:val="center"/>
                </w:tcPr>
                <w:p w14:paraId="7D851023">
                  <w:pPr>
                    <w:jc w:val="center"/>
                    <w:rPr>
                      <w:rFonts w:hint="default" w:ascii="Times New Roman" w:hAnsi="Times New Roman" w:eastAsia="宋体" w:cs="Times New Roman"/>
                      <w:b/>
                      <w:bCs/>
                      <w:color w:val="auto"/>
                      <w:kern w:val="2"/>
                      <w:sz w:val="21"/>
                      <w:szCs w:val="24"/>
                      <w:highlight w:val="none"/>
                      <w:lang w:val="en-US" w:eastAsia="zh-CN" w:bidi="ar-SA"/>
                    </w:rPr>
                  </w:pPr>
                  <w:r>
                    <w:rPr>
                      <w:rFonts w:hint="eastAsia" w:cs="Times New Roman"/>
                      <w:b/>
                      <w:bCs/>
                      <w:color w:val="auto"/>
                      <w:kern w:val="2"/>
                      <w:sz w:val="21"/>
                      <w:szCs w:val="24"/>
                      <w:highlight w:val="none"/>
                      <w:lang w:val="en-US" w:eastAsia="zh-CN" w:bidi="ar-SA"/>
                    </w:rPr>
                    <w:t>项目建成后全厂</w:t>
                  </w:r>
                </w:p>
              </w:tc>
              <w:tc>
                <w:tcPr>
                  <w:tcW w:w="579" w:type="pct"/>
                  <w:tcBorders>
                    <w:tl2br w:val="nil"/>
                    <w:tr2bl w:val="nil"/>
                  </w:tcBorders>
                  <w:shd w:val="clear" w:color="auto" w:fill="auto"/>
                  <w:noWrap w:val="0"/>
                  <w:vAlign w:val="center"/>
                </w:tcPr>
                <w:p w14:paraId="2A790E8C">
                  <w:pPr>
                    <w:jc w:val="center"/>
                    <w:rPr>
                      <w:rFonts w:hint="eastAsia" w:ascii="Times New Roman" w:hAnsi="Times New Roman" w:eastAsia="宋体" w:cs="Times New Roman"/>
                      <w:b/>
                      <w:bCs/>
                      <w:color w:val="auto"/>
                      <w:kern w:val="2"/>
                      <w:sz w:val="21"/>
                      <w:szCs w:val="24"/>
                      <w:highlight w:val="none"/>
                      <w:lang w:val="en-US" w:eastAsia="zh-CN" w:bidi="ar-SA"/>
                    </w:rPr>
                  </w:pPr>
                  <w:r>
                    <w:rPr>
                      <w:rFonts w:hint="eastAsia" w:cs="Times New Roman"/>
                      <w:b/>
                      <w:bCs/>
                      <w:color w:val="auto"/>
                      <w:kern w:val="2"/>
                      <w:sz w:val="21"/>
                      <w:szCs w:val="24"/>
                      <w:highlight w:val="none"/>
                      <w:lang w:val="en-US" w:eastAsia="zh-CN" w:bidi="ar-SA"/>
                    </w:rPr>
                    <w:t>增减量</w:t>
                  </w:r>
                </w:p>
              </w:tc>
              <w:tc>
                <w:tcPr>
                  <w:tcW w:w="853" w:type="pct"/>
                  <w:vMerge w:val="continue"/>
                  <w:tcBorders>
                    <w:tl2br w:val="nil"/>
                    <w:tr2bl w:val="nil"/>
                  </w:tcBorders>
                  <w:noWrap w:val="0"/>
                  <w:vAlign w:val="center"/>
                </w:tcPr>
                <w:p w14:paraId="51431ABC">
                  <w:pPr>
                    <w:jc w:val="center"/>
                    <w:rPr>
                      <w:rFonts w:hint="eastAsia"/>
                      <w:b/>
                      <w:bCs/>
                      <w:color w:val="auto"/>
                      <w:highlight w:val="none"/>
                      <w:lang w:val="en-US" w:eastAsia="zh-CN"/>
                    </w:rPr>
                  </w:pPr>
                </w:p>
              </w:tc>
            </w:tr>
            <w:tr w14:paraId="79EC9A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5" w:type="pct"/>
                  <w:tcBorders>
                    <w:tl2br w:val="nil"/>
                    <w:tr2bl w:val="nil"/>
                  </w:tcBorders>
                  <w:noWrap w:val="0"/>
                  <w:vAlign w:val="center"/>
                </w:tcPr>
                <w:p w14:paraId="5378A583">
                  <w:pPr>
                    <w:jc w:val="center"/>
                    <w:rPr>
                      <w:rFonts w:hint="default"/>
                      <w:color w:val="auto"/>
                      <w:highlight w:val="none"/>
                      <w:lang w:val="en-US" w:eastAsia="zh-CN"/>
                    </w:rPr>
                  </w:pPr>
                  <w:r>
                    <w:rPr>
                      <w:rFonts w:hint="eastAsia"/>
                      <w:color w:val="auto"/>
                      <w:highlight w:val="none"/>
                      <w:lang w:val="en-US" w:eastAsia="zh-CN"/>
                    </w:rPr>
                    <w:t>药物活性分子化合物合成</w:t>
                  </w:r>
                </w:p>
              </w:tc>
              <w:tc>
                <w:tcPr>
                  <w:tcW w:w="531" w:type="pct"/>
                  <w:tcBorders>
                    <w:tl2br w:val="nil"/>
                    <w:tr2bl w:val="nil"/>
                  </w:tcBorders>
                  <w:noWrap w:val="0"/>
                  <w:vAlign w:val="center"/>
                </w:tcPr>
                <w:p w14:paraId="5DFA4D38">
                  <w:pPr>
                    <w:jc w:val="center"/>
                    <w:rPr>
                      <w:rFonts w:hint="default"/>
                      <w:color w:val="auto"/>
                      <w:highlight w:val="none"/>
                      <w:lang w:val="en-US" w:eastAsia="zh-CN"/>
                    </w:rPr>
                  </w:pPr>
                  <w:r>
                    <w:rPr>
                      <w:rFonts w:hint="eastAsia"/>
                      <w:color w:val="auto"/>
                      <w:highlight w:val="none"/>
                      <w:lang w:val="en-US" w:eastAsia="zh-CN"/>
                    </w:rPr>
                    <w:t>500</w:t>
                  </w:r>
                </w:p>
              </w:tc>
              <w:tc>
                <w:tcPr>
                  <w:tcW w:w="610" w:type="pct"/>
                  <w:tcBorders>
                    <w:tl2br w:val="nil"/>
                    <w:tr2bl w:val="nil"/>
                  </w:tcBorders>
                  <w:noWrap w:val="0"/>
                  <w:vAlign w:val="center"/>
                </w:tcPr>
                <w:p w14:paraId="6C41E1BC">
                  <w:pPr>
                    <w:jc w:val="center"/>
                    <w:rPr>
                      <w:rFonts w:hint="default"/>
                      <w:color w:val="auto"/>
                      <w:highlight w:val="none"/>
                      <w:lang w:val="en-US" w:eastAsia="zh-CN"/>
                    </w:rPr>
                  </w:pPr>
                  <w:r>
                    <w:rPr>
                      <w:rFonts w:hint="eastAsia"/>
                      <w:color w:val="auto"/>
                      <w:highlight w:val="none"/>
                      <w:lang w:val="en-US" w:eastAsia="zh-CN"/>
                    </w:rPr>
                    <w:t>500</w:t>
                  </w:r>
                </w:p>
              </w:tc>
              <w:tc>
                <w:tcPr>
                  <w:tcW w:w="569" w:type="pct"/>
                  <w:tcBorders>
                    <w:tl2br w:val="nil"/>
                    <w:tr2bl w:val="nil"/>
                  </w:tcBorders>
                  <w:shd w:val="clear" w:color="auto" w:fill="auto"/>
                  <w:noWrap w:val="0"/>
                  <w:vAlign w:val="center"/>
                </w:tcPr>
                <w:p w14:paraId="70A09437">
                  <w:pPr>
                    <w:jc w:val="cente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1000</w:t>
                  </w:r>
                </w:p>
              </w:tc>
              <w:tc>
                <w:tcPr>
                  <w:tcW w:w="579" w:type="pct"/>
                  <w:tcBorders>
                    <w:tl2br w:val="nil"/>
                    <w:tr2bl w:val="nil"/>
                  </w:tcBorders>
                  <w:shd w:val="clear" w:color="auto" w:fill="auto"/>
                  <w:noWrap w:val="0"/>
                  <w:vAlign w:val="center"/>
                </w:tcPr>
                <w:p w14:paraId="7680FC03">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+500</w:t>
                  </w:r>
                </w:p>
              </w:tc>
              <w:tc>
                <w:tcPr>
                  <w:tcW w:w="853" w:type="pct"/>
                  <w:vMerge w:val="restart"/>
                  <w:tcBorders>
                    <w:tl2br w:val="nil"/>
                    <w:tr2bl w:val="nil"/>
                  </w:tcBorders>
                  <w:noWrap w:val="0"/>
                  <w:vAlign w:val="center"/>
                </w:tcPr>
                <w:p w14:paraId="1EADED06">
                  <w:pPr>
                    <w:jc w:val="center"/>
                    <w:rPr>
                      <w:rFonts w:hint="eastAsia"/>
                      <w:color w:val="auto"/>
                      <w:highlight w:val="none"/>
                      <w:lang w:val="en-US" w:eastAsia="zh-CN"/>
                    </w:rPr>
                  </w:pPr>
                  <w:r>
                    <w:rPr>
                      <w:rFonts w:hint="eastAsia"/>
                      <w:color w:val="auto"/>
                      <w:highlight w:val="none"/>
                      <w:lang w:val="en-US" w:eastAsia="zh-CN"/>
                    </w:rPr>
                    <w:t>仅作为医药及中间体探试和小试研发，不进行中试和生产</w:t>
                  </w:r>
                </w:p>
              </w:tc>
            </w:tr>
            <w:tr w14:paraId="02D21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5" w:type="pct"/>
                  <w:tcBorders>
                    <w:tl2br w:val="nil"/>
                    <w:tr2bl w:val="nil"/>
                  </w:tcBorders>
                  <w:noWrap w:val="0"/>
                  <w:vAlign w:val="center"/>
                </w:tcPr>
                <w:p w14:paraId="7C1829A8">
                  <w:pPr>
                    <w:jc w:val="center"/>
                    <w:rPr>
                      <w:rFonts w:hint="default"/>
                      <w:color w:val="auto"/>
                      <w:highlight w:val="none"/>
                      <w:lang w:val="en-US" w:eastAsia="zh-CN"/>
                    </w:rPr>
                  </w:pPr>
                  <w:r>
                    <w:rPr>
                      <w:rFonts w:hint="eastAsia"/>
                      <w:color w:val="auto"/>
                      <w:highlight w:val="none"/>
                      <w:lang w:val="en-US" w:eastAsia="zh-CN"/>
                    </w:rPr>
                    <w:t>候选药物分子及医药中间体工艺开发</w:t>
                  </w:r>
                </w:p>
              </w:tc>
              <w:tc>
                <w:tcPr>
                  <w:tcW w:w="531" w:type="pct"/>
                  <w:tcBorders>
                    <w:tl2br w:val="nil"/>
                    <w:tr2bl w:val="nil"/>
                  </w:tcBorders>
                  <w:noWrap w:val="0"/>
                  <w:vAlign w:val="center"/>
                </w:tcPr>
                <w:p w14:paraId="6F6BD0B9">
                  <w:pPr>
                    <w:jc w:val="center"/>
                    <w:rPr>
                      <w:rFonts w:hint="default"/>
                      <w:color w:val="auto"/>
                      <w:highlight w:val="none"/>
                      <w:lang w:val="en-US" w:eastAsia="zh-CN"/>
                    </w:rPr>
                  </w:pPr>
                  <w:r>
                    <w:rPr>
                      <w:rFonts w:hint="eastAsia"/>
                      <w:color w:val="auto"/>
                      <w:highlight w:val="none"/>
                      <w:lang w:val="en-US" w:eastAsia="zh-CN"/>
                    </w:rPr>
                    <w:t>50</w:t>
                  </w:r>
                </w:p>
              </w:tc>
              <w:tc>
                <w:tcPr>
                  <w:tcW w:w="610" w:type="pct"/>
                  <w:tcBorders>
                    <w:tl2br w:val="nil"/>
                    <w:tr2bl w:val="nil"/>
                  </w:tcBorders>
                  <w:noWrap w:val="0"/>
                  <w:vAlign w:val="center"/>
                </w:tcPr>
                <w:p w14:paraId="0B8D8E7D">
                  <w:pPr>
                    <w:jc w:val="center"/>
                    <w:rPr>
                      <w:rFonts w:hint="default"/>
                      <w:color w:val="auto"/>
                      <w:highlight w:val="none"/>
                      <w:lang w:val="en-US" w:eastAsia="zh-CN"/>
                    </w:rPr>
                  </w:pPr>
                  <w:r>
                    <w:rPr>
                      <w:rFonts w:hint="eastAsia"/>
                      <w:color w:val="auto"/>
                      <w:highlight w:val="none"/>
                      <w:lang w:val="en-US" w:eastAsia="zh-CN"/>
                    </w:rPr>
                    <w:t>50</w:t>
                  </w:r>
                </w:p>
              </w:tc>
              <w:tc>
                <w:tcPr>
                  <w:tcW w:w="569" w:type="pct"/>
                  <w:tcBorders>
                    <w:tl2br w:val="nil"/>
                    <w:tr2bl w:val="nil"/>
                  </w:tcBorders>
                  <w:shd w:val="clear" w:color="auto" w:fill="auto"/>
                  <w:noWrap w:val="0"/>
                  <w:vAlign w:val="center"/>
                </w:tcPr>
                <w:p w14:paraId="599B9450">
                  <w:pPr>
                    <w:jc w:val="cente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100</w:t>
                  </w:r>
                </w:p>
              </w:tc>
              <w:tc>
                <w:tcPr>
                  <w:tcW w:w="579" w:type="pct"/>
                  <w:tcBorders>
                    <w:tl2br w:val="nil"/>
                    <w:tr2bl w:val="nil"/>
                  </w:tcBorders>
                  <w:shd w:val="clear" w:color="auto" w:fill="auto"/>
                  <w:noWrap w:val="0"/>
                  <w:vAlign w:val="center"/>
                </w:tcPr>
                <w:p w14:paraId="2FB95E10">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+50</w:t>
                  </w:r>
                </w:p>
              </w:tc>
              <w:tc>
                <w:tcPr>
                  <w:tcW w:w="853" w:type="pct"/>
                  <w:vMerge w:val="continue"/>
                  <w:tcBorders>
                    <w:tl2br w:val="nil"/>
                    <w:tr2bl w:val="nil"/>
                  </w:tcBorders>
                  <w:noWrap w:val="0"/>
                  <w:vAlign w:val="center"/>
                </w:tcPr>
                <w:p w14:paraId="10CBF480">
                  <w:pPr>
                    <w:jc w:val="center"/>
                    <w:rPr>
                      <w:rFonts w:hint="default"/>
                      <w:color w:val="auto"/>
                      <w:highlight w:val="none"/>
                      <w:lang w:val="en-US" w:eastAsia="zh-CN"/>
                    </w:rPr>
                  </w:pPr>
                </w:p>
              </w:tc>
            </w:tr>
            <w:tr w14:paraId="18CF93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5" w:type="pct"/>
                  <w:tcBorders>
                    <w:tl2br w:val="nil"/>
                    <w:tr2bl w:val="nil"/>
                  </w:tcBorders>
                  <w:noWrap w:val="0"/>
                  <w:vAlign w:val="center"/>
                </w:tcPr>
                <w:p w14:paraId="11E80739">
                  <w:pPr>
                    <w:jc w:val="center"/>
                    <w:rPr>
                      <w:rFonts w:hint="eastAsia"/>
                      <w:color w:val="auto"/>
                      <w:highlight w:val="none"/>
                      <w:lang w:val="en-US" w:eastAsia="zh-CN"/>
                    </w:rPr>
                  </w:pPr>
                  <w:r>
                    <w:rPr>
                      <w:rFonts w:hint="default"/>
                      <w:color w:val="auto"/>
                      <w:highlight w:val="none"/>
                      <w:lang w:val="en-US" w:eastAsia="zh-CN"/>
                    </w:rPr>
                    <w:t>合计</w:t>
                  </w:r>
                </w:p>
              </w:tc>
              <w:tc>
                <w:tcPr>
                  <w:tcW w:w="531" w:type="pct"/>
                  <w:tcBorders>
                    <w:tl2br w:val="nil"/>
                    <w:tr2bl w:val="nil"/>
                  </w:tcBorders>
                  <w:noWrap w:val="0"/>
                  <w:vAlign w:val="center"/>
                </w:tcPr>
                <w:p w14:paraId="50DA2E98">
                  <w:pPr>
                    <w:jc w:val="center"/>
                    <w:rPr>
                      <w:rFonts w:hint="default"/>
                      <w:color w:val="auto"/>
                      <w:highlight w:val="none"/>
                      <w:lang w:val="en-US" w:eastAsia="zh-CN"/>
                    </w:rPr>
                  </w:pPr>
                  <w:r>
                    <w:rPr>
                      <w:rFonts w:hint="eastAsia"/>
                      <w:color w:val="auto"/>
                      <w:highlight w:val="none"/>
                      <w:lang w:val="en-US" w:eastAsia="zh-CN"/>
                    </w:rPr>
                    <w:t>550</w:t>
                  </w:r>
                </w:p>
              </w:tc>
              <w:tc>
                <w:tcPr>
                  <w:tcW w:w="610" w:type="pct"/>
                  <w:tcBorders>
                    <w:tl2br w:val="nil"/>
                    <w:tr2bl w:val="nil"/>
                  </w:tcBorders>
                  <w:noWrap w:val="0"/>
                  <w:vAlign w:val="center"/>
                </w:tcPr>
                <w:p w14:paraId="4285F982">
                  <w:pPr>
                    <w:jc w:val="center"/>
                    <w:rPr>
                      <w:rFonts w:hint="default"/>
                      <w:color w:val="auto"/>
                      <w:highlight w:val="none"/>
                      <w:lang w:val="en-US" w:eastAsia="zh-CN"/>
                    </w:rPr>
                  </w:pPr>
                  <w:r>
                    <w:rPr>
                      <w:rFonts w:hint="eastAsia"/>
                      <w:color w:val="auto"/>
                      <w:highlight w:val="none"/>
                      <w:lang w:val="en-US" w:eastAsia="zh-CN"/>
                    </w:rPr>
                    <w:t>550</w:t>
                  </w:r>
                </w:p>
              </w:tc>
              <w:tc>
                <w:tcPr>
                  <w:tcW w:w="569" w:type="pct"/>
                  <w:tcBorders>
                    <w:tl2br w:val="nil"/>
                    <w:tr2bl w:val="nil"/>
                  </w:tcBorders>
                  <w:shd w:val="clear" w:color="auto" w:fill="auto"/>
                  <w:noWrap w:val="0"/>
                  <w:vAlign w:val="center"/>
                </w:tcPr>
                <w:p w14:paraId="524C0452">
                  <w:pPr>
                    <w:jc w:val="cente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1100</w:t>
                  </w:r>
                </w:p>
              </w:tc>
              <w:tc>
                <w:tcPr>
                  <w:tcW w:w="579" w:type="pct"/>
                  <w:tcBorders>
                    <w:tl2br w:val="nil"/>
                    <w:tr2bl w:val="nil"/>
                  </w:tcBorders>
                  <w:shd w:val="clear" w:color="auto" w:fill="auto"/>
                  <w:noWrap w:val="0"/>
                  <w:vAlign w:val="center"/>
                </w:tcPr>
                <w:p w14:paraId="29474EDA">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+550</w:t>
                  </w:r>
                </w:p>
              </w:tc>
              <w:tc>
                <w:tcPr>
                  <w:tcW w:w="853" w:type="pct"/>
                  <w:vMerge w:val="continue"/>
                  <w:tcBorders>
                    <w:tl2br w:val="nil"/>
                    <w:tr2bl w:val="nil"/>
                  </w:tcBorders>
                  <w:noWrap w:val="0"/>
                  <w:vAlign w:val="center"/>
                </w:tcPr>
                <w:p w14:paraId="0EB2D0D2">
                  <w:pPr>
                    <w:jc w:val="center"/>
                    <w:rPr>
                      <w:rFonts w:hint="default"/>
                      <w:color w:val="auto"/>
                      <w:highlight w:val="none"/>
                      <w:lang w:val="en-US" w:eastAsia="zh-CN"/>
                    </w:rPr>
                  </w:pPr>
                </w:p>
              </w:tc>
            </w:tr>
          </w:tbl>
          <w:p w14:paraId="58CB861C">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0" w:leftChars="0" w:firstLine="480" w:firstLineChars="200"/>
              <w:jc w:val="left"/>
              <w:textAlignment w:val="auto"/>
              <w:rPr>
                <w:rFonts w:hint="eastAsia" w:cs="Times New Roman"/>
                <w:b w:val="0"/>
                <w:bCs w:val="0"/>
                <w:color w:val="auto"/>
                <w:kern w:val="2"/>
                <w:sz w:val="24"/>
                <w:szCs w:val="24"/>
                <w:highlight w:val="none"/>
                <w:lang w:val="en-US" w:eastAsia="zh-CN" w:bidi="ar-SA"/>
              </w:rPr>
            </w:pPr>
            <w:r>
              <w:rPr>
                <w:rFonts w:hint="eastAsia"/>
                <w:b w:val="0"/>
                <w:bCs w:val="0"/>
                <w:color w:val="auto"/>
                <w:sz w:val="24"/>
                <w:highlight w:val="none"/>
              </w:rPr>
              <w:t>实验效果判定方案：包括反应中控、产物结构分析和产率计算等方法。反应中控主要通过薄层色谱法（TLC）、高效液相色谱法（HPLC）和气相色谱法（GC）等手段，监控原料向产物的转化进程。产物结构分析是通过核磁共振波谱法（NMR）、质谱法（MS）确认得到</w:t>
            </w:r>
            <w:r>
              <w:rPr>
                <w:rFonts w:hint="eastAsia"/>
                <w:b w:val="0"/>
                <w:bCs w:val="0"/>
                <w:color w:val="auto"/>
                <w:sz w:val="24"/>
                <w:highlight w:val="none"/>
                <w:lang w:val="en-US" w:eastAsia="zh-CN"/>
              </w:rPr>
              <w:t>目标</w:t>
            </w:r>
            <w:r>
              <w:rPr>
                <w:rFonts w:hint="eastAsia"/>
                <w:b w:val="0"/>
                <w:bCs w:val="0"/>
                <w:color w:val="auto"/>
                <w:sz w:val="24"/>
                <w:highlight w:val="none"/>
              </w:rPr>
              <w:t>结构的产物。产率计算是通过液相标准曲线或根据实际得到的产物的质量，来计算收率</w:t>
            </w:r>
            <w:r>
              <w:rPr>
                <w:rFonts w:hint="eastAsia"/>
                <w:b w:val="0"/>
                <w:bCs w:val="0"/>
                <w:color w:val="auto"/>
                <w:sz w:val="24"/>
                <w:highlight w:val="none"/>
                <w:lang w:val="en-US" w:eastAsia="zh-CN"/>
              </w:rPr>
              <w:t>判定产物是否合格</w:t>
            </w:r>
            <w:r>
              <w:rPr>
                <w:rFonts w:hint="eastAsia"/>
                <w:b w:val="0"/>
                <w:bCs w:val="0"/>
                <w:color w:val="auto"/>
                <w:sz w:val="24"/>
                <w:highlight w:val="none"/>
                <w:lang w:eastAsia="zh-CN"/>
              </w:rPr>
              <w:t>。</w:t>
            </w:r>
          </w:p>
          <w:p w14:paraId="01D6040F">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Chars="0"/>
              <w:jc w:val="left"/>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7.物料平衡</w:t>
            </w:r>
          </w:p>
          <w:p w14:paraId="45BB7303">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Chars="0"/>
              <w:jc w:val="left"/>
              <w:textAlignment w:val="auto"/>
              <w:rPr>
                <w:rFonts w:hint="eastAsia" w:cs="Times New Roman"/>
                <w:b w:val="0"/>
                <w:bCs w:val="0"/>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 xml:space="preserve">  </w:t>
            </w:r>
            <w:r>
              <w:rPr>
                <w:rFonts w:hint="eastAsia" w:cs="Times New Roman"/>
                <w:b w:val="0"/>
                <w:bCs w:val="0"/>
                <w:color w:val="auto"/>
                <w:kern w:val="2"/>
                <w:sz w:val="24"/>
                <w:szCs w:val="24"/>
                <w:highlight w:val="none"/>
                <w:lang w:val="en-US" w:eastAsia="zh-CN" w:bidi="ar-SA"/>
              </w:rPr>
              <w:t xml:space="preserve"> 根据原辅材料清单以及建设单位提供的资料，项目目标产物主要药物活性分子化合物和候选药物分子及中间体工艺研发，根据实验设计方案，辅助试剂不参与反应，主要起辅助溶解、洗涤、萃取等作用。项目扩建后，药物活性分子化合物年合成约1000批次，每批次产物约10mg，候选药物分子及中间体年合成约100批次，每批次产物约100g。由于项目化学试剂用量随市场需求变动，项目原辅材料会根据实际实验需求进行调整，且项目扩建在环评介入时已完成，故本次扩建环评计算的物料平衡的数据以建设单位提供的原辅材料清单为主，为保证预估的准确性，本次环评仅对本次扩建后全厂物料平衡进行分析。项目扩建后全厂物料平衡表详见下表。</w:t>
            </w:r>
          </w:p>
          <w:p w14:paraId="31FA6D39">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Chars="0"/>
              <w:jc w:val="center"/>
              <w:textAlignment w:val="auto"/>
              <w:rPr>
                <w:rFonts w:hint="default"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表2-7 项目扩建后全厂物料平衡表</w:t>
            </w:r>
          </w:p>
          <w:tbl>
            <w:tblPr>
              <w:tblStyle w:val="30"/>
              <w:tblW w:w="7719" w:type="dxa"/>
              <w:tblInd w:w="-2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484"/>
              <w:gridCol w:w="765"/>
              <w:gridCol w:w="1036"/>
              <w:gridCol w:w="764"/>
              <w:gridCol w:w="761"/>
              <w:gridCol w:w="1344"/>
              <w:gridCol w:w="1259"/>
              <w:gridCol w:w="1306"/>
            </w:tblGrid>
            <w:tr w14:paraId="0F99B3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4" w:hRule="atLeast"/>
              </w:trPr>
              <w:tc>
                <w:tcPr>
                  <w:tcW w:w="3049" w:type="dxa"/>
                  <w:gridSpan w:val="4"/>
                  <w:tcBorders>
                    <w:tl2br w:val="nil"/>
                    <w:tr2bl w:val="nil"/>
                  </w:tcBorders>
                  <w:shd w:val="clear" w:color="auto" w:fill="auto"/>
                  <w:vAlign w:val="center"/>
                </w:tcPr>
                <w:p w14:paraId="1BAA73EC">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投入量</w:t>
                  </w:r>
                </w:p>
              </w:tc>
              <w:tc>
                <w:tcPr>
                  <w:tcW w:w="4670" w:type="dxa"/>
                  <w:gridSpan w:val="4"/>
                  <w:tcBorders>
                    <w:tl2br w:val="nil"/>
                    <w:tr2bl w:val="nil"/>
                  </w:tcBorders>
                  <w:shd w:val="clear" w:color="auto" w:fill="auto"/>
                  <w:vAlign w:val="center"/>
                </w:tcPr>
                <w:p w14:paraId="6CF2C036">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产出量</w:t>
                  </w:r>
                </w:p>
              </w:tc>
            </w:tr>
            <w:tr w14:paraId="43660B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1249" w:type="dxa"/>
                  <w:gridSpan w:val="2"/>
                  <w:tcBorders>
                    <w:tl2br w:val="nil"/>
                    <w:tr2bl w:val="nil"/>
                  </w:tcBorders>
                  <w:shd w:val="clear" w:color="auto" w:fill="auto"/>
                  <w:vAlign w:val="center"/>
                </w:tcPr>
                <w:p w14:paraId="57EAECC6">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类别</w:t>
                  </w:r>
                </w:p>
              </w:tc>
              <w:tc>
                <w:tcPr>
                  <w:tcW w:w="1036" w:type="dxa"/>
                  <w:tcBorders>
                    <w:tl2br w:val="nil"/>
                    <w:tr2bl w:val="nil"/>
                  </w:tcBorders>
                  <w:shd w:val="clear" w:color="auto" w:fill="auto"/>
                  <w:vAlign w:val="center"/>
                </w:tcPr>
                <w:p w14:paraId="1FE0C19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年用量kg/a</w:t>
                  </w:r>
                </w:p>
              </w:tc>
              <w:tc>
                <w:tcPr>
                  <w:tcW w:w="764" w:type="dxa"/>
                  <w:tcBorders>
                    <w:tl2br w:val="nil"/>
                    <w:tr2bl w:val="nil"/>
                  </w:tcBorders>
                  <w:shd w:val="clear" w:color="auto" w:fill="auto"/>
                  <w:vAlign w:val="center"/>
                </w:tcPr>
                <w:p w14:paraId="611319DE">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备注</w:t>
                  </w:r>
                </w:p>
              </w:tc>
              <w:tc>
                <w:tcPr>
                  <w:tcW w:w="761" w:type="dxa"/>
                  <w:tcBorders>
                    <w:tl2br w:val="nil"/>
                    <w:tr2bl w:val="nil"/>
                  </w:tcBorders>
                  <w:shd w:val="clear" w:color="auto" w:fill="auto"/>
                  <w:vAlign w:val="center"/>
                </w:tcPr>
                <w:p w14:paraId="6A90EA8F">
                  <w:pPr>
                    <w:jc w:val="center"/>
                    <w:rPr>
                      <w:rFonts w:hint="default" w:ascii="Times New Roman" w:hAnsi="Times New Roman" w:eastAsia="宋体" w:cs="Times New Roman"/>
                      <w:b/>
                      <w:bCs/>
                      <w:i w:val="0"/>
                      <w:iCs w:val="0"/>
                      <w:color w:val="auto"/>
                      <w:sz w:val="22"/>
                      <w:szCs w:val="22"/>
                      <w:u w:val="none"/>
                      <w:lang w:val="en-US" w:eastAsia="zh-CN"/>
                    </w:rPr>
                  </w:pPr>
                  <w:r>
                    <w:rPr>
                      <w:rFonts w:hint="default" w:ascii="Times New Roman" w:hAnsi="Times New Roman" w:eastAsia="宋体" w:cs="Times New Roman"/>
                      <w:b/>
                      <w:bCs/>
                      <w:i w:val="0"/>
                      <w:iCs w:val="0"/>
                      <w:color w:val="auto"/>
                      <w:sz w:val="22"/>
                      <w:szCs w:val="22"/>
                      <w:u w:val="none"/>
                      <w:lang w:val="en-US" w:eastAsia="zh-CN"/>
                    </w:rPr>
                    <w:t>效率</w:t>
                  </w:r>
                </w:p>
              </w:tc>
              <w:tc>
                <w:tcPr>
                  <w:tcW w:w="1344" w:type="dxa"/>
                  <w:tcBorders>
                    <w:tl2br w:val="nil"/>
                    <w:tr2bl w:val="nil"/>
                  </w:tcBorders>
                  <w:shd w:val="clear" w:color="auto" w:fill="auto"/>
                  <w:vAlign w:val="center"/>
                </w:tcPr>
                <w:p w14:paraId="55BE3867">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名称</w:t>
                  </w:r>
                </w:p>
              </w:tc>
              <w:tc>
                <w:tcPr>
                  <w:tcW w:w="1259" w:type="dxa"/>
                  <w:tcBorders>
                    <w:tl2br w:val="nil"/>
                    <w:tr2bl w:val="nil"/>
                  </w:tcBorders>
                  <w:shd w:val="clear" w:color="auto" w:fill="auto"/>
                  <w:vAlign w:val="center"/>
                </w:tcPr>
                <w:p w14:paraId="323837F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年生产量kg/a</w:t>
                  </w:r>
                </w:p>
              </w:tc>
              <w:tc>
                <w:tcPr>
                  <w:tcW w:w="1306" w:type="dxa"/>
                  <w:tcBorders>
                    <w:tl2br w:val="nil"/>
                    <w:tr2bl w:val="nil"/>
                  </w:tcBorders>
                  <w:shd w:val="clear" w:color="auto" w:fill="auto"/>
                  <w:vAlign w:val="center"/>
                </w:tcPr>
                <w:p w14:paraId="1E652264">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备注</w:t>
                  </w:r>
                </w:p>
              </w:tc>
            </w:tr>
            <w:tr w14:paraId="0425FE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1249" w:type="dxa"/>
                  <w:gridSpan w:val="2"/>
                  <w:vMerge w:val="restart"/>
                  <w:tcBorders>
                    <w:tl2br w:val="nil"/>
                    <w:tr2bl w:val="nil"/>
                  </w:tcBorders>
                  <w:shd w:val="clear" w:color="auto" w:fill="auto"/>
                  <w:vAlign w:val="center"/>
                </w:tcPr>
                <w:p w14:paraId="7BFC902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ascii="Times New Roman" w:hAnsi="Times New Roman" w:eastAsia="宋体" w:cs="Times New Roman"/>
                      <w:i w:val="0"/>
                      <w:iCs w:val="0"/>
                      <w:color w:val="auto"/>
                      <w:kern w:val="0"/>
                      <w:sz w:val="22"/>
                      <w:szCs w:val="22"/>
                      <w:u w:val="none"/>
                      <w:lang w:val="en-US" w:eastAsia="zh-CN" w:bidi="ar"/>
                    </w:rPr>
                    <w:t>主要原料</w:t>
                  </w:r>
                </w:p>
              </w:tc>
              <w:tc>
                <w:tcPr>
                  <w:tcW w:w="1036" w:type="dxa"/>
                  <w:vMerge w:val="restart"/>
                  <w:tcBorders>
                    <w:tl2br w:val="nil"/>
                    <w:tr2bl w:val="nil"/>
                  </w:tcBorders>
                  <w:shd w:val="clear" w:color="auto" w:fill="auto"/>
                  <w:vAlign w:val="center"/>
                </w:tcPr>
                <w:p w14:paraId="3E355A2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184.68</w:t>
                  </w:r>
                </w:p>
              </w:tc>
              <w:tc>
                <w:tcPr>
                  <w:tcW w:w="764" w:type="dxa"/>
                  <w:vMerge w:val="restart"/>
                  <w:tcBorders>
                    <w:tl2br w:val="nil"/>
                    <w:tr2bl w:val="nil"/>
                  </w:tcBorders>
                  <w:shd w:val="clear" w:color="auto" w:fill="auto"/>
                  <w:vAlign w:val="center"/>
                </w:tcPr>
                <w:p w14:paraId="48DEB1F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参与反应进入</w:t>
                  </w:r>
                  <w:r>
                    <w:rPr>
                      <w:rFonts w:hint="eastAsia" w:cs="Times New Roman"/>
                      <w:i w:val="0"/>
                      <w:iCs w:val="0"/>
                      <w:color w:val="auto"/>
                      <w:kern w:val="0"/>
                      <w:sz w:val="22"/>
                      <w:szCs w:val="22"/>
                      <w:u w:val="none"/>
                      <w:lang w:val="en-US" w:eastAsia="zh-CN" w:bidi="ar"/>
                    </w:rPr>
                    <w:t>产物</w:t>
                  </w:r>
                </w:p>
              </w:tc>
              <w:tc>
                <w:tcPr>
                  <w:tcW w:w="761" w:type="dxa"/>
                  <w:vMerge w:val="restart"/>
                  <w:tcBorders>
                    <w:tl2br w:val="nil"/>
                    <w:tr2bl w:val="nil"/>
                  </w:tcBorders>
                  <w:shd w:val="clear" w:color="auto" w:fill="auto"/>
                  <w:vAlign w:val="center"/>
                </w:tcPr>
                <w:p w14:paraId="492F53E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研发实验成功率</w:t>
                  </w:r>
                  <w:r>
                    <w:rPr>
                      <w:rFonts w:hint="eastAsia" w:ascii="Times New Roman" w:hAnsi="Times New Roman" w:eastAsia="宋体" w:cs="Times New Roman"/>
                      <w:i w:val="0"/>
                      <w:iCs w:val="0"/>
                      <w:color w:val="auto"/>
                      <w:kern w:val="0"/>
                      <w:sz w:val="22"/>
                      <w:szCs w:val="22"/>
                      <w:u w:val="none"/>
                      <w:lang w:val="en-US" w:eastAsia="zh-CN" w:bidi="ar"/>
                    </w:rPr>
                    <w:t>约</w:t>
                  </w:r>
                  <w:r>
                    <w:rPr>
                      <w:rFonts w:hint="default" w:ascii="Times New Roman" w:hAnsi="Times New Roman" w:eastAsia="宋体" w:cs="Times New Roman"/>
                      <w:i w:val="0"/>
                      <w:iCs w:val="0"/>
                      <w:color w:val="auto"/>
                      <w:kern w:val="0"/>
                      <w:sz w:val="22"/>
                      <w:szCs w:val="22"/>
                      <w:u w:val="none"/>
                      <w:lang w:val="en-US" w:eastAsia="zh-CN" w:bidi="ar"/>
                    </w:rPr>
                    <w:t>5%</w:t>
                  </w:r>
                </w:p>
              </w:tc>
              <w:tc>
                <w:tcPr>
                  <w:tcW w:w="1344" w:type="dxa"/>
                  <w:tcBorders>
                    <w:tl2br w:val="nil"/>
                    <w:tr2bl w:val="nil"/>
                  </w:tcBorders>
                  <w:shd w:val="clear" w:color="auto" w:fill="auto"/>
                  <w:vAlign w:val="center"/>
                </w:tcPr>
                <w:p w14:paraId="0E1EBF39">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药物活性分子化合物</w:t>
                  </w:r>
                </w:p>
              </w:tc>
              <w:tc>
                <w:tcPr>
                  <w:tcW w:w="1259" w:type="dxa"/>
                  <w:tcBorders>
                    <w:tl2br w:val="nil"/>
                    <w:tr2bl w:val="nil"/>
                  </w:tcBorders>
                  <w:shd w:val="clear" w:color="auto" w:fill="auto"/>
                  <w:vAlign w:val="center"/>
                </w:tcPr>
                <w:p w14:paraId="12D926E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0.01</w:t>
                  </w:r>
                </w:p>
              </w:tc>
              <w:tc>
                <w:tcPr>
                  <w:tcW w:w="1306" w:type="dxa"/>
                  <w:tcBorders>
                    <w:tl2br w:val="nil"/>
                    <w:tr2bl w:val="nil"/>
                  </w:tcBorders>
                  <w:shd w:val="clear" w:color="auto" w:fill="auto"/>
                  <w:vAlign w:val="center"/>
                </w:tcPr>
                <w:p w14:paraId="0C81134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目标产物</w:t>
                  </w:r>
                </w:p>
              </w:tc>
            </w:tr>
            <w:tr w14:paraId="54B343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1249" w:type="dxa"/>
                  <w:gridSpan w:val="2"/>
                  <w:vMerge w:val="continue"/>
                  <w:tcBorders>
                    <w:tl2br w:val="nil"/>
                    <w:tr2bl w:val="nil"/>
                  </w:tcBorders>
                  <w:shd w:val="clear" w:color="auto" w:fill="auto"/>
                  <w:vAlign w:val="center"/>
                </w:tcPr>
                <w:p w14:paraId="083E5FCA">
                  <w:pPr>
                    <w:jc w:val="center"/>
                    <w:rPr>
                      <w:rFonts w:hint="default" w:ascii="Times New Roman" w:hAnsi="Times New Roman" w:eastAsia="宋体" w:cs="Times New Roman"/>
                      <w:i w:val="0"/>
                      <w:iCs w:val="0"/>
                      <w:color w:val="auto"/>
                      <w:sz w:val="22"/>
                      <w:szCs w:val="22"/>
                      <w:u w:val="none"/>
                    </w:rPr>
                  </w:pPr>
                </w:p>
              </w:tc>
              <w:tc>
                <w:tcPr>
                  <w:tcW w:w="1036" w:type="dxa"/>
                  <w:vMerge w:val="continue"/>
                  <w:tcBorders>
                    <w:tl2br w:val="nil"/>
                    <w:tr2bl w:val="nil"/>
                  </w:tcBorders>
                  <w:shd w:val="clear" w:color="auto" w:fill="auto"/>
                  <w:vAlign w:val="center"/>
                </w:tcPr>
                <w:p w14:paraId="110CF27B">
                  <w:pPr>
                    <w:jc w:val="center"/>
                    <w:rPr>
                      <w:rFonts w:hint="default" w:ascii="Times New Roman" w:hAnsi="Times New Roman" w:eastAsia="宋体" w:cs="Times New Roman"/>
                      <w:i w:val="0"/>
                      <w:iCs w:val="0"/>
                      <w:color w:val="auto"/>
                      <w:sz w:val="22"/>
                      <w:szCs w:val="22"/>
                      <w:u w:val="none"/>
                    </w:rPr>
                  </w:pPr>
                </w:p>
              </w:tc>
              <w:tc>
                <w:tcPr>
                  <w:tcW w:w="764" w:type="dxa"/>
                  <w:vMerge w:val="continue"/>
                  <w:tcBorders>
                    <w:tl2br w:val="nil"/>
                    <w:tr2bl w:val="nil"/>
                  </w:tcBorders>
                  <w:shd w:val="clear" w:color="auto" w:fill="auto"/>
                  <w:vAlign w:val="center"/>
                </w:tcPr>
                <w:p w14:paraId="5E7ED59F">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7075F586">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3D76B7BA">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候选药物分子及中间体</w:t>
                  </w:r>
                </w:p>
              </w:tc>
              <w:tc>
                <w:tcPr>
                  <w:tcW w:w="1259" w:type="dxa"/>
                  <w:tcBorders>
                    <w:tl2br w:val="nil"/>
                    <w:tr2bl w:val="nil"/>
                  </w:tcBorders>
                  <w:shd w:val="clear" w:color="auto" w:fill="auto"/>
                  <w:vAlign w:val="center"/>
                </w:tcPr>
                <w:p w14:paraId="16AC5E5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c>
                <w:tcPr>
                  <w:tcW w:w="1306" w:type="dxa"/>
                  <w:tcBorders>
                    <w:tl2br w:val="nil"/>
                    <w:tr2bl w:val="nil"/>
                  </w:tcBorders>
                  <w:shd w:val="clear" w:color="auto" w:fill="auto"/>
                  <w:vAlign w:val="center"/>
                </w:tcPr>
                <w:p w14:paraId="5526D04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目标产物</w:t>
                  </w:r>
                </w:p>
              </w:tc>
            </w:tr>
            <w:tr w14:paraId="517B3F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249" w:type="dxa"/>
                  <w:gridSpan w:val="2"/>
                  <w:vMerge w:val="continue"/>
                  <w:tcBorders>
                    <w:tl2br w:val="nil"/>
                    <w:tr2bl w:val="nil"/>
                  </w:tcBorders>
                  <w:shd w:val="clear" w:color="auto" w:fill="auto"/>
                  <w:vAlign w:val="center"/>
                </w:tcPr>
                <w:p w14:paraId="0C79A8C5">
                  <w:pPr>
                    <w:jc w:val="center"/>
                    <w:rPr>
                      <w:rFonts w:hint="default" w:ascii="Times New Roman" w:hAnsi="Times New Roman" w:eastAsia="宋体" w:cs="Times New Roman"/>
                      <w:i w:val="0"/>
                      <w:iCs w:val="0"/>
                      <w:color w:val="auto"/>
                      <w:sz w:val="22"/>
                      <w:szCs w:val="22"/>
                      <w:u w:val="none"/>
                    </w:rPr>
                  </w:pPr>
                </w:p>
              </w:tc>
              <w:tc>
                <w:tcPr>
                  <w:tcW w:w="1036" w:type="dxa"/>
                  <w:vMerge w:val="continue"/>
                  <w:tcBorders>
                    <w:tl2br w:val="nil"/>
                    <w:tr2bl w:val="nil"/>
                  </w:tcBorders>
                  <w:shd w:val="clear" w:color="auto" w:fill="auto"/>
                  <w:vAlign w:val="center"/>
                </w:tcPr>
                <w:p w14:paraId="42D86583">
                  <w:pPr>
                    <w:jc w:val="center"/>
                    <w:rPr>
                      <w:rFonts w:hint="default" w:ascii="Times New Roman" w:hAnsi="Times New Roman" w:eastAsia="宋体" w:cs="Times New Roman"/>
                      <w:i w:val="0"/>
                      <w:iCs w:val="0"/>
                      <w:color w:val="auto"/>
                      <w:sz w:val="22"/>
                      <w:szCs w:val="22"/>
                      <w:u w:val="none"/>
                    </w:rPr>
                  </w:pPr>
                </w:p>
              </w:tc>
              <w:tc>
                <w:tcPr>
                  <w:tcW w:w="764" w:type="dxa"/>
                  <w:vMerge w:val="continue"/>
                  <w:tcBorders>
                    <w:tl2br w:val="nil"/>
                    <w:tr2bl w:val="nil"/>
                  </w:tcBorders>
                  <w:shd w:val="clear" w:color="auto" w:fill="auto"/>
                  <w:vAlign w:val="center"/>
                </w:tcPr>
                <w:p w14:paraId="5D97A4BF">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2E6E67BD">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2F812C6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废产物</w:t>
                  </w:r>
                </w:p>
              </w:tc>
              <w:tc>
                <w:tcPr>
                  <w:tcW w:w="1259" w:type="dxa"/>
                  <w:tcBorders>
                    <w:tl2br w:val="nil"/>
                    <w:tr2bl w:val="nil"/>
                  </w:tcBorders>
                  <w:shd w:val="clear" w:color="auto" w:fill="auto"/>
                  <w:vAlign w:val="center"/>
                </w:tcPr>
                <w:p w14:paraId="19DF4F5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174.67</w:t>
                  </w:r>
                </w:p>
              </w:tc>
              <w:tc>
                <w:tcPr>
                  <w:tcW w:w="1306" w:type="dxa"/>
                  <w:tcBorders>
                    <w:tl2br w:val="nil"/>
                    <w:tr2bl w:val="nil"/>
                  </w:tcBorders>
                  <w:shd w:val="clear" w:color="auto" w:fill="auto"/>
                  <w:vAlign w:val="center"/>
                </w:tcPr>
                <w:p w14:paraId="5F5C273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危险废物</w:t>
                  </w:r>
                </w:p>
              </w:tc>
            </w:tr>
            <w:tr w14:paraId="7BD9E9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484" w:type="dxa"/>
                  <w:vMerge w:val="restart"/>
                  <w:tcBorders>
                    <w:tl2br w:val="nil"/>
                    <w:tr2bl w:val="nil"/>
                  </w:tcBorders>
                  <w:shd w:val="clear" w:color="auto" w:fill="auto"/>
                  <w:vAlign w:val="center"/>
                </w:tcPr>
                <w:p w14:paraId="0255C617">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辅助试剂</w:t>
                  </w:r>
                </w:p>
              </w:tc>
              <w:tc>
                <w:tcPr>
                  <w:tcW w:w="765" w:type="dxa"/>
                  <w:vMerge w:val="restart"/>
                  <w:tcBorders>
                    <w:tl2br w:val="nil"/>
                    <w:tr2bl w:val="nil"/>
                  </w:tcBorders>
                  <w:shd w:val="clear" w:color="auto" w:fill="auto"/>
                  <w:vAlign w:val="center"/>
                </w:tcPr>
                <w:p w14:paraId="5095690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有机溶剂</w:t>
                  </w:r>
                </w:p>
              </w:tc>
              <w:tc>
                <w:tcPr>
                  <w:tcW w:w="1036" w:type="dxa"/>
                  <w:vMerge w:val="restart"/>
                  <w:tcBorders>
                    <w:tl2br w:val="nil"/>
                    <w:tr2bl w:val="nil"/>
                  </w:tcBorders>
                  <w:shd w:val="clear" w:color="auto" w:fill="auto"/>
                  <w:vAlign w:val="center"/>
                </w:tcPr>
                <w:p w14:paraId="012A68E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6430</w:t>
                  </w:r>
                </w:p>
              </w:tc>
              <w:tc>
                <w:tcPr>
                  <w:tcW w:w="764" w:type="dxa"/>
                  <w:vMerge w:val="restart"/>
                  <w:tcBorders>
                    <w:tl2br w:val="nil"/>
                    <w:tr2bl w:val="nil"/>
                  </w:tcBorders>
                  <w:shd w:val="clear" w:color="auto" w:fill="auto"/>
                  <w:vAlign w:val="center"/>
                </w:tcPr>
                <w:p w14:paraId="7CF6BDAD">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不参与反应</w:t>
                  </w:r>
                </w:p>
              </w:tc>
              <w:tc>
                <w:tcPr>
                  <w:tcW w:w="761" w:type="dxa"/>
                  <w:vMerge w:val="restart"/>
                  <w:tcBorders>
                    <w:tl2br w:val="nil"/>
                    <w:tr2bl w:val="nil"/>
                  </w:tcBorders>
                  <w:shd w:val="clear" w:color="auto" w:fill="auto"/>
                  <w:vAlign w:val="center"/>
                </w:tcPr>
                <w:p w14:paraId="60FF0AE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根据实际情况估算</w:t>
                  </w:r>
                </w:p>
              </w:tc>
              <w:tc>
                <w:tcPr>
                  <w:tcW w:w="1344" w:type="dxa"/>
                  <w:tcBorders>
                    <w:tl2br w:val="nil"/>
                    <w:tr2bl w:val="nil"/>
                  </w:tcBorders>
                  <w:shd w:val="clear" w:color="auto" w:fill="auto"/>
                  <w:vAlign w:val="center"/>
                </w:tcPr>
                <w:p w14:paraId="28603DD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有机废气</w:t>
                  </w:r>
                </w:p>
              </w:tc>
              <w:tc>
                <w:tcPr>
                  <w:tcW w:w="1259" w:type="dxa"/>
                  <w:tcBorders>
                    <w:tl2br w:val="nil"/>
                    <w:tr2bl w:val="nil"/>
                  </w:tcBorders>
                  <w:shd w:val="clear" w:color="auto" w:fill="auto"/>
                  <w:vAlign w:val="center"/>
                </w:tcPr>
                <w:p w14:paraId="512DCAD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570</w:t>
                  </w:r>
                </w:p>
              </w:tc>
              <w:tc>
                <w:tcPr>
                  <w:tcW w:w="1306" w:type="dxa"/>
                  <w:tcBorders>
                    <w:tl2br w:val="nil"/>
                    <w:tr2bl w:val="nil"/>
                  </w:tcBorders>
                  <w:shd w:val="clear" w:color="auto" w:fill="auto"/>
                  <w:vAlign w:val="center"/>
                </w:tcPr>
                <w:p w14:paraId="4258FA7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有机废气</w:t>
                  </w:r>
                </w:p>
              </w:tc>
            </w:tr>
            <w:tr w14:paraId="7416C8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484" w:type="dxa"/>
                  <w:vMerge w:val="continue"/>
                  <w:tcBorders>
                    <w:tl2br w:val="nil"/>
                    <w:tr2bl w:val="nil"/>
                  </w:tcBorders>
                  <w:shd w:val="clear" w:color="auto" w:fill="auto"/>
                  <w:vAlign w:val="center"/>
                </w:tcPr>
                <w:p w14:paraId="2D25525B">
                  <w:pPr>
                    <w:jc w:val="center"/>
                    <w:rPr>
                      <w:rFonts w:hint="default" w:ascii="Times New Roman" w:hAnsi="Times New Roman" w:eastAsia="宋体" w:cs="Times New Roman"/>
                      <w:i w:val="0"/>
                      <w:iCs w:val="0"/>
                      <w:color w:val="auto"/>
                      <w:sz w:val="22"/>
                      <w:szCs w:val="22"/>
                      <w:u w:val="none"/>
                    </w:rPr>
                  </w:pPr>
                </w:p>
              </w:tc>
              <w:tc>
                <w:tcPr>
                  <w:tcW w:w="765" w:type="dxa"/>
                  <w:vMerge w:val="continue"/>
                  <w:tcBorders>
                    <w:tl2br w:val="nil"/>
                    <w:tr2bl w:val="nil"/>
                  </w:tcBorders>
                  <w:shd w:val="clear" w:color="auto" w:fill="auto"/>
                  <w:vAlign w:val="center"/>
                </w:tcPr>
                <w:p w14:paraId="3C1EB070">
                  <w:pPr>
                    <w:jc w:val="center"/>
                    <w:rPr>
                      <w:rFonts w:hint="default" w:ascii="Times New Roman" w:hAnsi="Times New Roman" w:eastAsia="宋体" w:cs="Times New Roman"/>
                      <w:i w:val="0"/>
                      <w:iCs w:val="0"/>
                      <w:color w:val="auto"/>
                      <w:sz w:val="22"/>
                      <w:szCs w:val="22"/>
                      <w:u w:val="none"/>
                    </w:rPr>
                  </w:pPr>
                </w:p>
              </w:tc>
              <w:tc>
                <w:tcPr>
                  <w:tcW w:w="1036" w:type="dxa"/>
                  <w:vMerge w:val="continue"/>
                  <w:tcBorders>
                    <w:tl2br w:val="nil"/>
                    <w:tr2bl w:val="nil"/>
                  </w:tcBorders>
                  <w:shd w:val="clear" w:color="auto" w:fill="auto"/>
                  <w:vAlign w:val="center"/>
                </w:tcPr>
                <w:p w14:paraId="1E28303D">
                  <w:pPr>
                    <w:jc w:val="center"/>
                    <w:rPr>
                      <w:rFonts w:hint="default" w:ascii="Times New Roman" w:hAnsi="Times New Roman" w:eastAsia="宋体" w:cs="Times New Roman"/>
                      <w:i w:val="0"/>
                      <w:iCs w:val="0"/>
                      <w:color w:val="auto"/>
                      <w:sz w:val="22"/>
                      <w:szCs w:val="22"/>
                      <w:u w:val="none"/>
                    </w:rPr>
                  </w:pPr>
                </w:p>
              </w:tc>
              <w:tc>
                <w:tcPr>
                  <w:tcW w:w="764" w:type="dxa"/>
                  <w:vMerge w:val="continue"/>
                  <w:tcBorders>
                    <w:tl2br w:val="nil"/>
                    <w:tr2bl w:val="nil"/>
                  </w:tcBorders>
                  <w:shd w:val="clear" w:color="auto" w:fill="auto"/>
                  <w:vAlign w:val="center"/>
                </w:tcPr>
                <w:p w14:paraId="7D6642FE">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489FA858">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53D244B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废有机溶剂</w:t>
                  </w:r>
                </w:p>
              </w:tc>
              <w:tc>
                <w:tcPr>
                  <w:tcW w:w="1259" w:type="dxa"/>
                  <w:tcBorders>
                    <w:tl2br w:val="nil"/>
                    <w:tr2bl w:val="nil"/>
                  </w:tcBorders>
                  <w:shd w:val="clear" w:color="auto" w:fill="auto"/>
                  <w:vAlign w:val="center"/>
                </w:tcPr>
                <w:p w14:paraId="14CC2CE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5860</w:t>
                  </w:r>
                </w:p>
              </w:tc>
              <w:tc>
                <w:tcPr>
                  <w:tcW w:w="1306" w:type="dxa"/>
                  <w:tcBorders>
                    <w:tl2br w:val="nil"/>
                    <w:tr2bl w:val="nil"/>
                  </w:tcBorders>
                  <w:shd w:val="clear" w:color="auto" w:fill="auto"/>
                  <w:vAlign w:val="center"/>
                </w:tcPr>
                <w:p w14:paraId="69E6CFEA">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10B266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484" w:type="dxa"/>
                  <w:vMerge w:val="continue"/>
                  <w:tcBorders>
                    <w:tl2br w:val="nil"/>
                    <w:tr2bl w:val="nil"/>
                  </w:tcBorders>
                  <w:shd w:val="clear" w:color="auto" w:fill="auto"/>
                  <w:vAlign w:val="center"/>
                </w:tcPr>
                <w:p w14:paraId="2D6798FC">
                  <w:pPr>
                    <w:jc w:val="center"/>
                    <w:rPr>
                      <w:rFonts w:hint="default" w:ascii="Times New Roman" w:hAnsi="Times New Roman" w:eastAsia="宋体" w:cs="Times New Roman"/>
                      <w:i w:val="0"/>
                      <w:iCs w:val="0"/>
                      <w:color w:val="auto"/>
                      <w:sz w:val="22"/>
                      <w:szCs w:val="22"/>
                      <w:u w:val="none"/>
                    </w:rPr>
                  </w:pPr>
                </w:p>
              </w:tc>
              <w:tc>
                <w:tcPr>
                  <w:tcW w:w="765" w:type="dxa"/>
                  <w:vMerge w:val="restart"/>
                  <w:tcBorders>
                    <w:tl2br w:val="nil"/>
                    <w:tr2bl w:val="nil"/>
                  </w:tcBorders>
                  <w:shd w:val="clear" w:color="auto" w:fill="auto"/>
                  <w:vAlign w:val="center"/>
                </w:tcPr>
                <w:p w14:paraId="4CA85EE8">
                  <w:pPr>
                    <w:jc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无机酸类</w:t>
                  </w:r>
                </w:p>
              </w:tc>
              <w:tc>
                <w:tcPr>
                  <w:tcW w:w="1036" w:type="dxa"/>
                  <w:vMerge w:val="restart"/>
                  <w:tcBorders>
                    <w:tl2br w:val="nil"/>
                    <w:tr2bl w:val="nil"/>
                  </w:tcBorders>
                  <w:shd w:val="clear" w:color="auto" w:fill="auto"/>
                  <w:vAlign w:val="center"/>
                </w:tcPr>
                <w:p w14:paraId="2708CADF">
                  <w:pPr>
                    <w:jc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eastAsia="zh-CN"/>
                    </w:rPr>
                    <w:t>1</w:t>
                  </w:r>
                  <w:r>
                    <w:rPr>
                      <w:rFonts w:hint="eastAsia" w:cs="Times New Roman"/>
                      <w:i w:val="0"/>
                      <w:iCs w:val="0"/>
                      <w:color w:val="auto"/>
                      <w:sz w:val="22"/>
                      <w:szCs w:val="22"/>
                      <w:u w:val="none"/>
                      <w:lang w:val="en-US" w:eastAsia="zh-CN"/>
                    </w:rPr>
                    <w:t>42</w:t>
                  </w:r>
                </w:p>
              </w:tc>
              <w:tc>
                <w:tcPr>
                  <w:tcW w:w="764" w:type="dxa"/>
                  <w:vMerge w:val="continue"/>
                  <w:tcBorders>
                    <w:tl2br w:val="nil"/>
                    <w:tr2bl w:val="nil"/>
                  </w:tcBorders>
                  <w:shd w:val="clear" w:color="auto" w:fill="auto"/>
                  <w:vAlign w:val="center"/>
                </w:tcPr>
                <w:p w14:paraId="4C2C9F96">
                  <w:pPr>
                    <w:jc w:val="center"/>
                    <w:rPr>
                      <w:rFonts w:hint="default" w:ascii="Times New Roman" w:hAnsi="Times New Roman" w:eastAsia="宋体" w:cs="Times New Roman"/>
                      <w:i w:val="0"/>
                      <w:iCs w:val="0"/>
                      <w:color w:val="auto"/>
                      <w:sz w:val="22"/>
                      <w:szCs w:val="22"/>
                      <w:u w:val="none"/>
                    </w:rPr>
                  </w:pPr>
                </w:p>
              </w:tc>
              <w:tc>
                <w:tcPr>
                  <w:tcW w:w="761" w:type="dxa"/>
                  <w:vMerge w:val="restart"/>
                  <w:tcBorders>
                    <w:tl2br w:val="nil"/>
                    <w:tr2bl w:val="nil"/>
                  </w:tcBorders>
                  <w:shd w:val="clear" w:color="auto" w:fill="auto"/>
                  <w:vAlign w:val="center"/>
                </w:tcPr>
                <w:p w14:paraId="53AC5421">
                  <w:pPr>
                    <w:jc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按20%挥发率</w:t>
                  </w:r>
                </w:p>
              </w:tc>
              <w:tc>
                <w:tcPr>
                  <w:tcW w:w="1344" w:type="dxa"/>
                  <w:tcBorders>
                    <w:tl2br w:val="nil"/>
                    <w:tr2bl w:val="nil"/>
                  </w:tcBorders>
                  <w:shd w:val="clear" w:color="auto" w:fill="auto"/>
                  <w:vAlign w:val="center"/>
                </w:tcPr>
                <w:p w14:paraId="3FF22ED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eastAsia" w:cs="Times New Roman"/>
                      <w:i w:val="0"/>
                      <w:iCs w:val="0"/>
                      <w:color w:val="auto"/>
                      <w:kern w:val="0"/>
                      <w:sz w:val="22"/>
                      <w:szCs w:val="22"/>
                      <w:u w:val="none"/>
                      <w:lang w:val="en-US" w:eastAsia="zh-CN" w:bidi="ar"/>
                    </w:rPr>
                    <w:t>实验废气HCl</w:t>
                  </w:r>
                </w:p>
              </w:tc>
              <w:tc>
                <w:tcPr>
                  <w:tcW w:w="1259" w:type="dxa"/>
                  <w:tcBorders>
                    <w:tl2br w:val="nil"/>
                    <w:tr2bl w:val="nil"/>
                  </w:tcBorders>
                  <w:shd w:val="clear" w:color="auto" w:fill="auto"/>
                  <w:vAlign w:val="center"/>
                </w:tcPr>
                <w:p w14:paraId="757F6F72">
                  <w:pPr>
                    <w:keepNext w:val="0"/>
                    <w:keepLines w:val="0"/>
                    <w:widowControl/>
                    <w:suppressLineNumbers w:val="0"/>
                    <w:jc w:val="center"/>
                    <w:textAlignment w:val="center"/>
                    <w:rPr>
                      <w:rFonts w:hint="default" w:cs="Times New Roman"/>
                      <w:i w:val="0"/>
                      <w:iCs w:val="0"/>
                      <w:color w:val="auto"/>
                      <w:kern w:val="0"/>
                      <w:sz w:val="22"/>
                      <w:szCs w:val="22"/>
                      <w:u w:val="none"/>
                      <w:lang w:val="en-US" w:eastAsia="zh-CN" w:bidi="ar"/>
                    </w:rPr>
                  </w:pPr>
                  <w:r>
                    <w:rPr>
                      <w:rFonts w:hint="eastAsia" w:cs="Times New Roman"/>
                      <w:i w:val="0"/>
                      <w:iCs w:val="0"/>
                      <w:color w:val="auto"/>
                      <w:kern w:val="0"/>
                      <w:sz w:val="22"/>
                      <w:szCs w:val="22"/>
                      <w:u w:val="none"/>
                      <w:lang w:val="en-US" w:eastAsia="zh-CN" w:bidi="ar"/>
                    </w:rPr>
                    <w:t>14</w:t>
                  </w:r>
                </w:p>
              </w:tc>
              <w:tc>
                <w:tcPr>
                  <w:tcW w:w="1306" w:type="dxa"/>
                  <w:tcBorders>
                    <w:tl2br w:val="nil"/>
                    <w:tr2bl w:val="nil"/>
                  </w:tcBorders>
                  <w:shd w:val="clear" w:color="auto" w:fill="auto"/>
                  <w:vAlign w:val="center"/>
                </w:tcPr>
                <w:p w14:paraId="1B97DDFC">
                  <w:pPr>
                    <w:keepNext w:val="0"/>
                    <w:keepLines w:val="0"/>
                    <w:widowControl/>
                    <w:suppressLineNumbers w:val="0"/>
                    <w:jc w:val="center"/>
                    <w:textAlignment w:val="center"/>
                    <w:rPr>
                      <w:rFonts w:hint="default" w:cs="Times New Roman"/>
                      <w:i w:val="0"/>
                      <w:iCs w:val="0"/>
                      <w:color w:val="auto"/>
                      <w:kern w:val="0"/>
                      <w:sz w:val="22"/>
                      <w:szCs w:val="22"/>
                      <w:u w:val="none"/>
                      <w:vertAlign w:val="subscript"/>
                      <w:lang w:val="en-US" w:eastAsia="zh-CN" w:bidi="ar"/>
                    </w:rPr>
                  </w:pPr>
                  <w:r>
                    <w:rPr>
                      <w:rFonts w:hint="eastAsia" w:cs="Times New Roman"/>
                      <w:i w:val="0"/>
                      <w:iCs w:val="0"/>
                      <w:color w:val="auto"/>
                      <w:kern w:val="0"/>
                      <w:sz w:val="22"/>
                      <w:szCs w:val="22"/>
                      <w:u w:val="none"/>
                      <w:lang w:val="en-US" w:eastAsia="zh-CN" w:bidi="ar"/>
                    </w:rPr>
                    <w:t>HCl、NO</w:t>
                  </w:r>
                  <w:r>
                    <w:rPr>
                      <w:rFonts w:hint="eastAsia" w:cs="Times New Roman"/>
                      <w:i w:val="0"/>
                      <w:iCs w:val="0"/>
                      <w:color w:val="auto"/>
                      <w:kern w:val="0"/>
                      <w:sz w:val="22"/>
                      <w:szCs w:val="22"/>
                      <w:u w:val="none"/>
                      <w:vertAlign w:val="subscript"/>
                      <w:lang w:val="en-US" w:eastAsia="zh-CN" w:bidi="ar"/>
                    </w:rPr>
                    <w:t>X</w:t>
                  </w:r>
                </w:p>
              </w:tc>
            </w:tr>
            <w:tr w14:paraId="2A5814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484" w:type="dxa"/>
                  <w:vMerge w:val="continue"/>
                  <w:tcBorders>
                    <w:tl2br w:val="nil"/>
                    <w:tr2bl w:val="nil"/>
                  </w:tcBorders>
                  <w:shd w:val="clear" w:color="auto" w:fill="auto"/>
                  <w:vAlign w:val="center"/>
                </w:tcPr>
                <w:p w14:paraId="4B4B8310">
                  <w:pPr>
                    <w:jc w:val="center"/>
                    <w:rPr>
                      <w:rFonts w:hint="default" w:ascii="Times New Roman" w:hAnsi="Times New Roman" w:eastAsia="宋体" w:cs="Times New Roman"/>
                      <w:i w:val="0"/>
                      <w:iCs w:val="0"/>
                      <w:color w:val="auto"/>
                      <w:sz w:val="22"/>
                      <w:szCs w:val="22"/>
                      <w:u w:val="none"/>
                    </w:rPr>
                  </w:pPr>
                </w:p>
              </w:tc>
              <w:tc>
                <w:tcPr>
                  <w:tcW w:w="765" w:type="dxa"/>
                  <w:vMerge w:val="continue"/>
                  <w:tcBorders>
                    <w:tl2br w:val="nil"/>
                    <w:tr2bl w:val="nil"/>
                  </w:tcBorders>
                  <w:shd w:val="clear" w:color="auto" w:fill="auto"/>
                  <w:vAlign w:val="center"/>
                </w:tcPr>
                <w:p w14:paraId="10A46CC9">
                  <w:pPr>
                    <w:jc w:val="center"/>
                    <w:rPr>
                      <w:rFonts w:hint="eastAsia" w:cs="Times New Roman"/>
                      <w:i w:val="0"/>
                      <w:iCs w:val="0"/>
                      <w:color w:val="auto"/>
                      <w:sz w:val="22"/>
                      <w:szCs w:val="22"/>
                      <w:u w:val="none"/>
                      <w:lang w:val="en-US" w:eastAsia="zh-CN"/>
                    </w:rPr>
                  </w:pPr>
                </w:p>
              </w:tc>
              <w:tc>
                <w:tcPr>
                  <w:tcW w:w="1036" w:type="dxa"/>
                  <w:vMerge w:val="continue"/>
                  <w:tcBorders>
                    <w:tl2br w:val="nil"/>
                    <w:tr2bl w:val="nil"/>
                  </w:tcBorders>
                  <w:shd w:val="clear" w:color="auto" w:fill="auto"/>
                  <w:vAlign w:val="center"/>
                </w:tcPr>
                <w:p w14:paraId="678B1CA8">
                  <w:pPr>
                    <w:jc w:val="center"/>
                    <w:rPr>
                      <w:rFonts w:hint="eastAsia" w:cs="Times New Roman"/>
                      <w:i w:val="0"/>
                      <w:iCs w:val="0"/>
                      <w:color w:val="auto"/>
                      <w:sz w:val="22"/>
                      <w:szCs w:val="22"/>
                      <w:u w:val="none"/>
                      <w:lang w:eastAsia="zh-CN"/>
                    </w:rPr>
                  </w:pPr>
                </w:p>
              </w:tc>
              <w:tc>
                <w:tcPr>
                  <w:tcW w:w="764" w:type="dxa"/>
                  <w:vMerge w:val="continue"/>
                  <w:tcBorders>
                    <w:tl2br w:val="nil"/>
                    <w:tr2bl w:val="nil"/>
                  </w:tcBorders>
                  <w:shd w:val="clear" w:color="auto" w:fill="auto"/>
                  <w:vAlign w:val="center"/>
                </w:tcPr>
                <w:p w14:paraId="42617A8A">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137A34CC">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77D637DC">
                  <w:pPr>
                    <w:keepNext w:val="0"/>
                    <w:keepLines w:val="0"/>
                    <w:widowControl/>
                    <w:suppressLineNumbers w:val="0"/>
                    <w:jc w:val="center"/>
                    <w:textAlignment w:val="center"/>
                    <w:rPr>
                      <w:rFonts w:hint="default" w:ascii="Times New Roman" w:hAnsi="Times New Roman" w:cs="Times New Roman"/>
                      <w:i w:val="0"/>
                      <w:iCs w:val="0"/>
                      <w:color w:val="auto"/>
                      <w:kern w:val="0"/>
                      <w:sz w:val="22"/>
                      <w:szCs w:val="22"/>
                      <w:u w:val="none"/>
                      <w:vertAlign w:val="subscript"/>
                      <w:lang w:val="en-US" w:eastAsia="zh-CN" w:bidi="ar"/>
                    </w:rPr>
                  </w:pPr>
                  <w:r>
                    <w:rPr>
                      <w:rFonts w:hint="eastAsia" w:cs="Times New Roman"/>
                      <w:i w:val="0"/>
                      <w:iCs w:val="0"/>
                      <w:color w:val="auto"/>
                      <w:kern w:val="0"/>
                      <w:sz w:val="22"/>
                      <w:szCs w:val="22"/>
                      <w:u w:val="none"/>
                      <w:lang w:val="en-US" w:eastAsia="zh-CN" w:bidi="ar"/>
                    </w:rPr>
                    <w:t>实验废气NO</w:t>
                  </w:r>
                  <w:r>
                    <w:rPr>
                      <w:rFonts w:hint="eastAsia" w:cs="Times New Roman"/>
                      <w:i w:val="0"/>
                      <w:iCs w:val="0"/>
                      <w:color w:val="auto"/>
                      <w:kern w:val="0"/>
                      <w:sz w:val="22"/>
                      <w:szCs w:val="22"/>
                      <w:u w:val="none"/>
                      <w:vertAlign w:val="subscript"/>
                      <w:lang w:val="en-US" w:eastAsia="zh-CN" w:bidi="ar"/>
                    </w:rPr>
                    <w:t>X</w:t>
                  </w:r>
                </w:p>
              </w:tc>
              <w:tc>
                <w:tcPr>
                  <w:tcW w:w="1259" w:type="dxa"/>
                  <w:tcBorders>
                    <w:tl2br w:val="nil"/>
                    <w:tr2bl w:val="nil"/>
                  </w:tcBorders>
                  <w:shd w:val="clear" w:color="auto" w:fill="auto"/>
                  <w:vAlign w:val="center"/>
                </w:tcPr>
                <w:p w14:paraId="55DEBC05">
                  <w:pPr>
                    <w:keepNext w:val="0"/>
                    <w:keepLines w:val="0"/>
                    <w:widowControl/>
                    <w:suppressLineNumbers w:val="0"/>
                    <w:jc w:val="center"/>
                    <w:textAlignment w:val="center"/>
                    <w:rPr>
                      <w:rFonts w:hint="default" w:cs="Times New Roman"/>
                      <w:i w:val="0"/>
                      <w:iCs w:val="0"/>
                      <w:color w:val="auto"/>
                      <w:kern w:val="0"/>
                      <w:sz w:val="22"/>
                      <w:szCs w:val="22"/>
                      <w:u w:val="none"/>
                      <w:lang w:val="en-US" w:eastAsia="zh-CN" w:bidi="ar"/>
                    </w:rPr>
                  </w:pPr>
                  <w:r>
                    <w:rPr>
                      <w:rFonts w:hint="eastAsia" w:cs="Times New Roman"/>
                      <w:i w:val="0"/>
                      <w:iCs w:val="0"/>
                      <w:color w:val="auto"/>
                      <w:kern w:val="0"/>
                      <w:sz w:val="22"/>
                      <w:szCs w:val="22"/>
                      <w:u w:val="none"/>
                      <w:lang w:val="en-US" w:eastAsia="zh-CN" w:bidi="ar"/>
                    </w:rPr>
                    <w:t>14</w:t>
                  </w:r>
                </w:p>
              </w:tc>
              <w:tc>
                <w:tcPr>
                  <w:tcW w:w="1306" w:type="dxa"/>
                  <w:tcBorders>
                    <w:tl2br w:val="nil"/>
                    <w:tr2bl w:val="nil"/>
                  </w:tcBorders>
                  <w:shd w:val="clear" w:color="auto" w:fill="auto"/>
                  <w:vAlign w:val="center"/>
                </w:tcPr>
                <w:p w14:paraId="590BB0EA">
                  <w:pPr>
                    <w:keepNext w:val="0"/>
                    <w:keepLines w:val="0"/>
                    <w:widowControl/>
                    <w:suppressLineNumbers w:val="0"/>
                    <w:jc w:val="center"/>
                    <w:textAlignment w:val="center"/>
                    <w:rPr>
                      <w:rFonts w:hint="eastAsia" w:cs="Times New Roman"/>
                      <w:i w:val="0"/>
                      <w:iCs w:val="0"/>
                      <w:color w:val="auto"/>
                      <w:kern w:val="0"/>
                      <w:sz w:val="22"/>
                      <w:szCs w:val="22"/>
                      <w:u w:val="none"/>
                      <w:lang w:val="en-US" w:eastAsia="zh-CN" w:bidi="ar"/>
                    </w:rPr>
                  </w:pPr>
                  <w:r>
                    <w:rPr>
                      <w:rFonts w:hint="eastAsia" w:cs="Times New Roman"/>
                      <w:i w:val="0"/>
                      <w:iCs w:val="0"/>
                      <w:color w:val="auto"/>
                      <w:kern w:val="0"/>
                      <w:sz w:val="22"/>
                      <w:szCs w:val="22"/>
                      <w:u w:val="none"/>
                      <w:lang w:val="en-US" w:eastAsia="zh-CN" w:bidi="ar"/>
                    </w:rPr>
                    <w:t>HCl、NO</w:t>
                  </w:r>
                  <w:r>
                    <w:rPr>
                      <w:rFonts w:hint="eastAsia" w:cs="Times New Roman"/>
                      <w:i w:val="0"/>
                      <w:iCs w:val="0"/>
                      <w:color w:val="auto"/>
                      <w:kern w:val="0"/>
                      <w:sz w:val="22"/>
                      <w:szCs w:val="22"/>
                      <w:u w:val="none"/>
                      <w:vertAlign w:val="subscript"/>
                      <w:lang w:val="en-US" w:eastAsia="zh-CN" w:bidi="ar"/>
                    </w:rPr>
                    <w:t>X</w:t>
                  </w:r>
                </w:p>
              </w:tc>
            </w:tr>
            <w:tr w14:paraId="2C0487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484" w:type="dxa"/>
                  <w:vMerge w:val="continue"/>
                  <w:tcBorders>
                    <w:tl2br w:val="nil"/>
                    <w:tr2bl w:val="nil"/>
                  </w:tcBorders>
                  <w:shd w:val="clear" w:color="auto" w:fill="auto"/>
                  <w:vAlign w:val="center"/>
                </w:tcPr>
                <w:p w14:paraId="514F469E">
                  <w:pPr>
                    <w:jc w:val="center"/>
                    <w:rPr>
                      <w:rFonts w:hint="default" w:ascii="Times New Roman" w:hAnsi="Times New Roman" w:eastAsia="宋体" w:cs="Times New Roman"/>
                      <w:i w:val="0"/>
                      <w:iCs w:val="0"/>
                      <w:color w:val="auto"/>
                      <w:sz w:val="22"/>
                      <w:szCs w:val="22"/>
                      <w:u w:val="none"/>
                    </w:rPr>
                  </w:pPr>
                </w:p>
              </w:tc>
              <w:tc>
                <w:tcPr>
                  <w:tcW w:w="765" w:type="dxa"/>
                  <w:vMerge w:val="continue"/>
                  <w:tcBorders>
                    <w:tl2br w:val="nil"/>
                    <w:tr2bl w:val="nil"/>
                  </w:tcBorders>
                  <w:shd w:val="clear" w:color="auto" w:fill="auto"/>
                  <w:vAlign w:val="center"/>
                </w:tcPr>
                <w:p w14:paraId="6E58B30E">
                  <w:pPr>
                    <w:jc w:val="center"/>
                    <w:rPr>
                      <w:rFonts w:hint="eastAsia" w:cs="Times New Roman"/>
                      <w:i w:val="0"/>
                      <w:iCs w:val="0"/>
                      <w:color w:val="auto"/>
                      <w:sz w:val="22"/>
                      <w:szCs w:val="22"/>
                      <w:u w:val="none"/>
                      <w:lang w:val="en-US" w:eastAsia="zh-CN"/>
                    </w:rPr>
                  </w:pPr>
                </w:p>
              </w:tc>
              <w:tc>
                <w:tcPr>
                  <w:tcW w:w="1036" w:type="dxa"/>
                  <w:vMerge w:val="continue"/>
                  <w:tcBorders>
                    <w:tl2br w:val="nil"/>
                    <w:tr2bl w:val="nil"/>
                  </w:tcBorders>
                  <w:shd w:val="clear" w:color="auto" w:fill="auto"/>
                  <w:vAlign w:val="center"/>
                </w:tcPr>
                <w:p w14:paraId="06E93D7F">
                  <w:pPr>
                    <w:jc w:val="center"/>
                    <w:rPr>
                      <w:rFonts w:hint="default" w:ascii="Times New Roman" w:hAnsi="Times New Roman" w:eastAsia="宋体" w:cs="Times New Roman"/>
                      <w:i w:val="0"/>
                      <w:iCs w:val="0"/>
                      <w:color w:val="auto"/>
                      <w:sz w:val="22"/>
                      <w:szCs w:val="22"/>
                      <w:u w:val="none"/>
                      <w:lang w:val="en-US"/>
                    </w:rPr>
                  </w:pPr>
                </w:p>
              </w:tc>
              <w:tc>
                <w:tcPr>
                  <w:tcW w:w="764" w:type="dxa"/>
                  <w:vMerge w:val="continue"/>
                  <w:tcBorders>
                    <w:tl2br w:val="nil"/>
                    <w:tr2bl w:val="nil"/>
                  </w:tcBorders>
                  <w:shd w:val="clear" w:color="auto" w:fill="auto"/>
                  <w:vAlign w:val="center"/>
                </w:tcPr>
                <w:p w14:paraId="03717861">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36474427">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0FA3F85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eastAsia" w:cs="Times New Roman"/>
                      <w:i w:val="0"/>
                      <w:iCs w:val="0"/>
                      <w:color w:val="auto"/>
                      <w:kern w:val="0"/>
                      <w:sz w:val="22"/>
                      <w:szCs w:val="22"/>
                      <w:u w:val="none"/>
                      <w:lang w:val="en-US" w:eastAsia="zh-CN" w:bidi="ar"/>
                    </w:rPr>
                    <w:t>废无机酸</w:t>
                  </w:r>
                </w:p>
              </w:tc>
              <w:tc>
                <w:tcPr>
                  <w:tcW w:w="1259" w:type="dxa"/>
                  <w:tcBorders>
                    <w:tl2br w:val="nil"/>
                    <w:tr2bl w:val="nil"/>
                  </w:tcBorders>
                  <w:shd w:val="clear" w:color="auto" w:fill="auto"/>
                  <w:vAlign w:val="center"/>
                </w:tcPr>
                <w:p w14:paraId="644FD889">
                  <w:pPr>
                    <w:keepNext w:val="0"/>
                    <w:keepLines w:val="0"/>
                    <w:widowControl/>
                    <w:suppressLineNumbers w:val="0"/>
                    <w:jc w:val="center"/>
                    <w:textAlignment w:val="center"/>
                    <w:rPr>
                      <w:rFonts w:hint="default" w:cs="Times New Roman"/>
                      <w:i w:val="0"/>
                      <w:iCs w:val="0"/>
                      <w:color w:val="auto"/>
                      <w:kern w:val="0"/>
                      <w:sz w:val="22"/>
                      <w:szCs w:val="22"/>
                      <w:u w:val="none"/>
                      <w:lang w:val="en-US" w:eastAsia="zh-CN" w:bidi="ar"/>
                    </w:rPr>
                  </w:pPr>
                  <w:r>
                    <w:rPr>
                      <w:rFonts w:hint="eastAsia" w:cs="Times New Roman"/>
                      <w:i w:val="0"/>
                      <w:iCs w:val="0"/>
                      <w:color w:val="auto"/>
                      <w:kern w:val="0"/>
                      <w:sz w:val="22"/>
                      <w:szCs w:val="22"/>
                      <w:u w:val="none"/>
                      <w:lang w:val="en-US" w:eastAsia="zh-CN" w:bidi="ar"/>
                    </w:rPr>
                    <w:t>114</w:t>
                  </w:r>
                </w:p>
              </w:tc>
              <w:tc>
                <w:tcPr>
                  <w:tcW w:w="1306" w:type="dxa"/>
                  <w:tcBorders>
                    <w:tl2br w:val="nil"/>
                    <w:tr2bl w:val="nil"/>
                  </w:tcBorders>
                  <w:shd w:val="clear" w:color="auto" w:fill="auto"/>
                  <w:vAlign w:val="center"/>
                </w:tcPr>
                <w:p w14:paraId="35BC8F93">
                  <w:pPr>
                    <w:keepNext w:val="0"/>
                    <w:keepLines w:val="0"/>
                    <w:widowControl/>
                    <w:suppressLineNumbers w:val="0"/>
                    <w:jc w:val="center"/>
                    <w:textAlignment w:val="center"/>
                    <w:rPr>
                      <w:rFonts w:hint="eastAsia" w:cs="Times New Roman"/>
                      <w:i w:val="0"/>
                      <w:iCs w:val="0"/>
                      <w:color w:val="auto"/>
                      <w:kern w:val="0"/>
                      <w:sz w:val="22"/>
                      <w:szCs w:val="22"/>
                      <w:u w:val="none"/>
                      <w:lang w:val="en-US" w:eastAsia="zh-CN" w:bidi="ar"/>
                    </w:rPr>
                  </w:pPr>
                  <w:r>
                    <w:rPr>
                      <w:rFonts w:hint="eastAsia" w:cs="Times New Roman"/>
                      <w:i w:val="0"/>
                      <w:iCs w:val="0"/>
                      <w:color w:val="auto"/>
                      <w:kern w:val="0"/>
                      <w:sz w:val="22"/>
                      <w:szCs w:val="22"/>
                      <w:u w:val="none"/>
                      <w:lang w:val="en-US" w:eastAsia="zh-CN" w:bidi="ar"/>
                    </w:rPr>
                    <w:t>危险废物</w:t>
                  </w:r>
                </w:p>
              </w:tc>
            </w:tr>
            <w:tr w14:paraId="23EEB5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401" w:hRule="atLeast"/>
              </w:trPr>
              <w:tc>
                <w:tcPr>
                  <w:tcW w:w="484" w:type="dxa"/>
                  <w:vMerge w:val="continue"/>
                  <w:tcBorders>
                    <w:tl2br w:val="nil"/>
                    <w:tr2bl w:val="nil"/>
                  </w:tcBorders>
                  <w:shd w:val="clear" w:color="auto" w:fill="auto"/>
                  <w:vAlign w:val="center"/>
                </w:tcPr>
                <w:p w14:paraId="451C4F37">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7D0D8DCD">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无机过滤和吸附介质</w:t>
                  </w:r>
                </w:p>
              </w:tc>
              <w:tc>
                <w:tcPr>
                  <w:tcW w:w="1036" w:type="dxa"/>
                  <w:tcBorders>
                    <w:tl2br w:val="nil"/>
                    <w:tr2bl w:val="nil"/>
                  </w:tcBorders>
                  <w:shd w:val="clear" w:color="auto" w:fill="auto"/>
                  <w:vAlign w:val="center"/>
                </w:tcPr>
                <w:p w14:paraId="6C70870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800</w:t>
                  </w:r>
                </w:p>
              </w:tc>
              <w:tc>
                <w:tcPr>
                  <w:tcW w:w="764" w:type="dxa"/>
                  <w:vMerge w:val="continue"/>
                  <w:tcBorders>
                    <w:tl2br w:val="nil"/>
                    <w:tr2bl w:val="nil"/>
                  </w:tcBorders>
                  <w:shd w:val="clear" w:color="auto" w:fill="auto"/>
                  <w:vAlign w:val="center"/>
                </w:tcPr>
                <w:p w14:paraId="0FE9F31F">
                  <w:pPr>
                    <w:jc w:val="center"/>
                    <w:rPr>
                      <w:rFonts w:hint="default" w:ascii="Times New Roman" w:hAnsi="Times New Roman" w:eastAsia="宋体" w:cs="Times New Roman"/>
                      <w:i w:val="0"/>
                      <w:iCs w:val="0"/>
                      <w:color w:val="auto"/>
                      <w:sz w:val="22"/>
                      <w:szCs w:val="22"/>
                      <w:u w:val="none"/>
                    </w:rPr>
                  </w:pPr>
                </w:p>
              </w:tc>
              <w:tc>
                <w:tcPr>
                  <w:tcW w:w="761" w:type="dxa"/>
                  <w:vMerge w:val="restart"/>
                  <w:tcBorders>
                    <w:tl2br w:val="nil"/>
                    <w:tr2bl w:val="nil"/>
                  </w:tcBorders>
                  <w:shd w:val="clear" w:color="auto" w:fill="auto"/>
                  <w:vAlign w:val="center"/>
                </w:tcPr>
                <w:p w14:paraId="1828FD8D">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不考虑回收，</w:t>
                  </w:r>
                  <w:r>
                    <w:rPr>
                      <w:rFonts w:hint="default" w:ascii="Times New Roman" w:hAnsi="Times New Roman" w:eastAsia="宋体" w:cs="Times New Roman"/>
                      <w:i w:val="0"/>
                      <w:iCs w:val="0"/>
                      <w:color w:val="auto"/>
                      <w:kern w:val="0"/>
                      <w:sz w:val="22"/>
                      <w:szCs w:val="22"/>
                      <w:u w:val="none"/>
                      <w:lang w:val="en-US" w:eastAsia="zh-CN" w:bidi="ar"/>
                    </w:rPr>
                    <w:t>按最不利条件预估</w:t>
                  </w:r>
                </w:p>
              </w:tc>
              <w:tc>
                <w:tcPr>
                  <w:tcW w:w="1344" w:type="dxa"/>
                  <w:tcBorders>
                    <w:tl2br w:val="nil"/>
                    <w:tr2bl w:val="nil"/>
                  </w:tcBorders>
                  <w:shd w:val="clear" w:color="auto" w:fill="auto"/>
                  <w:vAlign w:val="center"/>
                </w:tcPr>
                <w:p w14:paraId="1200565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废</w:t>
                  </w:r>
                  <w:r>
                    <w:rPr>
                      <w:rFonts w:hint="default" w:ascii="Times New Roman" w:hAnsi="Times New Roman" w:eastAsia="宋体" w:cs="Times New Roman"/>
                      <w:i w:val="0"/>
                      <w:iCs w:val="0"/>
                      <w:color w:val="auto"/>
                      <w:kern w:val="0"/>
                      <w:sz w:val="22"/>
                      <w:szCs w:val="22"/>
                      <w:u w:val="none"/>
                      <w:lang w:val="en-US" w:eastAsia="zh-CN" w:bidi="ar"/>
                    </w:rPr>
                    <w:t>无机过滤和吸附介质</w:t>
                  </w:r>
                </w:p>
              </w:tc>
              <w:tc>
                <w:tcPr>
                  <w:tcW w:w="1259" w:type="dxa"/>
                  <w:tcBorders>
                    <w:tl2br w:val="nil"/>
                    <w:tr2bl w:val="nil"/>
                  </w:tcBorders>
                  <w:shd w:val="clear" w:color="auto" w:fill="auto"/>
                  <w:vAlign w:val="center"/>
                </w:tcPr>
                <w:p w14:paraId="2B2A70E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800</w:t>
                  </w:r>
                </w:p>
              </w:tc>
              <w:tc>
                <w:tcPr>
                  <w:tcW w:w="1306" w:type="dxa"/>
                  <w:tcBorders>
                    <w:tl2br w:val="nil"/>
                    <w:tr2bl w:val="nil"/>
                  </w:tcBorders>
                  <w:shd w:val="clear" w:color="auto" w:fill="auto"/>
                  <w:vAlign w:val="center"/>
                </w:tcPr>
                <w:p w14:paraId="51CC5E8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414D93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484" w:type="dxa"/>
                  <w:vMerge w:val="continue"/>
                  <w:tcBorders>
                    <w:tl2br w:val="nil"/>
                    <w:tr2bl w:val="nil"/>
                  </w:tcBorders>
                  <w:shd w:val="clear" w:color="auto" w:fill="auto"/>
                  <w:vAlign w:val="center"/>
                </w:tcPr>
                <w:p w14:paraId="71A4CA09">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036BBBE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碱类</w:t>
                  </w:r>
                </w:p>
              </w:tc>
              <w:tc>
                <w:tcPr>
                  <w:tcW w:w="1036" w:type="dxa"/>
                  <w:tcBorders>
                    <w:tl2br w:val="nil"/>
                    <w:tr2bl w:val="nil"/>
                  </w:tcBorders>
                  <w:shd w:val="clear" w:color="auto" w:fill="auto"/>
                  <w:vAlign w:val="center"/>
                </w:tcPr>
                <w:p w14:paraId="210F7D0B">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22.20</w:t>
                  </w:r>
                </w:p>
              </w:tc>
              <w:tc>
                <w:tcPr>
                  <w:tcW w:w="764" w:type="dxa"/>
                  <w:vMerge w:val="continue"/>
                  <w:tcBorders>
                    <w:tl2br w:val="nil"/>
                    <w:tr2bl w:val="nil"/>
                  </w:tcBorders>
                  <w:shd w:val="clear" w:color="auto" w:fill="auto"/>
                  <w:vAlign w:val="center"/>
                </w:tcPr>
                <w:p w14:paraId="54FBF130">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5CEA5219">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1F4A6910">
                  <w:pPr>
                    <w:keepNext w:val="0"/>
                    <w:keepLines w:val="0"/>
                    <w:widowControl/>
                    <w:suppressLineNumbers w:val="0"/>
                    <w:jc w:val="center"/>
                    <w:textAlignment w:val="center"/>
                    <w:rPr>
                      <w:rFonts w:hint="eastAsia"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废碱</w:t>
                  </w:r>
                </w:p>
              </w:tc>
              <w:tc>
                <w:tcPr>
                  <w:tcW w:w="1259" w:type="dxa"/>
                  <w:tcBorders>
                    <w:tl2br w:val="nil"/>
                    <w:tr2bl w:val="nil"/>
                  </w:tcBorders>
                  <w:shd w:val="clear" w:color="auto" w:fill="auto"/>
                  <w:vAlign w:val="center"/>
                </w:tcPr>
                <w:p w14:paraId="3E59376A">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22.20</w:t>
                  </w:r>
                </w:p>
              </w:tc>
              <w:tc>
                <w:tcPr>
                  <w:tcW w:w="1306" w:type="dxa"/>
                  <w:tcBorders>
                    <w:tl2br w:val="nil"/>
                    <w:tr2bl w:val="nil"/>
                  </w:tcBorders>
                  <w:shd w:val="clear" w:color="auto" w:fill="auto"/>
                  <w:vAlign w:val="center"/>
                </w:tcPr>
                <w:p w14:paraId="63332B7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14ACC0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484" w:type="dxa"/>
                  <w:vMerge w:val="continue"/>
                  <w:tcBorders>
                    <w:tl2br w:val="nil"/>
                    <w:tr2bl w:val="nil"/>
                  </w:tcBorders>
                  <w:shd w:val="clear" w:color="auto" w:fill="auto"/>
                  <w:vAlign w:val="center"/>
                </w:tcPr>
                <w:p w14:paraId="270B363B">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56867F6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盐类</w:t>
                  </w:r>
                </w:p>
              </w:tc>
              <w:tc>
                <w:tcPr>
                  <w:tcW w:w="1036" w:type="dxa"/>
                  <w:tcBorders>
                    <w:tl2br w:val="nil"/>
                    <w:tr2bl w:val="nil"/>
                  </w:tcBorders>
                  <w:shd w:val="clear" w:color="auto" w:fill="auto"/>
                  <w:vAlign w:val="center"/>
                </w:tcPr>
                <w:p w14:paraId="45E067C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270</w:t>
                  </w:r>
                </w:p>
              </w:tc>
              <w:tc>
                <w:tcPr>
                  <w:tcW w:w="764" w:type="dxa"/>
                  <w:vMerge w:val="continue"/>
                  <w:tcBorders>
                    <w:tl2br w:val="nil"/>
                    <w:tr2bl w:val="nil"/>
                  </w:tcBorders>
                  <w:shd w:val="clear" w:color="auto" w:fill="auto"/>
                  <w:vAlign w:val="center"/>
                </w:tcPr>
                <w:p w14:paraId="3612E875">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7CAA13BC">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4843178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废盐</w:t>
                  </w:r>
                </w:p>
              </w:tc>
              <w:tc>
                <w:tcPr>
                  <w:tcW w:w="1259" w:type="dxa"/>
                  <w:tcBorders>
                    <w:tl2br w:val="nil"/>
                    <w:tr2bl w:val="nil"/>
                  </w:tcBorders>
                  <w:shd w:val="clear" w:color="auto" w:fill="auto"/>
                  <w:vAlign w:val="center"/>
                </w:tcPr>
                <w:p w14:paraId="507F9325">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270</w:t>
                  </w:r>
                </w:p>
              </w:tc>
              <w:tc>
                <w:tcPr>
                  <w:tcW w:w="1306" w:type="dxa"/>
                  <w:tcBorders>
                    <w:tl2br w:val="nil"/>
                    <w:tr2bl w:val="nil"/>
                  </w:tcBorders>
                  <w:shd w:val="clear" w:color="auto" w:fill="auto"/>
                  <w:vAlign w:val="center"/>
                </w:tcPr>
                <w:p w14:paraId="59D0A09C">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49CAF0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484" w:type="dxa"/>
                  <w:vMerge w:val="continue"/>
                  <w:tcBorders>
                    <w:tl2br w:val="nil"/>
                    <w:tr2bl w:val="nil"/>
                  </w:tcBorders>
                  <w:shd w:val="clear" w:color="auto" w:fill="auto"/>
                  <w:vAlign w:val="center"/>
                </w:tcPr>
                <w:p w14:paraId="40C5281E">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436929B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有机</w:t>
                  </w:r>
                  <w:r>
                    <w:rPr>
                      <w:rFonts w:hint="default" w:ascii="Times New Roman" w:hAnsi="Times New Roman" w:eastAsia="宋体" w:cs="Times New Roman"/>
                      <w:i w:val="0"/>
                      <w:iCs w:val="0"/>
                      <w:color w:val="auto"/>
                      <w:kern w:val="0"/>
                      <w:sz w:val="22"/>
                      <w:szCs w:val="22"/>
                      <w:u w:val="none"/>
                      <w:lang w:val="en-US" w:eastAsia="zh-CN" w:bidi="ar"/>
                    </w:rPr>
                    <w:t>酸类</w:t>
                  </w:r>
                </w:p>
              </w:tc>
              <w:tc>
                <w:tcPr>
                  <w:tcW w:w="1036" w:type="dxa"/>
                  <w:tcBorders>
                    <w:tl2br w:val="nil"/>
                    <w:tr2bl w:val="nil"/>
                  </w:tcBorders>
                  <w:shd w:val="clear" w:color="auto" w:fill="auto"/>
                  <w:vAlign w:val="center"/>
                </w:tcPr>
                <w:p w14:paraId="460CAB05">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151</w:t>
                  </w:r>
                </w:p>
              </w:tc>
              <w:tc>
                <w:tcPr>
                  <w:tcW w:w="764" w:type="dxa"/>
                  <w:vMerge w:val="continue"/>
                  <w:tcBorders>
                    <w:tl2br w:val="nil"/>
                    <w:tr2bl w:val="nil"/>
                  </w:tcBorders>
                  <w:shd w:val="clear" w:color="auto" w:fill="auto"/>
                  <w:vAlign w:val="center"/>
                </w:tcPr>
                <w:p w14:paraId="3AB38AC1">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6FEB29C5">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238E439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废酸</w:t>
                  </w:r>
                </w:p>
              </w:tc>
              <w:tc>
                <w:tcPr>
                  <w:tcW w:w="1259" w:type="dxa"/>
                  <w:tcBorders>
                    <w:tl2br w:val="nil"/>
                    <w:tr2bl w:val="nil"/>
                  </w:tcBorders>
                  <w:shd w:val="clear" w:color="auto" w:fill="auto"/>
                  <w:vAlign w:val="center"/>
                </w:tcPr>
                <w:p w14:paraId="43AB8D2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151</w:t>
                  </w:r>
                </w:p>
              </w:tc>
              <w:tc>
                <w:tcPr>
                  <w:tcW w:w="1306" w:type="dxa"/>
                  <w:tcBorders>
                    <w:tl2br w:val="nil"/>
                    <w:tr2bl w:val="nil"/>
                  </w:tcBorders>
                  <w:shd w:val="clear" w:color="auto" w:fill="auto"/>
                  <w:vAlign w:val="center"/>
                </w:tcPr>
                <w:p w14:paraId="7775346C">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1DD3CA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1" w:hRule="atLeast"/>
              </w:trPr>
              <w:tc>
                <w:tcPr>
                  <w:tcW w:w="484" w:type="dxa"/>
                  <w:vMerge w:val="continue"/>
                  <w:tcBorders>
                    <w:tl2br w:val="nil"/>
                    <w:tr2bl w:val="nil"/>
                  </w:tcBorders>
                  <w:shd w:val="clear" w:color="auto" w:fill="auto"/>
                  <w:vAlign w:val="center"/>
                </w:tcPr>
                <w:p w14:paraId="7E693D98">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277345C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还原剂</w:t>
                  </w:r>
                </w:p>
              </w:tc>
              <w:tc>
                <w:tcPr>
                  <w:tcW w:w="1036" w:type="dxa"/>
                  <w:tcBorders>
                    <w:tl2br w:val="nil"/>
                    <w:tr2bl w:val="nil"/>
                  </w:tcBorders>
                  <w:shd w:val="clear" w:color="auto" w:fill="auto"/>
                  <w:vAlign w:val="center"/>
                </w:tcPr>
                <w:p w14:paraId="1639860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25</w:t>
                  </w:r>
                </w:p>
              </w:tc>
              <w:tc>
                <w:tcPr>
                  <w:tcW w:w="764" w:type="dxa"/>
                  <w:vMerge w:val="continue"/>
                  <w:tcBorders>
                    <w:tl2br w:val="nil"/>
                    <w:tr2bl w:val="nil"/>
                  </w:tcBorders>
                  <w:shd w:val="clear" w:color="auto" w:fill="auto"/>
                  <w:vAlign w:val="center"/>
                </w:tcPr>
                <w:p w14:paraId="197A5AE7">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1D28CDF0">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1ED3F88C">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废还原剂</w:t>
                  </w:r>
                </w:p>
              </w:tc>
              <w:tc>
                <w:tcPr>
                  <w:tcW w:w="1259" w:type="dxa"/>
                  <w:tcBorders>
                    <w:tl2br w:val="nil"/>
                    <w:tr2bl w:val="nil"/>
                  </w:tcBorders>
                  <w:shd w:val="clear" w:color="auto" w:fill="auto"/>
                  <w:vAlign w:val="center"/>
                </w:tcPr>
                <w:p w14:paraId="6ECBA67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25</w:t>
                  </w:r>
                </w:p>
              </w:tc>
              <w:tc>
                <w:tcPr>
                  <w:tcW w:w="1306" w:type="dxa"/>
                  <w:tcBorders>
                    <w:tl2br w:val="nil"/>
                    <w:tr2bl w:val="nil"/>
                  </w:tcBorders>
                  <w:shd w:val="clear" w:color="auto" w:fill="auto"/>
                  <w:vAlign w:val="center"/>
                </w:tcPr>
                <w:p w14:paraId="1981B6E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327C37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484" w:type="dxa"/>
                  <w:vMerge w:val="continue"/>
                  <w:tcBorders>
                    <w:tl2br w:val="nil"/>
                    <w:tr2bl w:val="nil"/>
                  </w:tcBorders>
                  <w:shd w:val="clear" w:color="auto" w:fill="auto"/>
                  <w:vAlign w:val="center"/>
                </w:tcPr>
                <w:p w14:paraId="44917F5A">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45CD096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氧化剂</w:t>
                  </w:r>
                </w:p>
              </w:tc>
              <w:tc>
                <w:tcPr>
                  <w:tcW w:w="1036" w:type="dxa"/>
                  <w:tcBorders>
                    <w:tl2br w:val="nil"/>
                    <w:tr2bl w:val="nil"/>
                  </w:tcBorders>
                  <w:shd w:val="clear" w:color="auto" w:fill="auto"/>
                  <w:vAlign w:val="center"/>
                </w:tcPr>
                <w:p w14:paraId="092CA85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8</w:t>
                  </w:r>
                </w:p>
              </w:tc>
              <w:tc>
                <w:tcPr>
                  <w:tcW w:w="764" w:type="dxa"/>
                  <w:vMerge w:val="continue"/>
                  <w:tcBorders>
                    <w:tl2br w:val="nil"/>
                    <w:tr2bl w:val="nil"/>
                  </w:tcBorders>
                  <w:shd w:val="clear" w:color="auto" w:fill="auto"/>
                  <w:vAlign w:val="center"/>
                </w:tcPr>
                <w:p w14:paraId="1B8BCAC9">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351CF606">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7B7AB43B">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cs="Times New Roman"/>
                      <w:i w:val="0"/>
                      <w:iCs w:val="0"/>
                      <w:color w:val="auto"/>
                      <w:kern w:val="0"/>
                      <w:sz w:val="22"/>
                      <w:szCs w:val="22"/>
                      <w:u w:val="none"/>
                      <w:lang w:val="en-US" w:eastAsia="zh-CN" w:bidi="ar"/>
                    </w:rPr>
                    <w:t>废氧化剂</w:t>
                  </w:r>
                </w:p>
              </w:tc>
              <w:tc>
                <w:tcPr>
                  <w:tcW w:w="1259" w:type="dxa"/>
                  <w:tcBorders>
                    <w:tl2br w:val="nil"/>
                    <w:tr2bl w:val="nil"/>
                  </w:tcBorders>
                  <w:shd w:val="clear" w:color="auto" w:fill="auto"/>
                  <w:vAlign w:val="center"/>
                </w:tcPr>
                <w:p w14:paraId="2C90A0F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8</w:t>
                  </w:r>
                </w:p>
              </w:tc>
              <w:tc>
                <w:tcPr>
                  <w:tcW w:w="1306" w:type="dxa"/>
                  <w:tcBorders>
                    <w:tl2br w:val="nil"/>
                    <w:tr2bl w:val="nil"/>
                  </w:tcBorders>
                  <w:shd w:val="clear" w:color="auto" w:fill="auto"/>
                  <w:vAlign w:val="center"/>
                </w:tcPr>
                <w:p w14:paraId="4E6A8CC6">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r w14:paraId="14D1DD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484" w:type="dxa"/>
                  <w:vMerge w:val="continue"/>
                  <w:tcBorders>
                    <w:tl2br w:val="nil"/>
                    <w:tr2bl w:val="nil"/>
                  </w:tcBorders>
                  <w:shd w:val="clear" w:color="auto" w:fill="auto"/>
                  <w:vAlign w:val="center"/>
                </w:tcPr>
                <w:p w14:paraId="709FCCCC">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2952BED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催化剂</w:t>
                  </w:r>
                </w:p>
              </w:tc>
              <w:tc>
                <w:tcPr>
                  <w:tcW w:w="1036" w:type="dxa"/>
                  <w:tcBorders>
                    <w:tl2br w:val="nil"/>
                    <w:tr2bl w:val="nil"/>
                  </w:tcBorders>
                  <w:shd w:val="clear" w:color="auto" w:fill="auto"/>
                  <w:vAlign w:val="center"/>
                </w:tcPr>
                <w:p w14:paraId="278756A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11</w:t>
                  </w:r>
                </w:p>
              </w:tc>
              <w:tc>
                <w:tcPr>
                  <w:tcW w:w="764" w:type="dxa"/>
                  <w:vMerge w:val="continue"/>
                  <w:tcBorders>
                    <w:tl2br w:val="nil"/>
                    <w:tr2bl w:val="nil"/>
                  </w:tcBorders>
                  <w:shd w:val="clear" w:color="auto" w:fill="auto"/>
                  <w:vAlign w:val="center"/>
                </w:tcPr>
                <w:p w14:paraId="0E5159D4">
                  <w:pPr>
                    <w:jc w:val="center"/>
                    <w:rPr>
                      <w:rFonts w:hint="default" w:ascii="Times New Roman" w:hAnsi="Times New Roman" w:eastAsia="宋体" w:cs="Times New Roman"/>
                      <w:i w:val="0"/>
                      <w:iCs w:val="0"/>
                      <w:color w:val="auto"/>
                      <w:kern w:val="2"/>
                      <w:sz w:val="22"/>
                      <w:szCs w:val="22"/>
                      <w:u w:val="none"/>
                      <w:lang w:val="en-US" w:eastAsia="zh-CN" w:bidi="ar-SA"/>
                    </w:rPr>
                  </w:pPr>
                </w:p>
              </w:tc>
              <w:tc>
                <w:tcPr>
                  <w:tcW w:w="761" w:type="dxa"/>
                  <w:vMerge w:val="continue"/>
                  <w:tcBorders>
                    <w:tl2br w:val="nil"/>
                    <w:tr2bl w:val="nil"/>
                  </w:tcBorders>
                  <w:shd w:val="clear" w:color="auto" w:fill="auto"/>
                  <w:vAlign w:val="center"/>
                </w:tcPr>
                <w:p w14:paraId="16F4486C">
                  <w:pPr>
                    <w:jc w:val="center"/>
                    <w:rPr>
                      <w:rFonts w:hint="default" w:ascii="Times New Roman" w:hAnsi="Times New Roman" w:eastAsia="宋体" w:cs="Times New Roman"/>
                      <w:i w:val="0"/>
                      <w:iCs w:val="0"/>
                      <w:color w:val="auto"/>
                      <w:kern w:val="2"/>
                      <w:sz w:val="22"/>
                      <w:szCs w:val="22"/>
                      <w:u w:val="none"/>
                      <w:lang w:val="en-US" w:eastAsia="zh-CN" w:bidi="ar-SA"/>
                    </w:rPr>
                  </w:pPr>
                </w:p>
              </w:tc>
              <w:tc>
                <w:tcPr>
                  <w:tcW w:w="1344" w:type="dxa"/>
                  <w:tcBorders>
                    <w:tl2br w:val="nil"/>
                    <w:tr2bl w:val="nil"/>
                  </w:tcBorders>
                  <w:shd w:val="clear" w:color="auto" w:fill="auto"/>
                  <w:vAlign w:val="center"/>
                </w:tcPr>
                <w:p w14:paraId="6888CCA0">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2"/>
                      <w:szCs w:val="22"/>
                      <w:u w:val="none"/>
                      <w:lang w:val="en-US" w:eastAsia="zh-CN" w:bidi="ar-SA"/>
                    </w:rPr>
                  </w:pPr>
                  <w:r>
                    <w:rPr>
                      <w:rFonts w:hint="eastAsia" w:cs="Times New Roman"/>
                      <w:i w:val="0"/>
                      <w:iCs w:val="0"/>
                      <w:color w:val="auto"/>
                      <w:kern w:val="0"/>
                      <w:sz w:val="22"/>
                      <w:szCs w:val="22"/>
                      <w:u w:val="none"/>
                      <w:lang w:val="en-US" w:eastAsia="zh-CN" w:bidi="ar"/>
                    </w:rPr>
                    <w:t>废催化剂</w:t>
                  </w:r>
                </w:p>
              </w:tc>
              <w:tc>
                <w:tcPr>
                  <w:tcW w:w="1259" w:type="dxa"/>
                  <w:tcBorders>
                    <w:tl2br w:val="nil"/>
                    <w:tr2bl w:val="nil"/>
                  </w:tcBorders>
                  <w:shd w:val="clear" w:color="auto" w:fill="auto"/>
                  <w:vAlign w:val="center"/>
                </w:tcPr>
                <w:p w14:paraId="752A114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11</w:t>
                  </w:r>
                </w:p>
              </w:tc>
              <w:tc>
                <w:tcPr>
                  <w:tcW w:w="1306" w:type="dxa"/>
                  <w:tcBorders>
                    <w:tl2br w:val="nil"/>
                    <w:tr2bl w:val="nil"/>
                  </w:tcBorders>
                  <w:shd w:val="clear" w:color="auto" w:fill="auto"/>
                  <w:vAlign w:val="center"/>
                </w:tcPr>
                <w:p w14:paraId="2283DC76">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2"/>
                      <w:szCs w:val="22"/>
                      <w:u w:val="none"/>
                      <w:lang w:val="en-US" w:eastAsia="zh-CN" w:bidi="ar-SA"/>
                    </w:rPr>
                  </w:pPr>
                  <w:r>
                    <w:rPr>
                      <w:rFonts w:hint="eastAsia" w:cs="Times New Roman"/>
                      <w:i w:val="0"/>
                      <w:iCs w:val="0"/>
                      <w:color w:val="auto"/>
                      <w:kern w:val="0"/>
                      <w:sz w:val="22"/>
                      <w:szCs w:val="22"/>
                      <w:u w:val="none"/>
                      <w:lang w:val="en-US" w:eastAsia="zh-CN" w:bidi="ar"/>
                    </w:rPr>
                    <w:t>危险废物</w:t>
                  </w:r>
                </w:p>
              </w:tc>
            </w:tr>
            <w:tr w14:paraId="0F86A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8" w:hRule="atLeast"/>
              </w:trPr>
              <w:tc>
                <w:tcPr>
                  <w:tcW w:w="484" w:type="dxa"/>
                  <w:vMerge w:val="continue"/>
                  <w:tcBorders>
                    <w:tl2br w:val="nil"/>
                    <w:tr2bl w:val="nil"/>
                  </w:tcBorders>
                  <w:shd w:val="clear" w:color="auto" w:fill="auto"/>
                  <w:vAlign w:val="center"/>
                </w:tcPr>
                <w:p w14:paraId="47700FE9">
                  <w:pPr>
                    <w:jc w:val="center"/>
                    <w:rPr>
                      <w:rFonts w:hint="default" w:ascii="Times New Roman" w:hAnsi="Times New Roman" w:eastAsia="宋体" w:cs="Times New Roman"/>
                      <w:i w:val="0"/>
                      <w:iCs w:val="0"/>
                      <w:color w:val="auto"/>
                      <w:sz w:val="22"/>
                      <w:szCs w:val="22"/>
                      <w:u w:val="none"/>
                    </w:rPr>
                  </w:pPr>
                </w:p>
              </w:tc>
              <w:tc>
                <w:tcPr>
                  <w:tcW w:w="765" w:type="dxa"/>
                  <w:tcBorders>
                    <w:tl2br w:val="nil"/>
                    <w:tr2bl w:val="nil"/>
                  </w:tcBorders>
                  <w:shd w:val="clear" w:color="auto" w:fill="auto"/>
                  <w:vAlign w:val="center"/>
                </w:tcPr>
                <w:p w14:paraId="78CC3B42">
                  <w:pPr>
                    <w:keepNext w:val="0"/>
                    <w:keepLines w:val="0"/>
                    <w:widowControl/>
                    <w:suppressLineNumbers w:val="0"/>
                    <w:jc w:val="center"/>
                    <w:textAlignment w:val="center"/>
                    <w:rPr>
                      <w:rFonts w:hint="eastAsia"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其他</w:t>
                  </w:r>
                </w:p>
              </w:tc>
              <w:tc>
                <w:tcPr>
                  <w:tcW w:w="1036" w:type="dxa"/>
                  <w:tcBorders>
                    <w:tl2br w:val="nil"/>
                    <w:tr2bl w:val="nil"/>
                  </w:tcBorders>
                  <w:shd w:val="clear" w:color="auto" w:fill="auto"/>
                  <w:vAlign w:val="center"/>
                </w:tcPr>
                <w:p w14:paraId="205F0067">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18</w:t>
                  </w:r>
                </w:p>
              </w:tc>
              <w:tc>
                <w:tcPr>
                  <w:tcW w:w="764" w:type="dxa"/>
                  <w:vMerge w:val="continue"/>
                  <w:tcBorders>
                    <w:tl2br w:val="nil"/>
                    <w:tr2bl w:val="nil"/>
                  </w:tcBorders>
                  <w:shd w:val="clear" w:color="auto" w:fill="auto"/>
                  <w:vAlign w:val="center"/>
                </w:tcPr>
                <w:p w14:paraId="7C833D6E">
                  <w:pPr>
                    <w:jc w:val="center"/>
                    <w:rPr>
                      <w:rFonts w:hint="default" w:ascii="Times New Roman" w:hAnsi="Times New Roman" w:eastAsia="宋体" w:cs="Times New Roman"/>
                      <w:i w:val="0"/>
                      <w:iCs w:val="0"/>
                      <w:color w:val="auto"/>
                      <w:sz w:val="22"/>
                      <w:szCs w:val="22"/>
                      <w:u w:val="none"/>
                    </w:rPr>
                  </w:pPr>
                </w:p>
              </w:tc>
              <w:tc>
                <w:tcPr>
                  <w:tcW w:w="761" w:type="dxa"/>
                  <w:vMerge w:val="continue"/>
                  <w:tcBorders>
                    <w:tl2br w:val="nil"/>
                    <w:tr2bl w:val="nil"/>
                  </w:tcBorders>
                  <w:shd w:val="clear" w:color="auto" w:fill="auto"/>
                  <w:vAlign w:val="center"/>
                </w:tcPr>
                <w:p w14:paraId="071B874C">
                  <w:pPr>
                    <w:jc w:val="center"/>
                    <w:rPr>
                      <w:rFonts w:hint="default" w:ascii="Times New Roman" w:hAnsi="Times New Roman" w:eastAsia="宋体" w:cs="Times New Roman"/>
                      <w:i w:val="0"/>
                      <w:iCs w:val="0"/>
                      <w:color w:val="auto"/>
                      <w:sz w:val="22"/>
                      <w:szCs w:val="22"/>
                      <w:u w:val="none"/>
                    </w:rPr>
                  </w:pPr>
                </w:p>
              </w:tc>
              <w:tc>
                <w:tcPr>
                  <w:tcW w:w="1344" w:type="dxa"/>
                  <w:tcBorders>
                    <w:tl2br w:val="nil"/>
                    <w:tr2bl w:val="nil"/>
                  </w:tcBorders>
                  <w:shd w:val="clear" w:color="auto" w:fill="auto"/>
                  <w:vAlign w:val="center"/>
                </w:tcPr>
                <w:p w14:paraId="0018A54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其他危险废物</w:t>
                  </w:r>
                </w:p>
              </w:tc>
              <w:tc>
                <w:tcPr>
                  <w:tcW w:w="1259" w:type="dxa"/>
                  <w:tcBorders>
                    <w:tl2br w:val="nil"/>
                    <w:tr2bl w:val="nil"/>
                  </w:tcBorders>
                  <w:shd w:val="clear" w:color="auto" w:fill="auto"/>
                  <w:vAlign w:val="center"/>
                </w:tcPr>
                <w:p w14:paraId="43F61A87">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eastAsia="zh-CN"/>
                    </w:rPr>
                  </w:pPr>
                  <w:r>
                    <w:rPr>
                      <w:rFonts w:hint="eastAsia" w:cs="Times New Roman"/>
                      <w:i w:val="0"/>
                      <w:iCs w:val="0"/>
                      <w:color w:val="auto"/>
                      <w:sz w:val="22"/>
                      <w:szCs w:val="22"/>
                      <w:u w:val="none"/>
                      <w:lang w:val="en-US" w:eastAsia="zh-CN"/>
                    </w:rPr>
                    <w:t>18</w:t>
                  </w:r>
                </w:p>
              </w:tc>
              <w:tc>
                <w:tcPr>
                  <w:tcW w:w="1306" w:type="dxa"/>
                  <w:tcBorders>
                    <w:tl2br w:val="nil"/>
                    <w:tr2bl w:val="nil"/>
                  </w:tcBorders>
                  <w:shd w:val="clear" w:color="auto" w:fill="auto"/>
                  <w:vAlign w:val="center"/>
                </w:tcPr>
                <w:p w14:paraId="7F2677C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eastAsia" w:cs="Times New Roman"/>
                      <w:i w:val="0"/>
                      <w:iCs w:val="0"/>
                      <w:color w:val="auto"/>
                      <w:kern w:val="0"/>
                      <w:sz w:val="22"/>
                      <w:szCs w:val="22"/>
                      <w:u w:val="none"/>
                      <w:lang w:val="en-US" w:eastAsia="zh-CN" w:bidi="ar"/>
                    </w:rPr>
                    <w:t>危险废物</w:t>
                  </w:r>
                </w:p>
              </w:tc>
            </w:tr>
          </w:tbl>
          <w:p w14:paraId="229FB77E">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Chars="0"/>
              <w:jc w:val="center"/>
              <w:textAlignment w:val="auto"/>
              <w:rPr>
                <w:rFonts w:hint="default"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sz w:val="24"/>
                <w:highlight w:val="none"/>
                <w:lang w:val="en-US" w:eastAsia="zh-CN"/>
              </w:rPr>
              <w:object>
                <v:shape id="_x0000_i1025" o:spt="75" type="#_x0000_t75" style="height:391.3pt;width:402.45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r>
              <w:rPr>
                <w:rFonts w:hint="eastAsia" w:cs="Times New Roman"/>
                <w:b/>
                <w:bCs/>
                <w:color w:val="auto"/>
                <w:sz w:val="24"/>
                <w:highlight w:val="none"/>
                <w:lang w:val="en-US" w:eastAsia="zh-CN"/>
              </w:rPr>
              <w:t>图2-1 项目全厂物料平衡图（kg/a）</w:t>
            </w:r>
          </w:p>
          <w:p w14:paraId="063AF044">
            <w:pPr>
              <w:keepNext w:val="0"/>
              <w:keepLines w:val="0"/>
              <w:pageBreakBefore w:val="0"/>
              <w:widowControl w:val="0"/>
              <w:numPr>
                <w:ilvl w:val="0"/>
                <w:numId w:val="0"/>
              </w:numPr>
              <w:kinsoku/>
              <w:wordWrap/>
              <w:overflowPunct/>
              <w:topLinePunct w:val="0"/>
              <w:autoSpaceDE w:val="0"/>
              <w:autoSpaceDN w:val="0"/>
              <w:bidi w:val="0"/>
              <w:adjustRightInd w:val="0"/>
              <w:snapToGrid/>
              <w:spacing w:before="120" w:beforeLines="50" w:line="360" w:lineRule="auto"/>
              <w:ind w:left="0" w:leftChars="0" w:firstLine="0" w:firstLineChars="0"/>
              <w:jc w:val="left"/>
              <w:textAlignment w:val="auto"/>
              <w:rPr>
                <w:rFonts w:hint="default" w:ascii="Times New Roman" w:hAnsi="Times New Roman" w:eastAsia="宋体" w:cs="Times New Roman"/>
                <w:b/>
                <w:bCs/>
                <w:color w:val="auto"/>
                <w:sz w:val="24"/>
                <w:highlight w:val="none"/>
                <w:lang w:val="en-US" w:eastAsia="zh-CN"/>
              </w:rPr>
            </w:pPr>
            <w:r>
              <w:rPr>
                <w:rFonts w:hint="eastAsia" w:cs="Times New Roman"/>
                <w:b/>
                <w:bCs/>
                <w:color w:val="auto"/>
                <w:kern w:val="2"/>
                <w:sz w:val="24"/>
                <w:szCs w:val="24"/>
                <w:highlight w:val="none"/>
                <w:lang w:val="en-US" w:eastAsia="zh-CN" w:bidi="ar-SA"/>
              </w:rPr>
              <w:t>8</w:t>
            </w:r>
            <w:r>
              <w:rPr>
                <w:rFonts w:hint="default" w:ascii="Times New Roman" w:hAnsi="Times New Roman" w:eastAsia="宋体" w:cs="Times New Roman"/>
                <w:b/>
                <w:bCs/>
                <w:color w:val="auto"/>
                <w:kern w:val="2"/>
                <w:sz w:val="24"/>
                <w:szCs w:val="24"/>
                <w:highlight w:val="none"/>
                <w:lang w:val="en-US" w:eastAsia="zh-CN" w:bidi="ar-SA"/>
              </w:rPr>
              <w:t>.</w:t>
            </w:r>
            <w:r>
              <w:rPr>
                <w:rFonts w:hint="default" w:ascii="Times New Roman" w:hAnsi="Times New Roman" w:eastAsia="宋体" w:cs="Times New Roman"/>
                <w:b/>
                <w:bCs/>
                <w:color w:val="auto"/>
                <w:sz w:val="24"/>
                <w:highlight w:val="none"/>
                <w:lang w:val="en-US" w:eastAsia="zh-CN"/>
              </w:rPr>
              <w:t>公用工程</w:t>
            </w:r>
          </w:p>
          <w:p w14:paraId="3094C857">
            <w:pPr>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left="-62" w:leftChars="0" w:firstLine="482" w:firstLineChars="0"/>
              <w:jc w:val="left"/>
              <w:textAlignment w:val="auto"/>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lang w:val="en-US" w:eastAsia="zh-CN"/>
              </w:rPr>
              <w:t>给水</w:t>
            </w:r>
          </w:p>
          <w:p w14:paraId="10B91C4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宋体" w:hAnsi="宋体" w:eastAsia="宋体" w:cs="宋体"/>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本</w:t>
            </w:r>
            <w:r>
              <w:rPr>
                <w:rFonts w:hint="eastAsia" w:ascii="宋体" w:hAnsi="宋体" w:cs="宋体"/>
                <w:b w:val="0"/>
                <w:bCs w:val="0"/>
                <w:color w:val="auto"/>
                <w:sz w:val="24"/>
                <w:highlight w:val="none"/>
                <w:lang w:val="en-US" w:eastAsia="zh-CN"/>
              </w:rPr>
              <w:t>次扩建项目</w:t>
            </w:r>
            <w:r>
              <w:rPr>
                <w:rFonts w:hint="eastAsia" w:ascii="宋体" w:hAnsi="宋体" w:eastAsia="宋体" w:cs="宋体"/>
                <w:b w:val="0"/>
                <w:bCs w:val="0"/>
                <w:color w:val="auto"/>
                <w:sz w:val="24"/>
                <w:highlight w:val="none"/>
                <w:lang w:val="en-US" w:eastAsia="zh-CN"/>
              </w:rPr>
              <w:t>给水</w:t>
            </w:r>
            <w:r>
              <w:rPr>
                <w:rFonts w:hint="eastAsia" w:ascii="宋体" w:hAnsi="宋体" w:cs="宋体"/>
                <w:b w:val="0"/>
                <w:bCs w:val="0"/>
                <w:color w:val="auto"/>
                <w:sz w:val="24"/>
                <w:highlight w:val="none"/>
                <w:lang w:val="en-US" w:eastAsia="zh-CN"/>
              </w:rPr>
              <w:t>依托</w:t>
            </w:r>
            <w:r>
              <w:rPr>
                <w:rFonts w:hint="eastAsia" w:ascii="宋体" w:hAnsi="宋体" w:eastAsia="宋体" w:cs="宋体"/>
                <w:b w:val="0"/>
                <w:bCs w:val="0"/>
                <w:color w:val="auto"/>
                <w:sz w:val="24"/>
                <w:highlight w:val="none"/>
                <w:lang w:val="en-US" w:eastAsia="zh-CN"/>
              </w:rPr>
              <w:t>沣东科技产业园供水管网统一供水。</w:t>
            </w:r>
            <w:r>
              <w:rPr>
                <w:rFonts w:hint="eastAsia" w:ascii="宋体" w:hAnsi="宋体" w:cs="宋体"/>
                <w:b w:val="0"/>
                <w:bCs w:val="0"/>
                <w:color w:val="auto"/>
                <w:sz w:val="24"/>
                <w:highlight w:val="none"/>
                <w:lang w:val="en-US" w:eastAsia="zh-CN"/>
              </w:rPr>
              <w:t>根据项目实际运行情况，</w:t>
            </w:r>
            <w:r>
              <w:rPr>
                <w:rFonts w:hint="eastAsia" w:ascii="宋体" w:hAnsi="宋体" w:eastAsia="宋体" w:cs="宋体"/>
                <w:b w:val="0"/>
                <w:bCs w:val="0"/>
                <w:color w:val="auto"/>
                <w:sz w:val="24"/>
                <w:highlight w:val="none"/>
                <w:lang w:val="en-US" w:eastAsia="zh-CN"/>
              </w:rPr>
              <w:t>项目</w:t>
            </w:r>
            <w:r>
              <w:rPr>
                <w:rFonts w:hint="eastAsia" w:ascii="宋体" w:hAnsi="宋体" w:cs="宋体"/>
                <w:b w:val="0"/>
                <w:bCs w:val="0"/>
                <w:color w:val="auto"/>
                <w:sz w:val="24"/>
                <w:highlight w:val="none"/>
                <w:lang w:val="en-US" w:eastAsia="zh-CN"/>
              </w:rPr>
              <w:t>全厂</w:t>
            </w:r>
            <w:r>
              <w:rPr>
                <w:rFonts w:hint="eastAsia" w:ascii="宋体" w:hAnsi="宋体" w:eastAsia="宋体" w:cs="宋体"/>
                <w:b w:val="0"/>
                <w:bCs w:val="0"/>
                <w:color w:val="auto"/>
                <w:sz w:val="24"/>
                <w:highlight w:val="none"/>
                <w:lang w:val="en-US" w:eastAsia="zh-CN"/>
              </w:rPr>
              <w:t>用水主要</w:t>
            </w:r>
            <w:r>
              <w:rPr>
                <w:rFonts w:hint="eastAsia" w:ascii="宋体" w:hAnsi="宋体" w:cs="宋体"/>
                <w:b w:val="0"/>
                <w:bCs w:val="0"/>
                <w:color w:val="auto"/>
                <w:sz w:val="24"/>
                <w:highlight w:val="none"/>
                <w:lang w:val="en-US" w:eastAsia="zh-CN"/>
              </w:rPr>
              <w:t>有生活用水、</w:t>
            </w:r>
            <w:r>
              <w:rPr>
                <w:rFonts w:hint="eastAsia" w:ascii="宋体" w:hAnsi="宋体" w:eastAsia="宋体" w:cs="宋体"/>
                <w:b w:val="0"/>
                <w:bCs w:val="0"/>
                <w:color w:val="auto"/>
                <w:sz w:val="24"/>
                <w:highlight w:val="none"/>
                <w:lang w:val="en-US" w:eastAsia="zh-CN"/>
              </w:rPr>
              <w:t>实验用水</w:t>
            </w:r>
            <w:r>
              <w:rPr>
                <w:rFonts w:hint="eastAsia" w:ascii="宋体" w:hAnsi="宋体" w:cs="宋体"/>
                <w:b w:val="0"/>
                <w:bCs w:val="0"/>
                <w:color w:val="auto"/>
                <w:sz w:val="24"/>
                <w:highlight w:val="none"/>
                <w:lang w:val="en-US" w:eastAsia="zh-CN"/>
              </w:rPr>
              <w:t>（</w:t>
            </w:r>
            <w:r>
              <w:rPr>
                <w:rFonts w:hint="eastAsia" w:ascii="宋体" w:hAnsi="宋体" w:eastAsia="宋体" w:cs="宋体"/>
                <w:b w:val="0"/>
                <w:bCs w:val="0"/>
                <w:color w:val="auto"/>
                <w:sz w:val="24"/>
                <w:highlight w:val="none"/>
                <w:lang w:val="en-US" w:eastAsia="zh-CN"/>
              </w:rPr>
              <w:t>主要包括实验器具清洗用水、试剂配置用水、实验仪器冷却用水、台面</w:t>
            </w:r>
            <w:r>
              <w:rPr>
                <w:rFonts w:hint="eastAsia" w:ascii="宋体" w:hAnsi="宋体" w:cs="宋体"/>
                <w:b w:val="0"/>
                <w:bCs w:val="0"/>
                <w:color w:val="auto"/>
                <w:sz w:val="24"/>
                <w:highlight w:val="none"/>
                <w:lang w:val="en-US" w:eastAsia="zh-CN"/>
              </w:rPr>
              <w:t>和</w:t>
            </w:r>
            <w:r>
              <w:rPr>
                <w:rFonts w:hint="eastAsia" w:ascii="宋体" w:hAnsi="宋体" w:eastAsia="宋体" w:cs="宋体"/>
                <w:b w:val="0"/>
                <w:bCs w:val="0"/>
                <w:color w:val="auto"/>
                <w:sz w:val="24"/>
                <w:highlight w:val="none"/>
                <w:lang w:val="en-US" w:eastAsia="zh-CN"/>
              </w:rPr>
              <w:t>地面清洗用水</w:t>
            </w:r>
            <w:r>
              <w:rPr>
                <w:rFonts w:hint="eastAsia" w:ascii="宋体" w:hAnsi="宋体" w:cs="宋体"/>
                <w:b w:val="0"/>
                <w:bCs w:val="0"/>
                <w:color w:val="auto"/>
                <w:sz w:val="24"/>
                <w:highlight w:val="none"/>
                <w:lang w:val="en-US" w:eastAsia="zh-CN"/>
              </w:rPr>
              <w:t>）</w:t>
            </w:r>
            <w:r>
              <w:rPr>
                <w:rFonts w:hint="eastAsia" w:ascii="宋体" w:hAnsi="宋体" w:eastAsia="宋体" w:cs="宋体"/>
                <w:b w:val="0"/>
                <w:bCs w:val="0"/>
                <w:color w:val="auto"/>
                <w:sz w:val="24"/>
                <w:highlight w:val="none"/>
                <w:lang w:val="en-US" w:eastAsia="zh-CN"/>
              </w:rPr>
              <w:t>。</w:t>
            </w:r>
          </w:p>
          <w:p w14:paraId="3468BBC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①生活用水：本项目劳动定员</w:t>
            </w:r>
            <w:r>
              <w:rPr>
                <w:rFonts w:hint="eastAsia" w:cs="Times New Roman"/>
                <w:b w:val="0"/>
                <w:bCs w:val="0"/>
                <w:color w:val="auto"/>
                <w:sz w:val="24"/>
                <w:highlight w:val="none"/>
                <w:lang w:val="en-US" w:eastAsia="zh-CN"/>
              </w:rPr>
              <w:t>30</w:t>
            </w:r>
            <w:r>
              <w:rPr>
                <w:rFonts w:hint="eastAsia" w:ascii="宋体" w:hAnsi="宋体" w:eastAsia="宋体" w:cs="宋体"/>
                <w:b w:val="0"/>
                <w:bCs w:val="0"/>
                <w:color w:val="auto"/>
                <w:sz w:val="24"/>
                <w:highlight w:val="none"/>
                <w:lang w:val="en-US" w:eastAsia="zh-CN"/>
              </w:rPr>
              <w:t>人</w:t>
            </w:r>
            <w:r>
              <w:rPr>
                <w:rFonts w:hint="eastAsia" w:ascii="宋体" w:hAnsi="宋体" w:cs="宋体"/>
                <w:b w:val="0"/>
                <w:bCs w:val="0"/>
                <w:color w:val="auto"/>
                <w:sz w:val="24"/>
                <w:highlight w:val="none"/>
                <w:lang w:val="en-US" w:eastAsia="zh-CN"/>
              </w:rPr>
              <w:t>（本次评价不新增人数）</w:t>
            </w:r>
            <w:r>
              <w:rPr>
                <w:rFonts w:hint="eastAsia" w:ascii="宋体" w:hAnsi="宋体" w:eastAsia="宋体" w:cs="宋体"/>
                <w:b w:val="0"/>
                <w:bCs w:val="0"/>
                <w:color w:val="auto"/>
                <w:sz w:val="24"/>
                <w:highlight w:val="none"/>
                <w:lang w:val="en-US" w:eastAsia="zh-CN"/>
              </w:rPr>
              <w:t>，不提供食宿，</w:t>
            </w:r>
            <w:r>
              <w:rPr>
                <w:rFonts w:hint="eastAsia" w:cs="Times New Roman"/>
                <w:b w:val="0"/>
                <w:bCs w:val="0"/>
                <w:color w:val="auto"/>
                <w:sz w:val="24"/>
                <w:highlight w:val="none"/>
                <w:lang w:val="en-US" w:eastAsia="zh-CN"/>
              </w:rPr>
              <w:t>本项目不新增生活污水，现有生活用水3.06</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（750</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p>
          <w:p w14:paraId="4FFAFF8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②实验用水：</w:t>
            </w:r>
            <w:r>
              <w:rPr>
                <w:rFonts w:hint="eastAsia" w:cs="Times New Roman"/>
                <w:b w:val="0"/>
                <w:bCs w:val="0"/>
                <w:color w:val="auto"/>
                <w:sz w:val="24"/>
                <w:highlight w:val="none"/>
                <w:lang w:val="en-US" w:eastAsia="zh-CN"/>
              </w:rPr>
              <w:t>本次扩建项目实验用水与现有工程实验用水相比无变动，</w:t>
            </w:r>
            <w:r>
              <w:rPr>
                <w:rFonts w:hint="eastAsia" w:ascii="Times New Roman" w:hAnsi="Times New Roman" w:eastAsia="宋体" w:cs="Times New Roman"/>
                <w:b w:val="0"/>
                <w:bCs w:val="0"/>
                <w:color w:val="auto"/>
                <w:sz w:val="24"/>
                <w:highlight w:val="none"/>
                <w:lang w:val="en-US" w:eastAsia="zh-CN"/>
              </w:rPr>
              <w:t>主要用于实验器具的清洗、试剂的</w:t>
            </w:r>
            <w:r>
              <w:rPr>
                <w:rFonts w:hint="eastAsia" w:cs="Times New Roman"/>
                <w:b w:val="0"/>
                <w:bCs w:val="0"/>
                <w:color w:val="auto"/>
                <w:sz w:val="24"/>
                <w:highlight w:val="none"/>
                <w:lang w:val="en-US" w:eastAsia="zh-CN"/>
              </w:rPr>
              <w:t>配制</w:t>
            </w:r>
            <w:r>
              <w:rPr>
                <w:rFonts w:hint="eastAsia" w:ascii="Times New Roman" w:hAnsi="Times New Roman" w:eastAsia="宋体" w:cs="Times New Roman"/>
                <w:b w:val="0"/>
                <w:bCs w:val="0"/>
                <w:color w:val="auto"/>
                <w:sz w:val="24"/>
                <w:highlight w:val="none"/>
                <w:lang w:val="en-US" w:eastAsia="zh-CN"/>
              </w:rPr>
              <w:t>。实验器具清洗环节</w:t>
            </w:r>
            <w:r>
              <w:rPr>
                <w:rFonts w:hint="eastAsia" w:cs="Times New Roman"/>
                <w:b w:val="0"/>
                <w:bCs w:val="0"/>
                <w:color w:val="auto"/>
                <w:sz w:val="24"/>
                <w:highlight w:val="none"/>
                <w:lang w:val="en-US" w:eastAsia="zh-CN"/>
              </w:rPr>
              <w:t>先</w:t>
            </w:r>
            <w:r>
              <w:rPr>
                <w:rFonts w:hint="eastAsia" w:ascii="Times New Roman" w:hAnsi="Times New Roman" w:eastAsia="宋体" w:cs="Times New Roman"/>
                <w:b w:val="0"/>
                <w:bCs w:val="0"/>
                <w:color w:val="auto"/>
                <w:sz w:val="24"/>
                <w:highlight w:val="none"/>
                <w:lang w:val="en-US" w:eastAsia="zh-CN"/>
              </w:rPr>
              <w:t>使用</w:t>
            </w:r>
            <w:r>
              <w:rPr>
                <w:rFonts w:hint="eastAsia" w:cs="Times New Roman"/>
                <w:b w:val="0"/>
                <w:bCs w:val="0"/>
                <w:color w:val="auto"/>
                <w:sz w:val="24"/>
                <w:highlight w:val="none"/>
                <w:lang w:val="en-US" w:eastAsia="zh-CN"/>
              </w:rPr>
              <w:t>有机溶剂</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乙醇等</w:t>
            </w:r>
            <w:r>
              <w:rPr>
                <w:rFonts w:hint="eastAsia" w:ascii="宋体" w:hAnsi="宋体" w:cs="宋体"/>
                <w:color w:val="auto"/>
                <w:sz w:val="24"/>
                <w:highlight w:val="none"/>
                <w:lang w:eastAsia="zh-CN"/>
              </w:rPr>
              <w:t>）</w:t>
            </w:r>
            <w:r>
              <w:rPr>
                <w:rFonts w:hint="eastAsia" w:ascii="Times New Roman" w:hAnsi="Times New Roman" w:eastAsia="宋体" w:cs="Times New Roman"/>
                <w:b w:val="0"/>
                <w:bCs w:val="0"/>
                <w:color w:val="auto"/>
                <w:sz w:val="24"/>
                <w:highlight w:val="none"/>
                <w:lang w:val="en-US" w:eastAsia="zh-CN"/>
              </w:rPr>
              <w:t>清洗，第</w:t>
            </w:r>
            <w:r>
              <w:rPr>
                <w:rFonts w:hint="eastAsia" w:cs="Times New Roman"/>
                <w:b w:val="0"/>
                <w:bCs w:val="0"/>
                <w:color w:val="auto"/>
                <w:sz w:val="24"/>
                <w:highlight w:val="none"/>
                <w:lang w:val="en-US" w:eastAsia="zh-CN"/>
              </w:rPr>
              <w:t>一、二次</w:t>
            </w:r>
            <w:r>
              <w:rPr>
                <w:rFonts w:hint="eastAsia" w:ascii="Times New Roman" w:hAnsi="Times New Roman" w:eastAsia="宋体" w:cs="Times New Roman"/>
                <w:b w:val="0"/>
                <w:bCs w:val="0"/>
                <w:color w:val="auto"/>
                <w:sz w:val="24"/>
                <w:highlight w:val="none"/>
                <w:lang w:val="en-US" w:eastAsia="zh-CN"/>
              </w:rPr>
              <w:t>清洗使用</w:t>
            </w:r>
            <w:r>
              <w:rPr>
                <w:rFonts w:hint="eastAsia" w:cs="Times New Roman"/>
                <w:b w:val="0"/>
                <w:bCs w:val="0"/>
                <w:color w:val="auto"/>
                <w:sz w:val="24"/>
                <w:highlight w:val="none"/>
                <w:lang w:val="en-US" w:eastAsia="zh-CN"/>
              </w:rPr>
              <w:t>自来</w:t>
            </w:r>
            <w:r>
              <w:rPr>
                <w:rFonts w:hint="eastAsia" w:ascii="Times New Roman" w:hAnsi="Times New Roman" w:eastAsia="宋体" w:cs="Times New Roman"/>
                <w:b w:val="0"/>
                <w:bCs w:val="0"/>
                <w:color w:val="auto"/>
                <w:sz w:val="24"/>
                <w:highlight w:val="none"/>
                <w:lang w:val="en-US" w:eastAsia="zh-CN"/>
              </w:rPr>
              <w:t>水，</w:t>
            </w:r>
            <w:r>
              <w:rPr>
                <w:rFonts w:hint="eastAsia" w:cs="Times New Roman"/>
                <w:b w:val="0"/>
                <w:bCs w:val="0"/>
                <w:color w:val="auto"/>
                <w:sz w:val="24"/>
                <w:highlight w:val="none"/>
                <w:lang w:val="en-US" w:eastAsia="zh-CN"/>
              </w:rPr>
              <w:t>第五、第六次使用自来水润洗</w:t>
            </w:r>
            <w:r>
              <w:rPr>
                <w:rFonts w:hint="eastAsia" w:ascii="Times New Roman" w:hAnsi="Times New Roman" w:eastAsia="宋体" w:cs="Times New Roman"/>
                <w:b w:val="0"/>
                <w:bCs w:val="0"/>
                <w:color w:val="auto"/>
                <w:sz w:val="24"/>
                <w:highlight w:val="none"/>
                <w:lang w:val="en-US" w:eastAsia="zh-CN"/>
              </w:rPr>
              <w:t>。</w:t>
            </w:r>
          </w:p>
          <w:p w14:paraId="1A74137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实验器具清洗用水</w:t>
            </w:r>
          </w:p>
          <w:p w14:paraId="66E5DE3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根据建设单位提供资料，</w:t>
            </w:r>
            <w:r>
              <w:rPr>
                <w:rFonts w:hint="eastAsia" w:cs="Times New Roman"/>
                <w:b w:val="0"/>
                <w:bCs w:val="0"/>
                <w:color w:val="auto"/>
                <w:sz w:val="24"/>
                <w:highlight w:val="none"/>
                <w:lang w:val="en-US" w:eastAsia="zh-CN"/>
              </w:rPr>
              <w:t>现有实验器具第一、二次用水量约为0.05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第</w:t>
            </w:r>
            <w:r>
              <w:rPr>
                <w:rFonts w:hint="eastAsia" w:cs="Times New Roman"/>
                <w:b w:val="0"/>
                <w:bCs w:val="0"/>
                <w:color w:val="auto"/>
                <w:sz w:val="24"/>
                <w:highlight w:val="none"/>
                <w:lang w:val="en-US" w:eastAsia="zh-CN"/>
              </w:rPr>
              <w:t>三、四次</w:t>
            </w:r>
            <w:r>
              <w:rPr>
                <w:rFonts w:hint="eastAsia" w:ascii="Times New Roman" w:hAnsi="Times New Roman" w:eastAsia="宋体" w:cs="Times New Roman"/>
                <w:b w:val="0"/>
                <w:bCs w:val="0"/>
                <w:color w:val="auto"/>
                <w:sz w:val="24"/>
                <w:highlight w:val="none"/>
                <w:lang w:val="en-US" w:eastAsia="zh-CN"/>
              </w:rPr>
              <w:t>清洗用水消耗量</w:t>
            </w:r>
            <w:r>
              <w:rPr>
                <w:rFonts w:hint="eastAsia" w:cs="Times New Roman"/>
                <w:b w:val="0"/>
                <w:bCs w:val="0"/>
                <w:color w:val="auto"/>
                <w:sz w:val="24"/>
                <w:highlight w:val="none"/>
                <w:lang w:val="en-US" w:eastAsia="zh-CN"/>
              </w:rPr>
              <w:t>约</w:t>
            </w:r>
            <w:r>
              <w:rPr>
                <w:rFonts w:hint="eastAsia" w:ascii="Times New Roman" w:hAnsi="Times New Roman" w:eastAsia="宋体" w:cs="Times New Roman"/>
                <w:b w:val="0"/>
                <w:bCs w:val="0"/>
                <w:color w:val="auto"/>
                <w:sz w:val="24"/>
                <w:highlight w:val="none"/>
                <w:lang w:val="en-US" w:eastAsia="zh-CN"/>
              </w:rPr>
              <w:t>为</w:t>
            </w:r>
            <w:r>
              <w:rPr>
                <w:rFonts w:hint="eastAsia" w:cs="Times New Roman"/>
                <w:b w:val="0"/>
                <w:bCs w:val="0"/>
                <w:color w:val="auto"/>
                <w:sz w:val="24"/>
                <w:highlight w:val="none"/>
                <w:lang w:val="en-US" w:eastAsia="zh-CN"/>
              </w:rPr>
              <w:t>0.25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（61.25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）。类比现有项目，本次扩建项目实验器具第一、二次用水量约为0.05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第</w:t>
            </w:r>
            <w:r>
              <w:rPr>
                <w:rFonts w:hint="eastAsia" w:cs="Times New Roman"/>
                <w:b w:val="0"/>
                <w:bCs w:val="0"/>
                <w:color w:val="auto"/>
                <w:sz w:val="24"/>
                <w:highlight w:val="none"/>
                <w:lang w:val="en-US" w:eastAsia="zh-CN"/>
              </w:rPr>
              <w:t>三、四次</w:t>
            </w:r>
            <w:r>
              <w:rPr>
                <w:rFonts w:hint="eastAsia" w:ascii="Times New Roman" w:hAnsi="Times New Roman" w:eastAsia="宋体" w:cs="Times New Roman"/>
                <w:b w:val="0"/>
                <w:bCs w:val="0"/>
                <w:color w:val="auto"/>
                <w:sz w:val="24"/>
                <w:highlight w:val="none"/>
                <w:lang w:val="en-US" w:eastAsia="zh-CN"/>
              </w:rPr>
              <w:t>清洗用水消耗量</w:t>
            </w:r>
            <w:r>
              <w:rPr>
                <w:rFonts w:hint="eastAsia" w:cs="Times New Roman"/>
                <w:b w:val="0"/>
                <w:bCs w:val="0"/>
                <w:color w:val="auto"/>
                <w:sz w:val="24"/>
                <w:highlight w:val="none"/>
                <w:lang w:val="en-US" w:eastAsia="zh-CN"/>
              </w:rPr>
              <w:t>约</w:t>
            </w:r>
            <w:r>
              <w:rPr>
                <w:rFonts w:hint="eastAsia" w:ascii="Times New Roman" w:hAnsi="Times New Roman" w:eastAsia="宋体" w:cs="Times New Roman"/>
                <w:b w:val="0"/>
                <w:bCs w:val="0"/>
                <w:color w:val="auto"/>
                <w:sz w:val="24"/>
                <w:highlight w:val="none"/>
                <w:lang w:val="en-US" w:eastAsia="zh-CN"/>
              </w:rPr>
              <w:t>为</w:t>
            </w:r>
            <w:r>
              <w:rPr>
                <w:rFonts w:hint="eastAsia" w:cs="Times New Roman"/>
                <w:b w:val="0"/>
                <w:bCs w:val="0"/>
                <w:color w:val="auto"/>
                <w:sz w:val="24"/>
                <w:highlight w:val="none"/>
                <w:lang w:val="en-US" w:eastAsia="zh-CN"/>
              </w:rPr>
              <w:t>0.25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（61.25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w:t>
            </w:r>
          </w:p>
          <w:p w14:paraId="43283E5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B</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试剂</w:t>
            </w:r>
            <w:r>
              <w:rPr>
                <w:rFonts w:hint="eastAsia" w:cs="Times New Roman"/>
                <w:b w:val="0"/>
                <w:bCs w:val="0"/>
                <w:color w:val="auto"/>
                <w:sz w:val="24"/>
                <w:highlight w:val="none"/>
                <w:lang w:val="en-US" w:eastAsia="zh-CN"/>
              </w:rPr>
              <w:t>配制</w:t>
            </w:r>
            <w:r>
              <w:rPr>
                <w:rFonts w:hint="eastAsia" w:ascii="Times New Roman" w:hAnsi="Times New Roman" w:eastAsia="宋体" w:cs="Times New Roman"/>
                <w:b w:val="0"/>
                <w:bCs w:val="0"/>
                <w:color w:val="auto"/>
                <w:sz w:val="24"/>
                <w:highlight w:val="none"/>
                <w:lang w:val="en-US" w:eastAsia="zh-CN"/>
              </w:rPr>
              <w:t>用水</w:t>
            </w:r>
          </w:p>
          <w:p w14:paraId="2FDE633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实验过程中需要</w:t>
            </w:r>
            <w:r>
              <w:rPr>
                <w:rFonts w:hint="eastAsia" w:cs="Times New Roman"/>
                <w:b w:val="0"/>
                <w:bCs w:val="0"/>
                <w:color w:val="auto"/>
                <w:sz w:val="24"/>
                <w:highlight w:val="none"/>
                <w:lang w:val="en-US" w:eastAsia="zh-CN"/>
              </w:rPr>
              <w:t>配制</w:t>
            </w:r>
            <w:r>
              <w:rPr>
                <w:rFonts w:hint="eastAsia" w:ascii="Times New Roman" w:hAnsi="Times New Roman" w:eastAsia="宋体" w:cs="Times New Roman"/>
                <w:b w:val="0"/>
                <w:bCs w:val="0"/>
                <w:color w:val="auto"/>
                <w:sz w:val="24"/>
                <w:highlight w:val="none"/>
                <w:lang w:val="en-US" w:eastAsia="zh-CN"/>
              </w:rPr>
              <w:t>溶液，</w:t>
            </w:r>
            <w:r>
              <w:rPr>
                <w:rFonts w:hint="eastAsia" w:cs="Times New Roman"/>
                <w:b w:val="0"/>
                <w:bCs w:val="0"/>
                <w:color w:val="auto"/>
                <w:sz w:val="24"/>
                <w:highlight w:val="none"/>
                <w:lang w:val="en-US" w:eastAsia="zh-CN"/>
              </w:rPr>
              <w:t>根据建设单位提供资料，现有</w:t>
            </w:r>
            <w:r>
              <w:rPr>
                <w:rFonts w:hint="eastAsia" w:ascii="Times New Roman" w:hAnsi="Times New Roman" w:eastAsia="宋体" w:cs="Times New Roman"/>
                <w:b w:val="0"/>
                <w:bCs w:val="0"/>
                <w:color w:val="auto"/>
                <w:sz w:val="24"/>
                <w:highlight w:val="none"/>
                <w:lang w:val="en-US" w:eastAsia="zh-CN"/>
              </w:rPr>
              <w:t>溶液配置</w:t>
            </w:r>
            <w:r>
              <w:rPr>
                <w:rFonts w:hint="eastAsia" w:cs="Times New Roman"/>
                <w:b w:val="0"/>
                <w:bCs w:val="0"/>
                <w:color w:val="auto"/>
                <w:sz w:val="24"/>
                <w:highlight w:val="none"/>
                <w:lang w:val="en-US" w:eastAsia="zh-CN"/>
              </w:rPr>
              <w:t>纯</w:t>
            </w:r>
            <w:r>
              <w:rPr>
                <w:rFonts w:hint="eastAsia" w:ascii="Times New Roman" w:hAnsi="Times New Roman" w:eastAsia="宋体" w:cs="Times New Roman"/>
                <w:b w:val="0"/>
                <w:bCs w:val="0"/>
                <w:color w:val="auto"/>
                <w:sz w:val="24"/>
                <w:highlight w:val="none"/>
                <w:lang w:val="en-US" w:eastAsia="zh-CN"/>
              </w:rPr>
              <w:t>水用量</w:t>
            </w:r>
            <w:r>
              <w:rPr>
                <w:rFonts w:hint="eastAsia" w:cs="Times New Roman"/>
                <w:b w:val="0"/>
                <w:bCs w:val="0"/>
                <w:color w:val="auto"/>
                <w:sz w:val="24"/>
                <w:highlight w:val="none"/>
                <w:lang w:val="en-US" w:eastAsia="zh-CN"/>
              </w:rPr>
              <w:t>为约0.1</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cs="Times New Roman"/>
                <w:b w:val="0"/>
                <w:bCs w:val="0"/>
                <w:color w:val="auto"/>
                <w:sz w:val="24"/>
                <w:highlight w:val="none"/>
                <w:vertAlign w:val="baseline"/>
                <w:lang w:val="en-US" w:eastAsia="zh-CN"/>
              </w:rPr>
              <w:t>/</w:t>
            </w:r>
            <w:r>
              <w:rPr>
                <w:rFonts w:hint="eastAsia" w:cs="Times New Roman"/>
                <w:b w:val="0"/>
                <w:bCs w:val="0"/>
                <w:color w:val="auto"/>
                <w:sz w:val="24"/>
                <w:highlight w:val="none"/>
                <w:lang w:val="en-US" w:eastAsia="zh-CN"/>
              </w:rPr>
              <w:t>d（24.5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）。类比现有工程，本次扩建项目</w:t>
            </w:r>
            <w:r>
              <w:rPr>
                <w:rFonts w:hint="eastAsia" w:ascii="Times New Roman" w:hAnsi="Times New Roman" w:eastAsia="宋体" w:cs="Times New Roman"/>
                <w:b w:val="0"/>
                <w:bCs w:val="0"/>
                <w:color w:val="auto"/>
                <w:sz w:val="24"/>
                <w:highlight w:val="none"/>
                <w:lang w:val="en-US" w:eastAsia="zh-CN"/>
              </w:rPr>
              <w:t>溶液配置</w:t>
            </w:r>
            <w:r>
              <w:rPr>
                <w:rFonts w:hint="eastAsia" w:cs="Times New Roman"/>
                <w:b w:val="0"/>
                <w:bCs w:val="0"/>
                <w:color w:val="auto"/>
                <w:sz w:val="24"/>
                <w:highlight w:val="none"/>
                <w:lang w:val="en-US" w:eastAsia="zh-CN"/>
              </w:rPr>
              <w:t>纯</w:t>
            </w:r>
            <w:r>
              <w:rPr>
                <w:rFonts w:hint="eastAsia" w:ascii="Times New Roman" w:hAnsi="Times New Roman" w:eastAsia="宋体" w:cs="Times New Roman"/>
                <w:b w:val="0"/>
                <w:bCs w:val="0"/>
                <w:color w:val="auto"/>
                <w:sz w:val="24"/>
                <w:highlight w:val="none"/>
                <w:lang w:val="en-US" w:eastAsia="zh-CN"/>
              </w:rPr>
              <w:t>水用量</w:t>
            </w:r>
            <w:r>
              <w:rPr>
                <w:rFonts w:hint="eastAsia" w:cs="Times New Roman"/>
                <w:b w:val="0"/>
                <w:bCs w:val="0"/>
                <w:color w:val="auto"/>
                <w:sz w:val="24"/>
                <w:highlight w:val="none"/>
                <w:lang w:val="en-US" w:eastAsia="zh-CN"/>
              </w:rPr>
              <w:t>约为0.1</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cs="Times New Roman"/>
                <w:b w:val="0"/>
                <w:bCs w:val="0"/>
                <w:color w:val="auto"/>
                <w:sz w:val="24"/>
                <w:highlight w:val="none"/>
                <w:vertAlign w:val="baseline"/>
                <w:lang w:val="en-US" w:eastAsia="zh-CN"/>
              </w:rPr>
              <w:t>/</w:t>
            </w:r>
            <w:r>
              <w:rPr>
                <w:rFonts w:hint="eastAsia" w:cs="Times New Roman"/>
                <w:b w:val="0"/>
                <w:bCs w:val="0"/>
                <w:color w:val="auto"/>
                <w:sz w:val="24"/>
                <w:highlight w:val="none"/>
                <w:lang w:val="en-US" w:eastAsia="zh-CN"/>
              </w:rPr>
              <w:t>d（24.5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p>
          <w:p w14:paraId="228B3E1E">
            <w:pPr>
              <w:keepNext w:val="0"/>
              <w:keepLines w:val="0"/>
              <w:pageBreakBefore w:val="0"/>
              <w:widowControl w:val="0"/>
              <w:numPr>
                <w:ilvl w:val="0"/>
                <w:numId w:val="0"/>
              </w:numPr>
              <w:tabs>
                <w:tab w:val="left" w:pos="5880"/>
              </w:tabs>
              <w:kinsoku/>
              <w:wordWrap/>
              <w:overflowPunct/>
              <w:topLinePunct w:val="0"/>
              <w:autoSpaceDE w:val="0"/>
              <w:autoSpaceDN w:val="0"/>
              <w:bidi w:val="0"/>
              <w:adjustRightInd w:val="0"/>
              <w:snapToGrid/>
              <w:spacing w:before="0" w:beforeLines="0" w:line="360" w:lineRule="auto"/>
              <w:ind w:left="189" w:leftChars="90" w:firstLine="228" w:firstLineChars="95"/>
              <w:jc w:val="both"/>
              <w:textAlignment w:val="auto"/>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C</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实验仪器冷却用水</w:t>
            </w:r>
          </w:p>
          <w:p w14:paraId="2B75D3F8">
            <w:pPr>
              <w:keepNext w:val="0"/>
              <w:keepLines w:val="0"/>
              <w:pageBreakBefore w:val="0"/>
              <w:widowControl w:val="0"/>
              <w:numPr>
                <w:ilvl w:val="0"/>
                <w:numId w:val="0"/>
              </w:numPr>
              <w:kinsoku/>
              <w:wordWrap/>
              <w:overflowPunct/>
              <w:topLinePunct w:val="0"/>
              <w:autoSpaceDE w:val="0"/>
              <w:autoSpaceDN w:val="0"/>
              <w:bidi w:val="0"/>
              <w:adjustRightInd w:val="0"/>
              <w:snapToGrid/>
              <w:spacing w:before="0" w:beforeLines="0" w:line="360" w:lineRule="auto"/>
              <w:ind w:left="11" w:leftChars="0" w:firstLine="408" w:firstLineChars="170"/>
              <w:jc w:val="both"/>
              <w:textAlignment w:val="auto"/>
              <w:rPr>
                <w:rFonts w:hint="eastAsia"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本项目为研发类工程，样品冷却消除的热量小</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本项目降温使用间接方式对设备进行冷却带走热量，</w:t>
            </w:r>
            <w:r>
              <w:rPr>
                <w:rFonts w:hint="eastAsia" w:cs="Times New Roman"/>
                <w:b w:val="0"/>
                <w:bCs w:val="0"/>
                <w:color w:val="auto"/>
                <w:sz w:val="24"/>
                <w:highlight w:val="none"/>
                <w:lang w:val="en-US" w:eastAsia="zh-CN"/>
              </w:rPr>
              <w:t>部分循环使用，循环用水量约为0.75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183.75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项目现有</w:t>
            </w:r>
            <w:r>
              <w:rPr>
                <w:rFonts w:hint="eastAsia" w:ascii="Times New Roman" w:hAnsi="Times New Roman" w:eastAsia="宋体" w:cs="Times New Roman"/>
                <w:b w:val="0"/>
                <w:bCs w:val="0"/>
                <w:color w:val="auto"/>
                <w:sz w:val="24"/>
                <w:highlight w:val="none"/>
                <w:lang w:val="en-US" w:eastAsia="zh-CN"/>
              </w:rPr>
              <w:t>冷却水补充量</w:t>
            </w:r>
            <w:r>
              <w:rPr>
                <w:rFonts w:hint="eastAsia" w:cs="Times New Roman"/>
                <w:b w:val="0"/>
                <w:bCs w:val="0"/>
                <w:color w:val="auto"/>
                <w:sz w:val="24"/>
                <w:highlight w:val="none"/>
                <w:lang w:val="en-US" w:eastAsia="zh-CN"/>
              </w:rPr>
              <w:t>约1.5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367.5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，本次扩建项目新增</w:t>
            </w:r>
            <w:r>
              <w:rPr>
                <w:rFonts w:hint="eastAsia" w:ascii="Times New Roman" w:hAnsi="Times New Roman" w:eastAsia="宋体" w:cs="Times New Roman"/>
                <w:b w:val="0"/>
                <w:bCs w:val="0"/>
                <w:color w:val="auto"/>
                <w:sz w:val="24"/>
                <w:highlight w:val="none"/>
                <w:lang w:val="en-US" w:eastAsia="zh-CN"/>
              </w:rPr>
              <w:t>冷却水补充量</w:t>
            </w:r>
            <w:r>
              <w:rPr>
                <w:rFonts w:hint="eastAsia" w:cs="Times New Roman"/>
                <w:b w:val="0"/>
                <w:bCs w:val="0"/>
                <w:color w:val="auto"/>
                <w:sz w:val="24"/>
                <w:highlight w:val="none"/>
                <w:lang w:val="en-US" w:eastAsia="zh-CN"/>
              </w:rPr>
              <w:t>1.5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367.5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p>
          <w:p w14:paraId="0D2B2E7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D：</w:t>
            </w:r>
            <w:r>
              <w:rPr>
                <w:rFonts w:hint="eastAsia" w:ascii="Times New Roman" w:hAnsi="Times New Roman" w:eastAsia="宋体" w:cs="Times New Roman"/>
                <w:b w:val="0"/>
                <w:bCs w:val="0"/>
                <w:color w:val="auto"/>
                <w:sz w:val="24"/>
                <w:highlight w:val="none"/>
                <w:lang w:val="en-US" w:eastAsia="zh-CN"/>
              </w:rPr>
              <w:t>台面、地面清洗用水</w:t>
            </w:r>
          </w:p>
          <w:p w14:paraId="121DC7C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本项目</w:t>
            </w:r>
            <w:r>
              <w:rPr>
                <w:rFonts w:hint="eastAsia" w:cs="Times New Roman"/>
                <w:b w:val="0"/>
                <w:bCs w:val="0"/>
                <w:color w:val="auto"/>
                <w:sz w:val="24"/>
                <w:highlight w:val="none"/>
                <w:lang w:val="en-US" w:eastAsia="zh-CN"/>
              </w:rPr>
              <w:t>现有</w:t>
            </w:r>
            <w:r>
              <w:rPr>
                <w:rFonts w:hint="eastAsia" w:ascii="Times New Roman" w:hAnsi="Times New Roman" w:eastAsia="宋体" w:cs="Times New Roman"/>
                <w:b w:val="0"/>
                <w:bCs w:val="0"/>
                <w:color w:val="auto"/>
                <w:sz w:val="24"/>
                <w:highlight w:val="none"/>
                <w:lang w:val="en-US" w:eastAsia="zh-CN"/>
              </w:rPr>
              <w:t>清洗台面、地面等清洁用水量约</w:t>
            </w:r>
            <w:r>
              <w:rPr>
                <w:rFonts w:hint="eastAsia" w:cs="Times New Roman"/>
                <w:b w:val="0"/>
                <w:bCs w:val="0"/>
                <w:color w:val="auto"/>
                <w:sz w:val="24"/>
                <w:highlight w:val="none"/>
                <w:lang w:val="en-US" w:eastAsia="zh-CN"/>
              </w:rPr>
              <w:t>0.5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，本次扩建项目</w:t>
            </w:r>
            <w:r>
              <w:rPr>
                <w:rFonts w:hint="eastAsia" w:ascii="Times New Roman" w:hAnsi="Times New Roman" w:eastAsia="宋体" w:cs="Times New Roman"/>
                <w:b w:val="0"/>
                <w:bCs w:val="0"/>
                <w:color w:val="auto"/>
                <w:sz w:val="24"/>
                <w:highlight w:val="none"/>
                <w:lang w:val="en-US" w:eastAsia="zh-CN"/>
              </w:rPr>
              <w:t>台面、地面等清洗用水量</w:t>
            </w:r>
            <w:r>
              <w:rPr>
                <w:rFonts w:hint="eastAsia" w:cs="Times New Roman"/>
                <w:b w:val="0"/>
                <w:bCs w:val="0"/>
                <w:color w:val="auto"/>
                <w:sz w:val="24"/>
                <w:highlight w:val="none"/>
                <w:lang w:val="en-US" w:eastAsia="zh-CN"/>
              </w:rPr>
              <w:t>约0.5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p>
          <w:p w14:paraId="7FA2B480">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olor w:val="auto"/>
                <w:sz w:val="24"/>
                <w:highlight w:val="none"/>
                <w:lang w:val="en-US" w:eastAsia="zh-CN"/>
              </w:rPr>
              <w:t>本项目</w:t>
            </w:r>
            <w:r>
              <w:rPr>
                <w:rFonts w:hint="eastAsia"/>
                <w:color w:val="auto"/>
                <w:sz w:val="24"/>
                <w:highlight w:val="none"/>
              </w:rPr>
              <w:t>用于试剂配制的用水</w:t>
            </w:r>
            <w:r>
              <w:rPr>
                <w:rFonts w:hint="eastAsia"/>
                <w:color w:val="auto"/>
                <w:sz w:val="24"/>
                <w:highlight w:val="none"/>
                <w:lang w:val="en-US" w:eastAsia="zh-CN"/>
              </w:rPr>
              <w:t>为纯水，由实验室纯水机制备，其</w:t>
            </w:r>
            <w:r>
              <w:rPr>
                <w:rFonts w:hint="eastAsia"/>
                <w:color w:val="auto"/>
                <w:sz w:val="24"/>
                <w:highlight w:val="none"/>
              </w:rPr>
              <w:t>产水率为</w:t>
            </w:r>
            <w:r>
              <w:rPr>
                <w:rFonts w:hint="eastAsia"/>
                <w:color w:val="auto"/>
                <w:sz w:val="24"/>
                <w:highlight w:val="none"/>
                <w:lang w:val="en-US" w:eastAsia="zh-CN"/>
              </w:rPr>
              <w:t>约</w:t>
            </w:r>
            <w:r>
              <w:rPr>
                <w:rFonts w:hint="eastAsia"/>
                <w:color w:val="auto"/>
                <w:sz w:val="24"/>
                <w:highlight w:val="none"/>
              </w:rPr>
              <w:t>70%，</w:t>
            </w:r>
            <w:r>
              <w:rPr>
                <w:rFonts w:hint="eastAsia" w:cs="Times New Roman"/>
                <w:b w:val="0"/>
                <w:bCs w:val="0"/>
                <w:color w:val="auto"/>
                <w:sz w:val="24"/>
                <w:highlight w:val="none"/>
                <w:lang w:val="en-US" w:eastAsia="zh-CN"/>
              </w:rPr>
              <w:t>本次扩建项目</w:t>
            </w:r>
            <w:r>
              <w:rPr>
                <w:rFonts w:hint="eastAsia"/>
                <w:color w:val="auto"/>
                <w:sz w:val="24"/>
                <w:highlight w:val="none"/>
                <w:lang w:val="en-US" w:eastAsia="zh-CN"/>
              </w:rPr>
              <w:t>纯水用量0.1</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24.5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color w:val="auto"/>
                <w:sz w:val="24"/>
                <w:highlight w:val="none"/>
                <w:lang w:val="en-US" w:eastAsia="zh-CN"/>
              </w:rPr>
              <w:t>所需新鲜自来水为0.12</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w:t>
            </w:r>
            <w:r>
              <w:rPr>
                <w:rFonts w:hint="eastAsia"/>
                <w:color w:val="auto"/>
                <w:sz w:val="24"/>
                <w:highlight w:val="none"/>
                <w:lang w:val="en-US" w:eastAsia="zh-CN"/>
              </w:rPr>
              <w:t>30</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/a</w:t>
            </w:r>
            <w:r>
              <w:rPr>
                <w:rFonts w:hint="eastAsia" w:cs="Times New Roman"/>
                <w:b w:val="0"/>
                <w:bCs w:val="0"/>
                <w:color w:val="auto"/>
                <w:sz w:val="24"/>
                <w:highlight w:val="none"/>
                <w:lang w:val="en-US" w:eastAsia="zh-CN"/>
              </w:rPr>
              <w:t>）</w:t>
            </w:r>
            <w:r>
              <w:rPr>
                <w:rFonts w:hint="eastAsia"/>
                <w:color w:val="auto"/>
                <w:sz w:val="24"/>
                <w:highlight w:val="none"/>
              </w:rPr>
              <w:t>。</w:t>
            </w:r>
          </w:p>
          <w:p w14:paraId="6E67D372">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综上：</w:t>
            </w:r>
            <w:r>
              <w:rPr>
                <w:rFonts w:hint="eastAsia" w:cs="Times New Roman"/>
                <w:b w:val="0"/>
                <w:bCs w:val="0"/>
                <w:color w:val="auto"/>
                <w:sz w:val="24"/>
                <w:highlight w:val="none"/>
                <w:lang w:val="en-US" w:eastAsia="zh-CN"/>
              </w:rPr>
              <w:t>本次扩建项目新鲜水</w:t>
            </w:r>
            <w:r>
              <w:rPr>
                <w:rFonts w:hint="eastAsia" w:ascii="Times New Roman" w:hAnsi="Times New Roman" w:eastAsia="宋体" w:cs="Times New Roman"/>
                <w:b w:val="0"/>
                <w:bCs w:val="0"/>
                <w:color w:val="auto"/>
                <w:sz w:val="24"/>
                <w:highlight w:val="none"/>
                <w:lang w:val="en-US" w:eastAsia="zh-CN"/>
              </w:rPr>
              <w:t>使用量为</w:t>
            </w:r>
            <w:r>
              <w:rPr>
                <w:rFonts w:hint="eastAsia" w:cs="Times New Roman"/>
                <w:b w:val="0"/>
                <w:bCs w:val="0"/>
                <w:color w:val="auto"/>
                <w:sz w:val="24"/>
                <w:highlight w:val="none"/>
                <w:vertAlign w:val="baseline"/>
                <w:lang w:val="en-US" w:eastAsia="zh-CN"/>
              </w:rPr>
              <w:t>（</w:t>
            </w:r>
            <w:r>
              <w:rPr>
                <w:rFonts w:hint="eastAsia" w:cs="Times New Roman"/>
                <w:b w:val="0"/>
                <w:bCs w:val="0"/>
                <w:color w:val="auto"/>
                <w:sz w:val="24"/>
                <w:highlight w:val="none"/>
                <w:lang w:val="en-US" w:eastAsia="zh-CN"/>
              </w:rPr>
              <w:t>2.44m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vertAlign w:val="baseline"/>
                <w:lang w:val="en-US" w:eastAsia="zh-CN"/>
              </w:rPr>
              <w:t>/d）</w:t>
            </w:r>
            <w:r>
              <w:rPr>
                <w:rFonts w:hint="eastAsia" w:cs="Times New Roman"/>
                <w:b w:val="0"/>
                <w:bCs w:val="0"/>
                <w:color w:val="auto"/>
                <w:sz w:val="24"/>
                <w:highlight w:val="none"/>
                <w:lang w:val="en-US" w:eastAsia="zh-CN"/>
              </w:rPr>
              <w:t>598.5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p>
          <w:p w14:paraId="2A2BB78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2" w:firstLineChars="200"/>
              <w:jc w:val="both"/>
              <w:textAlignment w:val="auto"/>
              <w:rPr>
                <w:rFonts w:hint="eastAsia" w:ascii="Times New Roman" w:hAnsi="Times New Roman" w:eastAsia="宋体" w:cs="Times New Roman"/>
                <w:b/>
                <w:bCs/>
                <w:color w:val="auto"/>
                <w:sz w:val="24"/>
                <w:highlight w:val="none"/>
                <w:lang w:val="en-US" w:eastAsia="zh-CN"/>
              </w:rPr>
            </w:pPr>
            <w:r>
              <w:rPr>
                <w:rFonts w:hint="eastAsia" w:cs="Times New Roman"/>
                <w:b/>
                <w:bCs/>
                <w:color w:val="auto"/>
                <w:kern w:val="2"/>
                <w:sz w:val="24"/>
                <w:szCs w:val="24"/>
                <w:highlight w:val="none"/>
                <w:lang w:val="en-US" w:eastAsia="zh-CN" w:bidi="ar-SA"/>
              </w:rPr>
              <w:t>（2）</w:t>
            </w:r>
            <w:r>
              <w:rPr>
                <w:rFonts w:hint="eastAsia" w:ascii="Times New Roman" w:hAnsi="Times New Roman" w:eastAsia="宋体" w:cs="Times New Roman"/>
                <w:b/>
                <w:bCs/>
                <w:color w:val="auto"/>
                <w:sz w:val="24"/>
                <w:highlight w:val="none"/>
                <w:lang w:val="en-US" w:eastAsia="zh-CN"/>
              </w:rPr>
              <w:t>排水</w:t>
            </w:r>
          </w:p>
          <w:p w14:paraId="25D16CC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本次扩建项目</w:t>
            </w:r>
            <w:r>
              <w:rPr>
                <w:rFonts w:hint="eastAsia" w:ascii="Times New Roman" w:hAnsi="Times New Roman" w:eastAsia="宋体" w:cs="Times New Roman"/>
                <w:b w:val="0"/>
                <w:bCs w:val="0"/>
                <w:color w:val="auto"/>
                <w:sz w:val="24"/>
                <w:highlight w:val="none"/>
                <w:lang w:val="en-US" w:eastAsia="zh-CN"/>
              </w:rPr>
              <w:t>废水主要为实验清洗废水</w:t>
            </w:r>
            <w:r>
              <w:rPr>
                <w:rFonts w:hint="eastAsia" w:cs="Times New Roman"/>
                <w:b w:val="0"/>
                <w:bCs w:val="0"/>
                <w:color w:val="auto"/>
                <w:sz w:val="24"/>
                <w:highlight w:val="none"/>
                <w:lang w:val="en-US" w:eastAsia="zh-CN"/>
              </w:rPr>
              <w:t>、纯水机尾水、循环冷却外排水，</w:t>
            </w:r>
          </w:p>
          <w:p w14:paraId="548BC3BA">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①实</w:t>
            </w:r>
            <w:r>
              <w:rPr>
                <w:rFonts w:hint="eastAsia" w:ascii="Times New Roman" w:hAnsi="Times New Roman" w:eastAsia="宋体" w:cs="Times New Roman"/>
                <w:b w:val="0"/>
                <w:bCs w:val="0"/>
                <w:color w:val="auto"/>
                <w:sz w:val="24"/>
                <w:highlight w:val="none"/>
                <w:lang w:val="en-US" w:eastAsia="zh-CN"/>
              </w:rPr>
              <w:t>验清洗废水：前两次</w:t>
            </w:r>
            <w:r>
              <w:rPr>
                <w:rFonts w:hint="eastAsia" w:cs="Times New Roman"/>
                <w:b w:val="0"/>
                <w:bCs w:val="0"/>
                <w:color w:val="auto"/>
                <w:sz w:val="24"/>
                <w:highlight w:val="none"/>
                <w:lang w:val="en-US" w:eastAsia="zh-CN"/>
              </w:rPr>
              <w:t>使用有机溶剂清洗产生的</w:t>
            </w:r>
            <w:r>
              <w:rPr>
                <w:rFonts w:hint="eastAsia" w:ascii="Times New Roman" w:hAnsi="Times New Roman" w:eastAsia="宋体" w:cs="Times New Roman"/>
                <w:b w:val="0"/>
                <w:bCs w:val="0"/>
                <w:color w:val="auto"/>
                <w:sz w:val="24"/>
                <w:highlight w:val="none"/>
                <w:lang w:val="en-US" w:eastAsia="zh-CN"/>
              </w:rPr>
              <w:t>清洗废液作为危险废物暂存于危废</w:t>
            </w:r>
            <w:r>
              <w:rPr>
                <w:rFonts w:hint="eastAsia" w:cs="Times New Roman"/>
                <w:b w:val="0"/>
                <w:bCs w:val="0"/>
                <w:color w:val="auto"/>
                <w:sz w:val="24"/>
                <w:highlight w:val="none"/>
                <w:lang w:val="en-US" w:eastAsia="zh-CN"/>
              </w:rPr>
              <w:t>贮存库</w:t>
            </w:r>
            <w:r>
              <w:rPr>
                <w:rFonts w:hint="eastAsia" w:ascii="Times New Roman" w:hAnsi="Times New Roman" w:eastAsia="宋体" w:cs="Times New Roman"/>
                <w:b w:val="0"/>
                <w:bCs w:val="0"/>
                <w:color w:val="auto"/>
                <w:sz w:val="24"/>
                <w:highlight w:val="none"/>
                <w:lang w:val="en-US" w:eastAsia="zh-CN"/>
              </w:rPr>
              <w:t>内，定期交由</w:t>
            </w:r>
            <w:r>
              <w:rPr>
                <w:rFonts w:hint="eastAsia" w:cs="Times New Roman"/>
                <w:b w:val="0"/>
                <w:bCs w:val="0"/>
                <w:color w:val="auto"/>
                <w:sz w:val="24"/>
                <w:highlight w:val="none"/>
                <w:lang w:val="en-US" w:eastAsia="zh-CN"/>
              </w:rPr>
              <w:t>陕西水发环境有限公司</w:t>
            </w:r>
            <w:r>
              <w:rPr>
                <w:rFonts w:hint="eastAsia" w:ascii="Times New Roman" w:hAnsi="Times New Roman" w:eastAsia="宋体" w:cs="Times New Roman"/>
                <w:b w:val="0"/>
                <w:bCs w:val="0"/>
                <w:color w:val="auto"/>
                <w:sz w:val="24"/>
                <w:highlight w:val="none"/>
                <w:lang w:val="en-US" w:eastAsia="zh-CN"/>
              </w:rPr>
              <w:t>收运处置</w:t>
            </w:r>
            <w:r>
              <w:rPr>
                <w:rFonts w:hint="eastAsia" w:cs="Times New Roman"/>
                <w:b w:val="0"/>
                <w:bCs w:val="0"/>
                <w:color w:val="auto"/>
                <w:sz w:val="24"/>
                <w:highlight w:val="none"/>
                <w:lang w:val="en-US" w:eastAsia="zh-CN"/>
              </w:rPr>
              <w:t>，本次扩建项目</w:t>
            </w:r>
            <w:r>
              <w:rPr>
                <w:rFonts w:hint="eastAsia" w:ascii="Times New Roman" w:hAnsi="Times New Roman" w:eastAsia="宋体" w:cs="Times New Roman"/>
                <w:b w:val="0"/>
                <w:bCs w:val="0"/>
                <w:color w:val="auto"/>
                <w:sz w:val="24"/>
                <w:highlight w:val="none"/>
                <w:lang w:val="en-US" w:eastAsia="zh-CN"/>
              </w:rPr>
              <w:t>实验器具</w:t>
            </w:r>
            <w:r>
              <w:rPr>
                <w:rFonts w:hint="eastAsia" w:cs="Times New Roman"/>
                <w:b w:val="0"/>
                <w:bCs w:val="0"/>
                <w:color w:val="auto"/>
                <w:sz w:val="24"/>
                <w:highlight w:val="none"/>
                <w:lang w:val="en-US" w:eastAsia="zh-CN"/>
              </w:rPr>
              <w:t>第一、二次使用自来水清洗用水量为0.05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），产污系数取0.8，废水产生量为0.04</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（9.8</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），作为危险废物暂存于危废贮存库，定期交由陕西水发环境有限公司收运处置；本次扩建项目</w:t>
            </w:r>
            <w:r>
              <w:rPr>
                <w:rFonts w:hint="eastAsia" w:ascii="Times New Roman" w:hAnsi="Times New Roman" w:eastAsia="宋体" w:cs="Times New Roman"/>
                <w:b w:val="0"/>
                <w:bCs w:val="0"/>
                <w:color w:val="auto"/>
                <w:sz w:val="24"/>
                <w:highlight w:val="none"/>
                <w:lang w:val="en-US" w:eastAsia="zh-CN"/>
              </w:rPr>
              <w:t>第</w:t>
            </w:r>
            <w:r>
              <w:rPr>
                <w:rFonts w:hint="eastAsia" w:cs="Times New Roman"/>
                <w:b w:val="0"/>
                <w:bCs w:val="0"/>
                <w:color w:val="auto"/>
                <w:sz w:val="24"/>
                <w:highlight w:val="none"/>
                <w:lang w:val="en-US" w:eastAsia="zh-CN"/>
              </w:rPr>
              <w:t>三、四次使用自来水</w:t>
            </w:r>
            <w:r>
              <w:rPr>
                <w:rFonts w:hint="eastAsia" w:ascii="Times New Roman" w:hAnsi="Times New Roman" w:eastAsia="宋体" w:cs="Times New Roman"/>
                <w:b w:val="0"/>
                <w:bCs w:val="0"/>
                <w:color w:val="auto"/>
                <w:sz w:val="24"/>
                <w:highlight w:val="none"/>
                <w:lang w:val="en-US" w:eastAsia="zh-CN"/>
              </w:rPr>
              <w:t>清洗用水量</w:t>
            </w:r>
            <w:r>
              <w:rPr>
                <w:rFonts w:hint="eastAsia" w:cs="Times New Roman"/>
                <w:b w:val="0"/>
                <w:bCs w:val="0"/>
                <w:color w:val="auto"/>
                <w:sz w:val="24"/>
                <w:highlight w:val="none"/>
                <w:lang w:val="en-US" w:eastAsia="zh-CN"/>
              </w:rPr>
              <w:t>约</w:t>
            </w:r>
            <w:r>
              <w:rPr>
                <w:rFonts w:hint="eastAsia" w:ascii="Times New Roman" w:hAnsi="Times New Roman" w:eastAsia="宋体" w:cs="Times New Roman"/>
                <w:b w:val="0"/>
                <w:bCs w:val="0"/>
                <w:color w:val="auto"/>
                <w:sz w:val="24"/>
                <w:highlight w:val="none"/>
                <w:lang w:val="en-US" w:eastAsia="zh-CN"/>
              </w:rPr>
              <w:t>为</w:t>
            </w:r>
            <w:r>
              <w:rPr>
                <w:rFonts w:hint="eastAsia" w:cs="Times New Roman"/>
                <w:b w:val="0"/>
                <w:bCs w:val="0"/>
                <w:color w:val="auto"/>
                <w:sz w:val="24"/>
                <w:highlight w:val="none"/>
                <w:lang w:val="en-US" w:eastAsia="zh-CN"/>
              </w:rPr>
              <w:t>0.25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（61.25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，产污系数取0.8，则第</w:t>
            </w:r>
            <w:r>
              <w:rPr>
                <w:rFonts w:hint="eastAsia" w:cs="Times New Roman"/>
                <w:b w:val="0"/>
                <w:bCs w:val="0"/>
                <w:color w:val="auto"/>
                <w:sz w:val="24"/>
                <w:highlight w:val="none"/>
                <w:lang w:val="en-US" w:eastAsia="zh-CN"/>
              </w:rPr>
              <w:t>三、四次</w:t>
            </w:r>
            <w:r>
              <w:rPr>
                <w:rFonts w:hint="eastAsia" w:ascii="Times New Roman" w:hAnsi="Times New Roman" w:eastAsia="宋体" w:cs="Times New Roman"/>
                <w:b w:val="0"/>
                <w:bCs w:val="0"/>
                <w:color w:val="auto"/>
                <w:sz w:val="24"/>
                <w:highlight w:val="none"/>
                <w:lang w:val="en-US" w:eastAsia="zh-CN"/>
              </w:rPr>
              <w:t>清洗废水产生量为</w:t>
            </w:r>
            <w:r>
              <w:rPr>
                <w:rFonts w:hint="eastAsia" w:cs="Times New Roman"/>
                <w:b w:val="0"/>
                <w:bCs w:val="0"/>
                <w:color w:val="auto"/>
                <w:sz w:val="24"/>
                <w:highlight w:val="none"/>
                <w:lang w:val="en-US" w:eastAsia="zh-CN"/>
              </w:rPr>
              <w:t>0.2</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49</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/a</w:t>
            </w:r>
            <w:r>
              <w:rPr>
                <w:rFonts w:hint="eastAsia" w:ascii="Times New Roman" w:hAnsi="Times New Roman" w:eastAsia="宋体" w:cs="Times New Roman"/>
                <w:b w:val="0"/>
                <w:bCs w:val="0"/>
                <w:color w:val="auto"/>
                <w:sz w:val="24"/>
                <w:highlight w:val="none"/>
                <w:lang w:val="en-US" w:eastAsia="zh-CN"/>
              </w:rPr>
              <w:t>）</w:t>
            </w:r>
          </w:p>
          <w:p w14:paraId="6F1758A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项目全厂</w:t>
            </w:r>
            <w:r>
              <w:rPr>
                <w:rFonts w:hint="eastAsia" w:ascii="Times New Roman" w:hAnsi="Times New Roman" w:eastAsia="宋体" w:cs="Times New Roman"/>
                <w:b w:val="0"/>
                <w:bCs w:val="0"/>
                <w:color w:val="auto"/>
                <w:sz w:val="24"/>
                <w:highlight w:val="none"/>
                <w:lang w:val="en-US" w:eastAsia="zh-CN"/>
              </w:rPr>
              <w:t>第</w:t>
            </w:r>
            <w:r>
              <w:rPr>
                <w:rFonts w:hint="eastAsia" w:cs="Times New Roman"/>
                <w:b w:val="0"/>
                <w:bCs w:val="0"/>
                <w:color w:val="auto"/>
                <w:sz w:val="24"/>
                <w:highlight w:val="none"/>
                <w:lang w:val="en-US" w:eastAsia="zh-CN"/>
              </w:rPr>
              <w:t>三、四次</w:t>
            </w:r>
            <w:r>
              <w:rPr>
                <w:rFonts w:hint="eastAsia" w:ascii="Times New Roman" w:hAnsi="Times New Roman" w:eastAsia="宋体" w:cs="Times New Roman"/>
                <w:b w:val="0"/>
                <w:bCs w:val="0"/>
                <w:color w:val="auto"/>
                <w:sz w:val="24"/>
                <w:highlight w:val="none"/>
                <w:lang w:val="en-US" w:eastAsia="zh-CN"/>
              </w:rPr>
              <w:t>清洗废水经</w:t>
            </w:r>
            <w:r>
              <w:rPr>
                <w:rFonts w:hint="eastAsia" w:cs="Times New Roman"/>
                <w:b w:val="0"/>
                <w:bCs w:val="0"/>
                <w:color w:val="auto"/>
                <w:sz w:val="24"/>
                <w:highlight w:val="none"/>
                <w:lang w:val="en-US" w:eastAsia="zh-CN"/>
              </w:rPr>
              <w:t>现有</w:t>
            </w:r>
            <w:r>
              <w:rPr>
                <w:rFonts w:hint="eastAsia" w:ascii="Times New Roman" w:hAnsi="Times New Roman" w:eastAsia="宋体" w:cs="Times New Roman"/>
                <w:b w:val="0"/>
                <w:bCs w:val="0"/>
                <w:color w:val="auto"/>
                <w:sz w:val="24"/>
                <w:highlight w:val="none"/>
                <w:lang w:val="en-US" w:eastAsia="zh-CN"/>
              </w:rPr>
              <w:t>自建的污水</w:t>
            </w:r>
            <w:r>
              <w:rPr>
                <w:rFonts w:hint="eastAsia" w:cs="Times New Roman"/>
                <w:b w:val="0"/>
                <w:bCs w:val="0"/>
                <w:color w:val="auto"/>
                <w:sz w:val="24"/>
                <w:highlight w:val="none"/>
                <w:lang w:val="en-US" w:eastAsia="zh-CN"/>
              </w:rPr>
              <w:t>处理设施</w:t>
            </w:r>
            <w:r>
              <w:rPr>
                <w:rFonts w:hint="eastAsia" w:ascii="Times New Roman" w:hAnsi="Times New Roman" w:eastAsia="宋体" w:cs="Times New Roman"/>
                <w:b w:val="0"/>
                <w:bCs w:val="0"/>
                <w:color w:val="auto"/>
                <w:sz w:val="24"/>
                <w:highlight w:val="none"/>
                <w:lang w:val="en-US" w:eastAsia="zh-CN"/>
              </w:rPr>
              <w:t>预处理后同</w:t>
            </w:r>
            <w:r>
              <w:rPr>
                <w:rFonts w:hint="eastAsia" w:cs="Times New Roman"/>
                <w:b w:val="0"/>
                <w:bCs w:val="0"/>
                <w:color w:val="auto"/>
                <w:sz w:val="24"/>
                <w:highlight w:val="none"/>
                <w:lang w:val="en-US" w:eastAsia="zh-CN"/>
              </w:rPr>
              <w:t>现有</w:t>
            </w:r>
            <w:r>
              <w:rPr>
                <w:rFonts w:hint="eastAsia" w:ascii="Times New Roman" w:hAnsi="Times New Roman" w:eastAsia="宋体" w:cs="Times New Roman"/>
                <w:b w:val="0"/>
                <w:bCs w:val="0"/>
                <w:color w:val="auto"/>
                <w:sz w:val="24"/>
                <w:highlight w:val="none"/>
                <w:lang w:val="en-US" w:eastAsia="zh-CN"/>
              </w:rPr>
              <w:t>生活污水一起进入</w:t>
            </w:r>
            <w:r>
              <w:rPr>
                <w:rFonts w:hint="eastAsia" w:cs="Times New Roman"/>
                <w:b w:val="0"/>
                <w:bCs w:val="0"/>
                <w:color w:val="auto"/>
                <w:sz w:val="24"/>
                <w:highlight w:val="none"/>
                <w:lang w:val="en-US" w:eastAsia="zh-CN"/>
              </w:rPr>
              <w:t>园区</w:t>
            </w:r>
            <w:r>
              <w:rPr>
                <w:rFonts w:hint="eastAsia" w:ascii="Times New Roman" w:hAnsi="Times New Roman" w:eastAsia="宋体" w:cs="Times New Roman"/>
                <w:b w:val="0"/>
                <w:bCs w:val="0"/>
                <w:color w:val="auto"/>
                <w:sz w:val="24"/>
                <w:highlight w:val="none"/>
                <w:lang w:val="en-US" w:eastAsia="zh-CN"/>
              </w:rPr>
              <w:t>化粪池处理</w:t>
            </w:r>
            <w:r>
              <w:rPr>
                <w:rFonts w:hint="eastAsia" w:cs="Times New Roman"/>
                <w:b w:val="0"/>
                <w:bCs w:val="0"/>
                <w:color w:val="auto"/>
                <w:sz w:val="24"/>
                <w:highlight w:val="none"/>
                <w:lang w:val="en-US" w:eastAsia="zh-CN"/>
              </w:rPr>
              <w:t>后，</w:t>
            </w:r>
            <w:r>
              <w:rPr>
                <w:rFonts w:hint="eastAsia" w:ascii="Times New Roman" w:hAnsi="Times New Roman" w:eastAsia="宋体" w:cs="Times New Roman"/>
                <w:b w:val="0"/>
                <w:bCs w:val="0"/>
                <w:color w:val="auto"/>
                <w:sz w:val="24"/>
                <w:highlight w:val="none"/>
                <w:lang w:val="en-US" w:eastAsia="zh-CN"/>
              </w:rPr>
              <w:t>通过市政污水管网排入西安净水处理有限责任公司第六再生水厂进一步处理。</w:t>
            </w:r>
          </w:p>
          <w:p w14:paraId="0D2601C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default" w:cs="Times New Roman"/>
                <w:b w:val="0"/>
                <w:bCs w:val="0"/>
                <w:color w:val="auto"/>
                <w:sz w:val="24"/>
                <w:highlight w:val="none"/>
                <w:lang w:val="en-US" w:eastAsia="zh-CN"/>
              </w:rPr>
            </w:pPr>
            <w:r>
              <w:rPr>
                <w:rFonts w:hint="default" w:cs="Times New Roman"/>
                <w:b w:val="0"/>
                <w:bCs w:val="0"/>
                <w:color w:val="auto"/>
                <w:sz w:val="24"/>
                <w:highlight w:val="none"/>
                <w:lang w:val="en-US" w:eastAsia="zh-CN"/>
              </w:rPr>
              <w:t>②</w:t>
            </w:r>
            <w:r>
              <w:rPr>
                <w:rFonts w:hint="eastAsia" w:ascii="Times New Roman" w:hAnsi="Times New Roman" w:eastAsia="宋体" w:cs="Times New Roman"/>
                <w:b w:val="0"/>
                <w:bCs w:val="0"/>
                <w:color w:val="auto"/>
                <w:sz w:val="24"/>
                <w:highlight w:val="none"/>
                <w:lang w:val="en-US" w:eastAsia="zh-CN"/>
              </w:rPr>
              <w:t>试剂</w:t>
            </w:r>
            <w:r>
              <w:rPr>
                <w:rFonts w:hint="eastAsia" w:cs="Times New Roman"/>
                <w:b w:val="0"/>
                <w:bCs w:val="0"/>
                <w:color w:val="auto"/>
                <w:sz w:val="24"/>
                <w:highlight w:val="none"/>
                <w:lang w:val="en-US" w:eastAsia="zh-CN"/>
              </w:rPr>
              <w:t>配制废水：</w:t>
            </w:r>
            <w:r>
              <w:rPr>
                <w:rFonts w:hint="eastAsia" w:cs="Times New Roman"/>
                <w:color w:val="auto"/>
                <w:kern w:val="0"/>
                <w:sz w:val="24"/>
                <w:szCs w:val="24"/>
                <w:highlight w:val="none"/>
                <w:lang w:val="en-US" w:eastAsia="zh-CN" w:bidi="ar"/>
              </w:rPr>
              <w:t>本次扩建项目进入研发物料用水量</w:t>
            </w:r>
            <w:r>
              <w:rPr>
                <w:rFonts w:hint="eastAsia" w:cs="Times New Roman"/>
                <w:b w:val="0"/>
                <w:bCs w:val="0"/>
                <w:color w:val="auto"/>
                <w:sz w:val="24"/>
                <w:highlight w:val="none"/>
                <w:lang w:val="en-US" w:eastAsia="zh-CN"/>
              </w:rPr>
              <w:t>约0.1</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cs="Times New Roman"/>
                <w:b w:val="0"/>
                <w:bCs w:val="0"/>
                <w:color w:val="auto"/>
                <w:sz w:val="24"/>
                <w:highlight w:val="none"/>
                <w:vertAlign w:val="baseline"/>
                <w:lang w:val="en-US" w:eastAsia="zh-CN"/>
              </w:rPr>
              <w:t>/</w:t>
            </w:r>
            <w:r>
              <w:rPr>
                <w:rFonts w:hint="eastAsia" w:cs="Times New Roman"/>
                <w:b w:val="0"/>
                <w:bCs w:val="0"/>
                <w:color w:val="auto"/>
                <w:sz w:val="24"/>
                <w:highlight w:val="none"/>
                <w:lang w:val="en-US" w:eastAsia="zh-CN"/>
              </w:rPr>
              <w:t>d（24.5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cs="Times New Roman"/>
                <w:color w:val="auto"/>
                <w:kern w:val="0"/>
                <w:sz w:val="24"/>
                <w:szCs w:val="24"/>
                <w:highlight w:val="none"/>
                <w:lang w:val="en-US" w:eastAsia="zh-CN" w:bidi="ar"/>
              </w:rPr>
              <w:t>，本次评价按最不利条件进行计算，进入研发物均未达到预期，按20%耗损率，0.08</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w:t>
            </w:r>
            <w:r>
              <w:rPr>
                <w:rFonts w:hint="eastAsia" w:cs="Times New Roman"/>
                <w:color w:val="auto"/>
                <w:kern w:val="0"/>
                <w:sz w:val="24"/>
                <w:szCs w:val="24"/>
                <w:highlight w:val="none"/>
                <w:lang w:val="en-US" w:eastAsia="zh-CN" w:bidi="ar"/>
              </w:rPr>
              <w:t>19.8</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cs="Times New Roman"/>
                <w:color w:val="auto"/>
                <w:kern w:val="0"/>
                <w:sz w:val="24"/>
                <w:szCs w:val="24"/>
                <w:highlight w:val="none"/>
                <w:lang w:val="en-US" w:eastAsia="zh-CN" w:bidi="ar"/>
              </w:rPr>
              <w:t>/a</w:t>
            </w:r>
            <w:r>
              <w:rPr>
                <w:rFonts w:hint="eastAsia" w:cs="Times New Roman"/>
                <w:b w:val="0"/>
                <w:bCs w:val="0"/>
                <w:color w:val="auto"/>
                <w:sz w:val="24"/>
                <w:highlight w:val="none"/>
                <w:lang w:val="en-US" w:eastAsia="zh-CN"/>
              </w:rPr>
              <w:t>）试剂配制废液</w:t>
            </w:r>
            <w:r>
              <w:rPr>
                <w:rFonts w:hint="eastAsia" w:cs="Times New Roman"/>
                <w:color w:val="auto"/>
                <w:kern w:val="0"/>
                <w:sz w:val="24"/>
                <w:szCs w:val="24"/>
                <w:highlight w:val="none"/>
                <w:lang w:val="en-US" w:eastAsia="zh-CN" w:bidi="ar"/>
              </w:rPr>
              <w:t>作为危险废物处置。不外排。</w:t>
            </w:r>
          </w:p>
          <w:p w14:paraId="4A8B987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color w:val="auto"/>
                <w:sz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③</w:t>
            </w:r>
            <w:r>
              <w:rPr>
                <w:rFonts w:hint="eastAsia" w:ascii="Times New Roman" w:hAnsi="Times New Roman" w:eastAsia="宋体" w:cs="Times New Roman"/>
                <w:b w:val="0"/>
                <w:bCs w:val="0"/>
                <w:color w:val="auto"/>
                <w:sz w:val="24"/>
                <w:highlight w:val="none"/>
                <w:lang w:val="en-US" w:eastAsia="zh-CN"/>
              </w:rPr>
              <w:t>清洗台面、地面废水：</w:t>
            </w:r>
            <w:r>
              <w:rPr>
                <w:rFonts w:hint="eastAsia" w:cs="Times New Roman"/>
                <w:b w:val="0"/>
                <w:bCs w:val="0"/>
                <w:color w:val="auto"/>
                <w:sz w:val="24"/>
                <w:highlight w:val="none"/>
                <w:lang w:val="en-US" w:eastAsia="zh-CN"/>
              </w:rPr>
              <w:t>本次扩建项目</w:t>
            </w:r>
            <w:r>
              <w:rPr>
                <w:rFonts w:hint="eastAsia" w:ascii="Times New Roman" w:hAnsi="Times New Roman" w:eastAsia="宋体" w:cs="Times New Roman"/>
                <w:b w:val="0"/>
                <w:bCs w:val="0"/>
                <w:color w:val="auto"/>
                <w:sz w:val="24"/>
                <w:highlight w:val="none"/>
                <w:lang w:val="en-US" w:eastAsia="zh-CN"/>
              </w:rPr>
              <w:t>台面、地面等清</w:t>
            </w:r>
            <w:r>
              <w:rPr>
                <w:rFonts w:hint="eastAsia" w:cs="Times New Roman"/>
                <w:b w:val="0"/>
                <w:bCs w:val="0"/>
                <w:color w:val="auto"/>
                <w:sz w:val="24"/>
                <w:highlight w:val="none"/>
                <w:lang w:val="en-US" w:eastAsia="zh-CN"/>
              </w:rPr>
              <w:t>洗</w:t>
            </w:r>
            <w:r>
              <w:rPr>
                <w:rFonts w:hint="eastAsia" w:ascii="Times New Roman" w:hAnsi="Times New Roman" w:eastAsia="宋体" w:cs="Times New Roman"/>
                <w:b w:val="0"/>
                <w:bCs w:val="0"/>
                <w:color w:val="auto"/>
                <w:sz w:val="24"/>
                <w:highlight w:val="none"/>
                <w:lang w:val="en-US" w:eastAsia="zh-CN"/>
              </w:rPr>
              <w:t>用水量约</w:t>
            </w:r>
            <w:r>
              <w:rPr>
                <w:rFonts w:hint="eastAsia" w:cs="Times New Roman"/>
                <w:b w:val="0"/>
                <w:bCs w:val="0"/>
                <w:color w:val="auto"/>
                <w:sz w:val="24"/>
                <w:highlight w:val="none"/>
                <w:lang w:val="en-US" w:eastAsia="zh-CN"/>
              </w:rPr>
              <w:t>0.5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/a），产物系数按</w:t>
            </w:r>
            <w:r>
              <w:rPr>
                <w:rFonts w:hint="eastAsia" w:cs="Times New Roman"/>
                <w:b w:val="0"/>
                <w:bCs w:val="0"/>
                <w:color w:val="auto"/>
                <w:sz w:val="24"/>
                <w:highlight w:val="none"/>
                <w:lang w:val="en-US" w:eastAsia="zh-CN"/>
              </w:rPr>
              <w:t>80%</w:t>
            </w:r>
            <w:r>
              <w:rPr>
                <w:rFonts w:hint="eastAsia" w:ascii="Times New Roman" w:hAnsi="Times New Roman" w:eastAsia="宋体" w:cs="Times New Roman"/>
                <w:b w:val="0"/>
                <w:bCs w:val="0"/>
                <w:color w:val="auto"/>
                <w:sz w:val="24"/>
                <w:highlight w:val="none"/>
                <w:lang w:val="en-US" w:eastAsia="zh-CN"/>
              </w:rPr>
              <w:t>计算，则清洗台面、地面废水产生量为</w:t>
            </w:r>
            <w:r>
              <w:rPr>
                <w:rFonts w:hint="eastAsia" w:cs="Times New Roman"/>
                <w:b w:val="0"/>
                <w:bCs w:val="0"/>
                <w:color w:val="auto"/>
                <w:sz w:val="24"/>
                <w:highlight w:val="none"/>
                <w:lang w:val="en-US" w:eastAsia="zh-CN"/>
              </w:rPr>
              <w:t>0.4</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98</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经自建的污水</w:t>
            </w:r>
            <w:r>
              <w:rPr>
                <w:rFonts w:hint="eastAsia" w:cs="Times New Roman"/>
                <w:b w:val="0"/>
                <w:bCs w:val="0"/>
                <w:color w:val="auto"/>
                <w:sz w:val="24"/>
                <w:highlight w:val="none"/>
                <w:lang w:val="en-US" w:eastAsia="zh-CN"/>
              </w:rPr>
              <w:t>处理设施</w:t>
            </w:r>
            <w:r>
              <w:rPr>
                <w:rFonts w:hint="eastAsia" w:ascii="Times New Roman" w:hAnsi="Times New Roman" w:eastAsia="宋体" w:cs="Times New Roman"/>
                <w:b w:val="0"/>
                <w:bCs w:val="0"/>
                <w:color w:val="auto"/>
                <w:sz w:val="24"/>
                <w:highlight w:val="none"/>
                <w:lang w:val="en-US" w:eastAsia="zh-CN"/>
              </w:rPr>
              <w:t>预处理后同</w:t>
            </w:r>
            <w:r>
              <w:rPr>
                <w:rFonts w:hint="eastAsia" w:cs="Times New Roman"/>
                <w:b w:val="0"/>
                <w:bCs w:val="0"/>
                <w:color w:val="auto"/>
                <w:sz w:val="24"/>
                <w:highlight w:val="none"/>
                <w:lang w:val="en-US" w:eastAsia="zh-CN"/>
              </w:rPr>
              <w:t>现有</w:t>
            </w:r>
            <w:r>
              <w:rPr>
                <w:rFonts w:hint="eastAsia" w:ascii="Times New Roman" w:hAnsi="Times New Roman" w:eastAsia="宋体" w:cs="Times New Roman"/>
                <w:b w:val="0"/>
                <w:bCs w:val="0"/>
                <w:color w:val="auto"/>
                <w:sz w:val="24"/>
                <w:highlight w:val="none"/>
                <w:lang w:val="en-US" w:eastAsia="zh-CN"/>
              </w:rPr>
              <w:t>生活污水一同进入化粪池处理，</w:t>
            </w:r>
            <w:r>
              <w:rPr>
                <w:rFonts w:hint="eastAsia" w:cs="Times New Roman"/>
                <w:b w:val="0"/>
                <w:bCs w:val="0"/>
                <w:color w:val="auto"/>
                <w:sz w:val="24"/>
                <w:highlight w:val="none"/>
                <w:lang w:val="en-US" w:eastAsia="zh-CN"/>
              </w:rPr>
              <w:t>再</w:t>
            </w:r>
            <w:r>
              <w:rPr>
                <w:rFonts w:hint="eastAsia" w:ascii="Times New Roman" w:hAnsi="Times New Roman" w:eastAsia="宋体" w:cs="Times New Roman"/>
                <w:b w:val="0"/>
                <w:bCs w:val="0"/>
                <w:color w:val="auto"/>
                <w:sz w:val="24"/>
                <w:highlight w:val="none"/>
                <w:lang w:val="en-US" w:eastAsia="zh-CN"/>
              </w:rPr>
              <w:t>通过市政污水管网排入西安净水处理有限责任公司第六再生水厂进一步处理。</w:t>
            </w:r>
          </w:p>
          <w:p w14:paraId="0C36BAA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color w:val="auto"/>
                <w:sz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④</w:t>
            </w:r>
            <w:r>
              <w:rPr>
                <w:rFonts w:hint="eastAsia" w:cs="Times New Roman"/>
                <w:b w:val="0"/>
                <w:bCs w:val="0"/>
                <w:color w:val="auto"/>
                <w:sz w:val="24"/>
                <w:szCs w:val="24"/>
                <w:highlight w:val="none"/>
                <w:lang w:val="en-US" w:eastAsia="zh-CN"/>
              </w:rPr>
              <w:t>纯</w:t>
            </w:r>
            <w:r>
              <w:rPr>
                <w:rFonts w:hint="eastAsia" w:cs="Times New Roman"/>
                <w:b w:val="0"/>
                <w:bCs w:val="0"/>
                <w:color w:val="auto"/>
                <w:sz w:val="24"/>
                <w:highlight w:val="none"/>
                <w:lang w:val="en-US" w:eastAsia="zh-CN"/>
              </w:rPr>
              <w:t>水机尾水：</w:t>
            </w:r>
            <w:r>
              <w:rPr>
                <w:rFonts w:hint="eastAsia"/>
                <w:color w:val="auto"/>
                <w:sz w:val="24"/>
                <w:highlight w:val="none"/>
              </w:rPr>
              <w:t>纯水机制备的纯水主要是用于</w:t>
            </w:r>
            <w:r>
              <w:rPr>
                <w:rFonts w:hint="eastAsia"/>
                <w:color w:val="auto"/>
                <w:sz w:val="24"/>
                <w:highlight w:val="none"/>
                <w:lang w:val="en-US" w:eastAsia="zh-CN"/>
              </w:rPr>
              <w:t>试剂配制</w:t>
            </w:r>
            <w:r>
              <w:rPr>
                <w:rFonts w:hint="eastAsia"/>
                <w:color w:val="auto"/>
                <w:sz w:val="24"/>
                <w:highlight w:val="none"/>
              </w:rPr>
              <w:t>，</w:t>
            </w:r>
            <w:r>
              <w:rPr>
                <w:rFonts w:hint="eastAsia" w:cs="Times New Roman"/>
                <w:b w:val="0"/>
                <w:bCs w:val="0"/>
                <w:color w:val="auto"/>
                <w:sz w:val="24"/>
                <w:highlight w:val="none"/>
                <w:lang w:val="en-US" w:eastAsia="zh-CN"/>
              </w:rPr>
              <w:t>本次扩建项目</w:t>
            </w:r>
            <w:r>
              <w:rPr>
                <w:rFonts w:hint="eastAsia"/>
                <w:color w:val="auto"/>
                <w:sz w:val="24"/>
                <w:highlight w:val="none"/>
              </w:rPr>
              <w:t>纯水</w:t>
            </w:r>
            <w:r>
              <w:rPr>
                <w:rFonts w:hint="eastAsia"/>
                <w:color w:val="auto"/>
                <w:sz w:val="24"/>
                <w:highlight w:val="none"/>
                <w:lang w:val="en-US" w:eastAsia="zh-CN"/>
              </w:rPr>
              <w:t>使用</w:t>
            </w:r>
            <w:r>
              <w:rPr>
                <w:rFonts w:hint="eastAsia"/>
                <w:color w:val="auto"/>
                <w:sz w:val="24"/>
                <w:highlight w:val="none"/>
              </w:rPr>
              <w:t>量为</w:t>
            </w:r>
            <w:r>
              <w:rPr>
                <w:rFonts w:hint="eastAsia"/>
                <w:color w:val="auto"/>
                <w:sz w:val="24"/>
                <w:highlight w:val="none"/>
                <w:lang w:val="en-US" w:eastAsia="zh-CN"/>
              </w:rPr>
              <w:t>0.1</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/d（</w:t>
            </w:r>
            <w:r>
              <w:rPr>
                <w:rFonts w:hint="eastAsia"/>
                <w:color w:val="auto"/>
                <w:sz w:val="24"/>
                <w:highlight w:val="none"/>
                <w:lang w:val="en-US" w:eastAsia="zh-CN"/>
              </w:rPr>
              <w:t>24.5</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/a），</w:t>
            </w:r>
            <w:r>
              <w:rPr>
                <w:rFonts w:hint="eastAsia"/>
                <w:color w:val="auto"/>
                <w:sz w:val="24"/>
                <w:highlight w:val="none"/>
                <w:lang w:val="en-US" w:eastAsia="zh-CN"/>
              </w:rPr>
              <w:t>尾水</w:t>
            </w:r>
            <w:r>
              <w:rPr>
                <w:rFonts w:hint="eastAsia"/>
                <w:color w:val="auto"/>
                <w:sz w:val="24"/>
                <w:highlight w:val="none"/>
              </w:rPr>
              <w:t>产生量为</w:t>
            </w:r>
            <w:r>
              <w:rPr>
                <w:rFonts w:hint="eastAsia"/>
                <w:color w:val="auto"/>
                <w:sz w:val="24"/>
                <w:highlight w:val="none"/>
                <w:lang w:eastAsia="zh-CN"/>
              </w:rPr>
              <w:t>0</w:t>
            </w:r>
            <w:r>
              <w:rPr>
                <w:rFonts w:hint="eastAsia"/>
                <w:color w:val="auto"/>
                <w:sz w:val="24"/>
                <w:highlight w:val="none"/>
                <w:lang w:val="en-US" w:eastAsia="zh-CN"/>
              </w:rPr>
              <w:t>.04</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/d（</w:t>
            </w:r>
            <w:r>
              <w:rPr>
                <w:rFonts w:hint="eastAsia"/>
                <w:color w:val="auto"/>
                <w:sz w:val="24"/>
                <w:highlight w:val="none"/>
                <w:lang w:val="en-US" w:eastAsia="zh-CN"/>
              </w:rPr>
              <w:t>10.5</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/a）</w:t>
            </w:r>
            <w:r>
              <w:rPr>
                <w:rFonts w:hint="eastAsia"/>
                <w:color w:val="auto"/>
                <w:sz w:val="24"/>
                <w:highlight w:val="none"/>
                <w:lang w:eastAsia="zh-CN"/>
              </w:rPr>
              <w:t>。</w:t>
            </w:r>
            <w:r>
              <w:rPr>
                <w:rFonts w:hint="eastAsia"/>
                <w:color w:val="auto"/>
                <w:sz w:val="24"/>
                <w:highlight w:val="none"/>
                <w:lang w:val="en-US" w:eastAsia="zh-CN"/>
              </w:rPr>
              <w:t>该废水</w:t>
            </w:r>
            <w:r>
              <w:rPr>
                <w:rFonts w:hint="eastAsia"/>
                <w:color w:val="auto"/>
                <w:sz w:val="24"/>
                <w:highlight w:val="none"/>
              </w:rPr>
              <w:t>为清净下水</w:t>
            </w:r>
            <w:r>
              <w:rPr>
                <w:rFonts w:hint="eastAsia"/>
                <w:color w:val="auto"/>
                <w:sz w:val="24"/>
                <w:highlight w:val="none"/>
                <w:lang w:eastAsia="zh-CN"/>
              </w:rPr>
              <w:t>，</w:t>
            </w:r>
            <w:r>
              <w:rPr>
                <w:rFonts w:hint="eastAsia"/>
                <w:color w:val="auto"/>
                <w:sz w:val="24"/>
                <w:highlight w:val="none"/>
                <w:lang w:val="en-US" w:eastAsia="zh-CN"/>
              </w:rPr>
              <w:t>进入园区化粪池处理后，通过市政污水管网排入西安净水处理有限责任公司第六再生水厂进一步处理。</w:t>
            </w:r>
          </w:p>
          <w:p w14:paraId="4784BC5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color w:val="auto"/>
                <w:sz w:val="24"/>
                <w:highlight w:val="none"/>
                <w:lang w:val="en-US" w:eastAsia="zh-CN"/>
              </w:rPr>
            </w:pPr>
            <w:r>
              <w:rPr>
                <w:rFonts w:hint="eastAsia" w:ascii="微软雅黑" w:hAnsi="微软雅黑" w:eastAsia="微软雅黑" w:cs="微软雅黑"/>
                <w:b w:val="0"/>
                <w:bCs w:val="0"/>
                <w:color w:val="auto"/>
                <w:sz w:val="24"/>
                <w:szCs w:val="24"/>
                <w:highlight w:val="none"/>
                <w:lang w:val="en-US" w:eastAsia="zh-CN"/>
              </w:rPr>
              <w:t>⑤</w:t>
            </w:r>
            <w:r>
              <w:rPr>
                <w:rFonts w:hint="eastAsia" w:ascii="Times New Roman" w:hAnsi="Times New Roman" w:eastAsia="宋体" w:cs="Times New Roman"/>
                <w:b w:val="0"/>
                <w:bCs w:val="0"/>
                <w:color w:val="auto"/>
                <w:sz w:val="24"/>
                <w:szCs w:val="24"/>
                <w:highlight w:val="none"/>
                <w:lang w:val="en-US" w:eastAsia="zh-CN"/>
              </w:rPr>
              <w:t>循环</w:t>
            </w:r>
            <w:r>
              <w:rPr>
                <w:rFonts w:hint="eastAsia" w:cs="Times New Roman"/>
                <w:b w:val="0"/>
                <w:bCs w:val="0"/>
                <w:color w:val="auto"/>
                <w:sz w:val="24"/>
                <w:highlight w:val="none"/>
                <w:lang w:val="en-US" w:eastAsia="zh-CN"/>
              </w:rPr>
              <w:t>冷却外排水：</w:t>
            </w:r>
            <w:r>
              <w:rPr>
                <w:rFonts w:hint="eastAsia" w:ascii="Times New Roman" w:hAnsi="Times New Roman" w:eastAsia="宋体" w:cs="Times New Roman"/>
                <w:b w:val="0"/>
                <w:bCs w:val="0"/>
                <w:color w:val="auto"/>
                <w:sz w:val="24"/>
                <w:highlight w:val="none"/>
                <w:lang w:val="en-US" w:eastAsia="zh-CN"/>
              </w:rPr>
              <w:t>本项目降温使用间接方式对设备进行冷却带走热量，</w:t>
            </w:r>
            <w:r>
              <w:rPr>
                <w:rFonts w:hint="eastAsia" w:cs="Times New Roman"/>
                <w:b w:val="0"/>
                <w:bCs w:val="0"/>
                <w:color w:val="auto"/>
                <w:sz w:val="24"/>
                <w:highlight w:val="none"/>
                <w:lang w:val="en-US" w:eastAsia="zh-CN"/>
              </w:rPr>
              <w:t>部分循环使用，</w:t>
            </w:r>
            <w:r>
              <w:rPr>
                <w:rFonts w:hint="eastAsia" w:ascii="Times New Roman" w:hAnsi="Times New Roman" w:eastAsia="宋体" w:cs="Times New Roman"/>
                <w:b w:val="0"/>
                <w:bCs w:val="0"/>
                <w:color w:val="auto"/>
                <w:sz w:val="24"/>
                <w:highlight w:val="none"/>
                <w:lang w:val="en-US" w:eastAsia="zh-CN"/>
              </w:rPr>
              <w:t>本项目为研发类工程，样品冷却消除的热量小，</w:t>
            </w:r>
            <w:r>
              <w:rPr>
                <w:rFonts w:hint="eastAsia" w:cs="Times New Roman"/>
                <w:b w:val="0"/>
                <w:bCs w:val="0"/>
                <w:color w:val="auto"/>
                <w:sz w:val="24"/>
                <w:highlight w:val="none"/>
                <w:lang w:val="en-US" w:eastAsia="zh-CN"/>
              </w:rPr>
              <w:t>本次扩建项目</w:t>
            </w:r>
            <w:r>
              <w:rPr>
                <w:rFonts w:hint="eastAsia" w:ascii="Times New Roman" w:hAnsi="Times New Roman" w:eastAsia="宋体" w:cs="Times New Roman"/>
                <w:b w:val="0"/>
                <w:bCs w:val="0"/>
                <w:color w:val="auto"/>
                <w:sz w:val="24"/>
                <w:highlight w:val="none"/>
                <w:lang w:val="en-US" w:eastAsia="zh-CN"/>
              </w:rPr>
              <w:t>冷却水</w:t>
            </w:r>
            <w:r>
              <w:rPr>
                <w:rFonts w:hint="eastAsia" w:cs="Times New Roman"/>
                <w:b w:val="0"/>
                <w:bCs w:val="0"/>
                <w:color w:val="auto"/>
                <w:sz w:val="24"/>
                <w:highlight w:val="none"/>
                <w:lang w:val="en-US" w:eastAsia="zh-CN"/>
              </w:rPr>
              <w:t>蒸发损耗量约为0.5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，循环用水量为约0.75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183.75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则最大外排量约0.5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（122.5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），该废水为清净下水，</w:t>
            </w:r>
            <w:r>
              <w:rPr>
                <w:rFonts w:hint="eastAsia"/>
                <w:color w:val="auto"/>
                <w:sz w:val="24"/>
                <w:highlight w:val="none"/>
                <w:lang w:val="en-US" w:eastAsia="zh-CN"/>
              </w:rPr>
              <w:t>进入园区化粪池处理后，通过市政污水管网排入西安净水处理有限责任公司第六再生水厂进一步处理。</w:t>
            </w:r>
          </w:p>
          <w:p w14:paraId="72DA405F">
            <w:pPr>
              <w:pStyle w:val="3"/>
              <w:rPr>
                <w:rFonts w:hint="default"/>
                <w:color w:val="auto"/>
                <w:lang w:val="en-US" w:eastAsia="zh-CN"/>
              </w:rPr>
            </w:pPr>
            <w:r>
              <w:rPr>
                <w:rFonts w:hint="eastAsia"/>
                <w:color w:val="auto"/>
                <w:sz w:val="24"/>
                <w:highlight w:val="none"/>
                <w:lang w:val="en-US" w:eastAsia="zh-CN"/>
              </w:rPr>
              <w:t xml:space="preserve">   综述，</w:t>
            </w:r>
            <w:r>
              <w:rPr>
                <w:rFonts w:hint="eastAsia" w:cs="Times New Roman"/>
                <w:b w:val="0"/>
                <w:bCs w:val="0"/>
                <w:color w:val="auto"/>
                <w:sz w:val="24"/>
                <w:highlight w:val="none"/>
                <w:lang w:val="en-US" w:eastAsia="zh-CN"/>
              </w:rPr>
              <w:t>本次扩建项目排水量为0.89</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218.05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），0.12</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cs="Times New Roman"/>
                <w:b w:val="0"/>
                <w:bCs w:val="0"/>
                <w:color w:val="auto"/>
                <w:sz w:val="24"/>
                <w:highlight w:val="none"/>
                <w:vertAlign w:val="baseline"/>
                <w:lang w:val="en-US" w:eastAsia="zh-CN"/>
              </w:rPr>
              <w:t>/d（29.4</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/a</w:t>
            </w:r>
            <w:r>
              <w:rPr>
                <w:rFonts w:hint="eastAsia" w:cs="Times New Roman"/>
                <w:b w:val="0"/>
                <w:bCs w:val="0"/>
                <w:color w:val="auto"/>
                <w:sz w:val="24"/>
                <w:highlight w:val="none"/>
                <w:vertAlign w:val="baseline"/>
                <w:lang w:val="en-US" w:eastAsia="zh-CN"/>
              </w:rPr>
              <w:t>）作为危废处置</w:t>
            </w:r>
            <w:r>
              <w:rPr>
                <w:rFonts w:hint="eastAsia" w:cs="Times New Roman"/>
                <w:b w:val="0"/>
                <w:bCs w:val="0"/>
                <w:color w:val="auto"/>
                <w:sz w:val="24"/>
                <w:highlight w:val="none"/>
                <w:lang w:val="en-US" w:eastAsia="zh-CN"/>
              </w:rPr>
              <w:t>不外排，0.75</w:t>
            </w:r>
            <w:r>
              <w:rPr>
                <w:rFonts w:hint="default" w:ascii="Times New Roman" w:hAnsi="Times New Roman" w:eastAsia="宋体" w:cs="Times New Roman"/>
                <w:b w:val="0"/>
                <w:bCs w:val="0"/>
                <w:color w:val="auto"/>
                <w:sz w:val="24"/>
                <w:highlight w:val="none"/>
                <w:lang w:val="en-US" w:eastAsia="zh-CN"/>
              </w:rPr>
              <w:t>m</w:t>
            </w:r>
            <w:r>
              <w:rPr>
                <w:rFonts w:hint="default" w:ascii="Times New Roman" w:hAnsi="Times New Roman" w:eastAsia="宋体" w:cs="Times New Roman"/>
                <w:b w:val="0"/>
                <w:bCs w:val="0"/>
                <w:color w:val="auto"/>
                <w:sz w:val="24"/>
                <w:highlight w:val="none"/>
                <w:vertAlign w:val="superscript"/>
                <w:lang w:val="en-US" w:eastAsia="zh-CN"/>
              </w:rPr>
              <w:t>3</w:t>
            </w:r>
            <w:r>
              <w:rPr>
                <w:rFonts w:hint="default"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d（</w:t>
            </w:r>
            <w:r>
              <w:rPr>
                <w:rFonts w:hint="eastAsia" w:cs="Times New Roman"/>
                <w:b w:val="0"/>
                <w:bCs w:val="0"/>
                <w:color w:val="auto"/>
                <w:sz w:val="24"/>
                <w:highlight w:val="none"/>
                <w:lang w:val="en-US" w:eastAsia="zh-CN"/>
              </w:rPr>
              <w:t>183.75</w:t>
            </w:r>
            <w:r>
              <w:rPr>
                <w:rFonts w:hint="eastAsia" w:ascii="Times New Roman" w:hAnsi="Times New Roman" w:eastAsia="宋体" w:cs="Times New Roman"/>
                <w:b w:val="0"/>
                <w:bCs w:val="0"/>
                <w:color w:val="auto"/>
                <w:sz w:val="24"/>
                <w:highlight w:val="none"/>
                <w:lang w:val="en-US" w:eastAsia="zh-CN"/>
              </w:rPr>
              <w:t>m</w:t>
            </w:r>
            <w:r>
              <w:rPr>
                <w:rFonts w:hint="eastAsia" w:ascii="Times New Roman" w:hAnsi="Times New Roman" w:eastAsia="宋体" w:cs="Times New Roman"/>
                <w:b w:val="0"/>
                <w:bCs w:val="0"/>
                <w:color w:val="auto"/>
                <w:sz w:val="24"/>
                <w:highlight w:val="none"/>
                <w:vertAlign w:val="superscript"/>
                <w:lang w:val="en-US" w:eastAsia="zh-CN"/>
              </w:rPr>
              <w:t>3</w:t>
            </w:r>
            <w:r>
              <w:rPr>
                <w:rFonts w:hint="eastAsia" w:ascii="Times New Roman" w:hAnsi="Times New Roman" w:eastAsia="宋体" w:cs="Times New Roman"/>
                <w:b w:val="0"/>
                <w:bCs w:val="0"/>
                <w:color w:val="auto"/>
                <w:sz w:val="24"/>
                <w:highlight w:val="none"/>
                <w:lang w:val="en-US" w:eastAsia="zh-CN"/>
              </w:rPr>
              <w:t>/a）</w:t>
            </w:r>
            <w:r>
              <w:rPr>
                <w:rFonts w:hint="eastAsia" w:cs="Times New Roman"/>
                <w:b w:val="0"/>
                <w:bCs w:val="0"/>
                <w:color w:val="auto"/>
                <w:sz w:val="24"/>
                <w:highlight w:val="none"/>
                <w:lang w:val="en-US" w:eastAsia="zh-CN"/>
              </w:rPr>
              <w:t>作为循环水不外排。</w:t>
            </w:r>
          </w:p>
          <w:p w14:paraId="1F56486B">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本次扩建项目新增</w:t>
            </w:r>
            <w:r>
              <w:rPr>
                <w:rFonts w:hint="eastAsia" w:ascii="Times New Roman" w:hAnsi="Times New Roman" w:eastAsia="宋体" w:cs="Times New Roman"/>
                <w:b w:val="0"/>
                <w:bCs w:val="0"/>
                <w:color w:val="auto"/>
                <w:sz w:val="24"/>
                <w:highlight w:val="none"/>
                <w:lang w:val="en-US" w:eastAsia="zh-CN"/>
              </w:rPr>
              <w:t>用水、排水一览表见表2-</w:t>
            </w:r>
            <w:r>
              <w:rPr>
                <w:rFonts w:hint="eastAsia" w:cs="Times New Roman"/>
                <w:b w:val="0"/>
                <w:bCs w:val="0"/>
                <w:color w:val="auto"/>
                <w:sz w:val="24"/>
                <w:highlight w:val="none"/>
                <w:lang w:val="en-US" w:eastAsia="zh-CN"/>
              </w:rPr>
              <w:t>8</w:t>
            </w:r>
            <w:r>
              <w:rPr>
                <w:rFonts w:hint="eastAsia" w:ascii="Times New Roman" w:hAnsi="Times New Roman" w:eastAsia="宋体" w:cs="Times New Roman"/>
                <w:b w:val="0"/>
                <w:bCs w:val="0"/>
                <w:color w:val="auto"/>
                <w:sz w:val="24"/>
                <w:highlight w:val="none"/>
                <w:lang w:val="en-US" w:eastAsia="zh-CN"/>
              </w:rPr>
              <w:t>，水平衡见图2-</w:t>
            </w:r>
            <w:r>
              <w:rPr>
                <w:rFonts w:hint="eastAsia" w:cs="Times New Roman"/>
                <w:b w:val="0"/>
                <w:bCs w:val="0"/>
                <w:color w:val="auto"/>
                <w:sz w:val="24"/>
                <w:highlight w:val="none"/>
                <w:lang w:val="en-US" w:eastAsia="zh-CN"/>
              </w:rPr>
              <w:t>2</w:t>
            </w:r>
            <w:r>
              <w:rPr>
                <w:rFonts w:hint="eastAsia" w:ascii="Times New Roman" w:hAnsi="Times New Roman" w:eastAsia="宋体" w:cs="Times New Roman"/>
                <w:b w:val="0"/>
                <w:bCs w:val="0"/>
                <w:color w:val="auto"/>
                <w:sz w:val="24"/>
                <w:highlight w:val="none"/>
                <w:lang w:val="en-US" w:eastAsia="zh-CN"/>
              </w:rPr>
              <w:t>。</w:t>
            </w:r>
          </w:p>
          <w:p w14:paraId="39B47648">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表2-</w:t>
            </w:r>
            <w:r>
              <w:rPr>
                <w:rFonts w:hint="eastAsia" w:cs="Times New Roman"/>
                <w:b/>
                <w:bCs/>
                <w:color w:val="auto"/>
                <w:sz w:val="24"/>
                <w:highlight w:val="none"/>
                <w:lang w:val="en-US" w:eastAsia="zh-CN"/>
              </w:rPr>
              <w:t>8</w:t>
            </w:r>
            <w:r>
              <w:rPr>
                <w:rFonts w:hint="eastAsia" w:ascii="Times New Roman" w:hAnsi="Times New Roman" w:eastAsia="宋体" w:cs="Times New Roman"/>
                <w:b/>
                <w:bCs/>
                <w:color w:val="auto"/>
                <w:sz w:val="24"/>
                <w:highlight w:val="none"/>
                <w:lang w:val="en-US" w:eastAsia="zh-CN"/>
              </w:rPr>
              <w:t xml:space="preserve"> </w:t>
            </w:r>
            <w:r>
              <w:rPr>
                <w:rFonts w:hint="eastAsia" w:cs="Times New Roman"/>
                <w:b/>
                <w:bCs/>
                <w:color w:val="auto"/>
                <w:sz w:val="24"/>
                <w:highlight w:val="none"/>
                <w:lang w:val="en-US" w:eastAsia="zh-CN"/>
              </w:rPr>
              <w:t xml:space="preserve"> 本次扩建项目</w:t>
            </w:r>
            <w:r>
              <w:rPr>
                <w:rFonts w:hint="eastAsia" w:ascii="Times New Roman" w:hAnsi="Times New Roman" w:eastAsia="宋体" w:cs="Times New Roman"/>
                <w:b/>
                <w:bCs/>
                <w:color w:val="auto"/>
                <w:sz w:val="24"/>
                <w:highlight w:val="none"/>
                <w:lang w:val="en-US" w:eastAsia="zh-CN"/>
              </w:rPr>
              <w:t>用水、排水情况表</w:t>
            </w:r>
            <w:r>
              <w:rPr>
                <w:rFonts w:hint="eastAsia" w:cs="Times New Roman"/>
                <w:b/>
                <w:bCs/>
                <w:color w:val="auto"/>
                <w:sz w:val="24"/>
                <w:highlight w:val="none"/>
                <w:lang w:val="en-US" w:eastAsia="zh-CN"/>
              </w:rPr>
              <w:t>（</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/a</w:t>
            </w:r>
            <w:r>
              <w:rPr>
                <w:rFonts w:hint="eastAsia" w:ascii="Times New Roman" w:hAnsi="Times New Roman" w:eastAsia="宋体" w:cs="Times New Roman"/>
                <w:b/>
                <w:bCs/>
                <w:i w:val="0"/>
                <w:iCs w:val="0"/>
                <w:color w:val="auto"/>
                <w:kern w:val="0"/>
                <w:sz w:val="21"/>
                <w:szCs w:val="21"/>
                <w:u w:val="none"/>
                <w:lang w:val="en-US" w:eastAsia="zh-CN" w:bidi="ar"/>
              </w:rPr>
              <w:t>）</w:t>
            </w:r>
          </w:p>
          <w:tbl>
            <w:tblPr>
              <w:tblStyle w:val="30"/>
              <w:tblW w:w="4998"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425"/>
              <w:gridCol w:w="1218"/>
              <w:gridCol w:w="1275"/>
              <w:gridCol w:w="788"/>
              <w:gridCol w:w="1376"/>
              <w:gridCol w:w="1255"/>
              <w:gridCol w:w="1551"/>
            </w:tblGrid>
            <w:tr w14:paraId="1E657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5" w:hRule="atLeast"/>
              </w:trPr>
              <w:tc>
                <w:tcPr>
                  <w:tcW w:w="1041" w:type="pct"/>
                  <w:gridSpan w:val="2"/>
                  <w:tcBorders>
                    <w:tl2br w:val="nil"/>
                    <w:tr2bl w:val="nil"/>
                  </w:tcBorders>
                  <w:shd w:val="clear" w:color="auto" w:fill="auto"/>
                  <w:vAlign w:val="center"/>
                </w:tcPr>
                <w:p w14:paraId="6941ACFF">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项目</w:t>
                  </w:r>
                </w:p>
              </w:tc>
              <w:tc>
                <w:tcPr>
                  <w:tcW w:w="808" w:type="pct"/>
                  <w:tcBorders>
                    <w:tl2br w:val="nil"/>
                    <w:tr2bl w:val="nil"/>
                  </w:tcBorders>
                  <w:shd w:val="clear" w:color="auto" w:fill="auto"/>
                  <w:vAlign w:val="center"/>
                </w:tcPr>
                <w:p w14:paraId="11F356FB">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新鲜水用量</w:t>
                  </w:r>
                </w:p>
              </w:tc>
              <w:tc>
                <w:tcPr>
                  <w:tcW w:w="499" w:type="pct"/>
                  <w:tcBorders>
                    <w:tl2br w:val="nil"/>
                    <w:tr2bl w:val="nil"/>
                  </w:tcBorders>
                  <w:shd w:val="clear" w:color="auto" w:fill="auto"/>
                  <w:vAlign w:val="center"/>
                </w:tcPr>
                <w:p w14:paraId="647ED75A">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纯水用量</w:t>
                  </w:r>
                </w:p>
              </w:tc>
              <w:tc>
                <w:tcPr>
                  <w:tcW w:w="872" w:type="pct"/>
                  <w:tcBorders>
                    <w:tl2br w:val="nil"/>
                    <w:tr2bl w:val="nil"/>
                  </w:tcBorders>
                  <w:shd w:val="clear" w:color="auto" w:fill="auto"/>
                  <w:vAlign w:val="center"/>
                </w:tcPr>
                <w:p w14:paraId="1B3F2023">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损耗量</w:t>
                  </w:r>
                </w:p>
              </w:tc>
              <w:tc>
                <w:tcPr>
                  <w:tcW w:w="795" w:type="pct"/>
                  <w:tcBorders>
                    <w:tl2br w:val="nil"/>
                    <w:tr2bl w:val="nil"/>
                  </w:tcBorders>
                  <w:shd w:val="clear" w:color="auto" w:fill="auto"/>
                  <w:vAlign w:val="center"/>
                </w:tcPr>
                <w:p w14:paraId="47BBE3F1">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排水量</w:t>
                  </w:r>
                </w:p>
              </w:tc>
              <w:tc>
                <w:tcPr>
                  <w:tcW w:w="983" w:type="pct"/>
                  <w:tcBorders>
                    <w:tl2br w:val="nil"/>
                    <w:tr2bl w:val="nil"/>
                  </w:tcBorders>
                  <w:shd w:val="clear" w:color="auto" w:fill="auto"/>
                  <w:vAlign w:val="center"/>
                </w:tcPr>
                <w:p w14:paraId="46FA0528">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cs="宋体"/>
                      <w:b/>
                      <w:bCs/>
                      <w:i w:val="0"/>
                      <w:iCs w:val="0"/>
                      <w:color w:val="auto"/>
                      <w:kern w:val="0"/>
                      <w:sz w:val="21"/>
                      <w:szCs w:val="21"/>
                      <w:u w:val="none"/>
                      <w:lang w:val="en-US" w:eastAsia="zh-CN" w:bidi="ar"/>
                    </w:rPr>
                    <w:t>备注</w:t>
                  </w:r>
                </w:p>
              </w:tc>
            </w:tr>
            <w:tr w14:paraId="737EAC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46" w:hRule="atLeast"/>
              </w:trPr>
              <w:tc>
                <w:tcPr>
                  <w:tcW w:w="269" w:type="pct"/>
                  <w:vMerge w:val="restart"/>
                  <w:tcBorders>
                    <w:tl2br w:val="nil"/>
                    <w:tr2bl w:val="nil"/>
                  </w:tcBorders>
                  <w:shd w:val="clear" w:color="auto" w:fill="auto"/>
                  <w:vAlign w:val="center"/>
                </w:tcPr>
                <w:p w14:paraId="5F2C59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实验过程用水</w:t>
                  </w:r>
                </w:p>
              </w:tc>
              <w:tc>
                <w:tcPr>
                  <w:tcW w:w="772" w:type="pct"/>
                  <w:tcBorders>
                    <w:tl2br w:val="nil"/>
                    <w:tr2bl w:val="nil"/>
                  </w:tcBorders>
                  <w:shd w:val="clear" w:color="auto" w:fill="auto"/>
                  <w:vAlign w:val="center"/>
                </w:tcPr>
                <w:p w14:paraId="062E14E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实验器具第</w:t>
                  </w:r>
                  <w:r>
                    <w:rPr>
                      <w:rFonts w:hint="eastAsia" w:ascii="宋体" w:hAnsi="宋体" w:cs="宋体"/>
                      <w:i w:val="0"/>
                      <w:iCs w:val="0"/>
                      <w:color w:val="auto"/>
                      <w:kern w:val="0"/>
                      <w:sz w:val="21"/>
                      <w:szCs w:val="21"/>
                      <w:u w:val="none"/>
                      <w:lang w:val="en-US" w:eastAsia="zh-CN" w:bidi="ar"/>
                    </w:rPr>
                    <w:t>一、二</w:t>
                  </w:r>
                  <w:r>
                    <w:rPr>
                      <w:rFonts w:hint="eastAsia" w:ascii="宋体" w:hAnsi="宋体" w:eastAsia="宋体" w:cs="宋体"/>
                      <w:i w:val="0"/>
                      <w:iCs w:val="0"/>
                      <w:color w:val="auto"/>
                      <w:kern w:val="0"/>
                      <w:sz w:val="21"/>
                      <w:szCs w:val="21"/>
                      <w:u w:val="none"/>
                      <w:lang w:val="en-US" w:eastAsia="zh-CN" w:bidi="ar"/>
                    </w:rPr>
                    <w:t>次清洗用水</w:t>
                  </w:r>
                </w:p>
              </w:tc>
              <w:tc>
                <w:tcPr>
                  <w:tcW w:w="808" w:type="pct"/>
                  <w:tcBorders>
                    <w:tl2br w:val="nil"/>
                    <w:tr2bl w:val="nil"/>
                  </w:tcBorders>
                  <w:shd w:val="clear" w:color="auto" w:fill="auto"/>
                  <w:vAlign w:val="center"/>
                </w:tcPr>
                <w:p w14:paraId="2A2D18D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12.25</w:t>
                  </w:r>
                </w:p>
              </w:tc>
              <w:tc>
                <w:tcPr>
                  <w:tcW w:w="499" w:type="pct"/>
                  <w:tcBorders>
                    <w:tl2br w:val="nil"/>
                    <w:tr2bl w:val="nil"/>
                  </w:tcBorders>
                  <w:shd w:val="clear" w:color="auto" w:fill="auto"/>
                  <w:vAlign w:val="center"/>
                </w:tcPr>
                <w:p w14:paraId="16C4CE0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72" w:type="pct"/>
                  <w:tcBorders>
                    <w:tl2br w:val="nil"/>
                    <w:tr2bl w:val="nil"/>
                  </w:tcBorders>
                  <w:shd w:val="clear" w:color="auto" w:fill="auto"/>
                  <w:vAlign w:val="center"/>
                </w:tcPr>
                <w:p w14:paraId="3BA4962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w:t>
                  </w:r>
                </w:p>
              </w:tc>
              <w:tc>
                <w:tcPr>
                  <w:tcW w:w="795" w:type="pct"/>
                  <w:tcBorders>
                    <w:tl2br w:val="nil"/>
                    <w:tr2bl w:val="nil"/>
                  </w:tcBorders>
                  <w:shd w:val="clear" w:color="auto" w:fill="auto"/>
                  <w:vAlign w:val="center"/>
                </w:tcPr>
                <w:p w14:paraId="7AB67A9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w:t>
                  </w:r>
                </w:p>
              </w:tc>
              <w:tc>
                <w:tcPr>
                  <w:tcW w:w="983" w:type="pct"/>
                  <w:tcBorders>
                    <w:tl2br w:val="nil"/>
                    <w:tr2bl w:val="nil"/>
                  </w:tcBorders>
                  <w:shd w:val="clear" w:color="auto" w:fill="auto"/>
                  <w:vAlign w:val="center"/>
                </w:tcPr>
                <w:p w14:paraId="66006B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作危废处置，不外排）</w:t>
                  </w:r>
                </w:p>
              </w:tc>
            </w:tr>
            <w:tr w14:paraId="75555E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46" w:hRule="atLeast"/>
              </w:trPr>
              <w:tc>
                <w:tcPr>
                  <w:tcW w:w="269" w:type="pct"/>
                  <w:vMerge w:val="continue"/>
                  <w:tcBorders>
                    <w:tl2br w:val="nil"/>
                    <w:tr2bl w:val="nil"/>
                  </w:tcBorders>
                  <w:shd w:val="clear" w:color="auto" w:fill="auto"/>
                  <w:vAlign w:val="center"/>
                </w:tcPr>
                <w:p w14:paraId="239B424B">
                  <w:pPr>
                    <w:jc w:val="center"/>
                    <w:rPr>
                      <w:rFonts w:hint="eastAsia" w:ascii="宋体" w:hAnsi="宋体" w:eastAsia="宋体" w:cs="宋体"/>
                      <w:i w:val="0"/>
                      <w:iCs w:val="0"/>
                      <w:color w:val="auto"/>
                      <w:sz w:val="21"/>
                      <w:szCs w:val="21"/>
                      <w:u w:val="none"/>
                    </w:rPr>
                  </w:pPr>
                </w:p>
              </w:tc>
              <w:tc>
                <w:tcPr>
                  <w:tcW w:w="772" w:type="pct"/>
                  <w:tcBorders>
                    <w:tl2br w:val="nil"/>
                    <w:tr2bl w:val="nil"/>
                  </w:tcBorders>
                  <w:shd w:val="clear" w:color="auto" w:fill="auto"/>
                  <w:vAlign w:val="center"/>
                </w:tcPr>
                <w:p w14:paraId="10DE925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实验器具第</w:t>
                  </w:r>
                  <w:r>
                    <w:rPr>
                      <w:rFonts w:hint="eastAsia" w:ascii="宋体" w:hAnsi="宋体" w:cs="宋体"/>
                      <w:i w:val="0"/>
                      <w:iCs w:val="0"/>
                      <w:color w:val="auto"/>
                      <w:kern w:val="0"/>
                      <w:sz w:val="21"/>
                      <w:szCs w:val="21"/>
                      <w:u w:val="none"/>
                      <w:lang w:val="en-US" w:eastAsia="zh-CN" w:bidi="ar"/>
                    </w:rPr>
                    <w:t>三、四</w:t>
                  </w:r>
                  <w:r>
                    <w:rPr>
                      <w:rFonts w:hint="eastAsia" w:ascii="宋体" w:hAnsi="宋体" w:eastAsia="宋体" w:cs="宋体"/>
                      <w:i w:val="0"/>
                      <w:iCs w:val="0"/>
                      <w:color w:val="auto"/>
                      <w:kern w:val="0"/>
                      <w:sz w:val="21"/>
                      <w:szCs w:val="21"/>
                      <w:u w:val="none"/>
                      <w:lang w:val="en-US" w:eastAsia="zh-CN" w:bidi="ar"/>
                    </w:rPr>
                    <w:t>次清洗用水</w:t>
                  </w:r>
                </w:p>
              </w:tc>
              <w:tc>
                <w:tcPr>
                  <w:tcW w:w="808" w:type="pct"/>
                  <w:tcBorders>
                    <w:tl2br w:val="nil"/>
                    <w:tr2bl w:val="nil"/>
                  </w:tcBorders>
                  <w:shd w:val="clear" w:color="auto" w:fill="auto"/>
                  <w:vAlign w:val="center"/>
                </w:tcPr>
                <w:p w14:paraId="265FD5B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122.5</w:t>
                  </w:r>
                </w:p>
              </w:tc>
              <w:tc>
                <w:tcPr>
                  <w:tcW w:w="499" w:type="pct"/>
                  <w:tcBorders>
                    <w:tl2br w:val="nil"/>
                    <w:tr2bl w:val="nil"/>
                  </w:tcBorders>
                  <w:shd w:val="clear" w:color="auto" w:fill="auto"/>
                  <w:vAlign w:val="center"/>
                </w:tcPr>
                <w:p w14:paraId="5551741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72" w:type="pct"/>
                  <w:tcBorders>
                    <w:tl2br w:val="nil"/>
                    <w:tr2bl w:val="nil"/>
                  </w:tcBorders>
                  <w:shd w:val="clear" w:color="auto" w:fill="auto"/>
                  <w:vAlign w:val="center"/>
                </w:tcPr>
                <w:p w14:paraId="5E22409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24.5</w:t>
                  </w:r>
                </w:p>
              </w:tc>
              <w:tc>
                <w:tcPr>
                  <w:tcW w:w="795" w:type="pct"/>
                  <w:tcBorders>
                    <w:tl2br w:val="nil"/>
                    <w:tr2bl w:val="nil"/>
                  </w:tcBorders>
                  <w:shd w:val="clear" w:color="auto" w:fill="auto"/>
                  <w:vAlign w:val="center"/>
                </w:tcPr>
                <w:p w14:paraId="7066280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98</w:t>
                  </w:r>
                </w:p>
              </w:tc>
              <w:tc>
                <w:tcPr>
                  <w:tcW w:w="983" w:type="pct"/>
                  <w:tcBorders>
                    <w:tl2br w:val="nil"/>
                    <w:tr2bl w:val="nil"/>
                  </w:tcBorders>
                  <w:shd w:val="clear" w:color="auto" w:fill="auto"/>
                  <w:vAlign w:val="center"/>
                </w:tcPr>
                <w:p w14:paraId="4A00468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14:paraId="11E281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05" w:hRule="atLeast"/>
              </w:trPr>
              <w:tc>
                <w:tcPr>
                  <w:tcW w:w="269" w:type="pct"/>
                  <w:vMerge w:val="continue"/>
                  <w:tcBorders>
                    <w:tl2br w:val="nil"/>
                    <w:tr2bl w:val="nil"/>
                  </w:tcBorders>
                  <w:shd w:val="clear" w:color="auto" w:fill="auto"/>
                  <w:vAlign w:val="center"/>
                </w:tcPr>
                <w:p w14:paraId="1DD38B6F">
                  <w:pPr>
                    <w:jc w:val="center"/>
                    <w:rPr>
                      <w:rFonts w:hint="eastAsia" w:ascii="宋体" w:hAnsi="宋体" w:eastAsia="宋体" w:cs="宋体"/>
                      <w:i w:val="0"/>
                      <w:iCs w:val="0"/>
                      <w:color w:val="auto"/>
                      <w:sz w:val="21"/>
                      <w:szCs w:val="21"/>
                      <w:u w:val="none"/>
                    </w:rPr>
                  </w:pPr>
                </w:p>
              </w:tc>
              <w:tc>
                <w:tcPr>
                  <w:tcW w:w="772" w:type="pct"/>
                  <w:tcBorders>
                    <w:tl2br w:val="nil"/>
                    <w:tr2bl w:val="nil"/>
                  </w:tcBorders>
                  <w:shd w:val="clear" w:color="auto" w:fill="auto"/>
                  <w:vAlign w:val="center"/>
                </w:tcPr>
                <w:p w14:paraId="5FDBAB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试剂配制</w:t>
                  </w:r>
                </w:p>
                <w:p w14:paraId="5EC8BD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用水</w:t>
                  </w:r>
                </w:p>
              </w:tc>
              <w:tc>
                <w:tcPr>
                  <w:tcW w:w="808" w:type="pct"/>
                  <w:tcBorders>
                    <w:tl2br w:val="nil"/>
                    <w:tr2bl w:val="nil"/>
                  </w:tcBorders>
                  <w:shd w:val="clear" w:color="auto" w:fill="auto"/>
                  <w:vAlign w:val="center"/>
                </w:tcPr>
                <w:p w14:paraId="43C0D2C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w:t>
                  </w:r>
                </w:p>
              </w:tc>
              <w:tc>
                <w:tcPr>
                  <w:tcW w:w="499" w:type="pct"/>
                  <w:tcBorders>
                    <w:tl2br w:val="nil"/>
                    <w:tr2bl w:val="nil"/>
                  </w:tcBorders>
                  <w:shd w:val="clear" w:color="auto" w:fill="auto"/>
                  <w:vAlign w:val="center"/>
                </w:tcPr>
                <w:p w14:paraId="113460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w:t>
                  </w:r>
                </w:p>
              </w:tc>
              <w:tc>
                <w:tcPr>
                  <w:tcW w:w="872" w:type="pct"/>
                  <w:tcBorders>
                    <w:tl2br w:val="nil"/>
                    <w:tr2bl w:val="nil"/>
                  </w:tcBorders>
                  <w:shd w:val="clear" w:color="auto" w:fill="auto"/>
                  <w:vAlign w:val="center"/>
                </w:tcPr>
                <w:p w14:paraId="0DAA535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4.9</w:t>
                  </w:r>
                </w:p>
              </w:tc>
              <w:tc>
                <w:tcPr>
                  <w:tcW w:w="795" w:type="pct"/>
                  <w:tcBorders>
                    <w:tl2br w:val="nil"/>
                    <w:tr2bl w:val="nil"/>
                  </w:tcBorders>
                  <w:shd w:val="clear" w:color="auto" w:fill="auto"/>
                  <w:vAlign w:val="center"/>
                </w:tcPr>
                <w:p w14:paraId="363BE50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w:t>
                  </w:r>
                </w:p>
              </w:tc>
              <w:tc>
                <w:tcPr>
                  <w:tcW w:w="983" w:type="pct"/>
                  <w:tcBorders>
                    <w:tl2br w:val="nil"/>
                    <w:tr2bl w:val="nil"/>
                  </w:tcBorders>
                  <w:shd w:val="clear" w:color="auto" w:fill="auto"/>
                  <w:vAlign w:val="center"/>
                </w:tcPr>
                <w:p w14:paraId="64B656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19.6</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作危废处置，不外排）</w:t>
                  </w:r>
                </w:p>
              </w:tc>
            </w:tr>
            <w:tr w14:paraId="224B1F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05" w:hRule="atLeast"/>
              </w:trPr>
              <w:tc>
                <w:tcPr>
                  <w:tcW w:w="269" w:type="pct"/>
                  <w:vMerge w:val="continue"/>
                  <w:tcBorders>
                    <w:tl2br w:val="nil"/>
                    <w:tr2bl w:val="nil"/>
                  </w:tcBorders>
                  <w:shd w:val="clear" w:color="auto" w:fill="auto"/>
                  <w:vAlign w:val="center"/>
                </w:tcPr>
                <w:p w14:paraId="485E52A0">
                  <w:pPr>
                    <w:jc w:val="center"/>
                    <w:rPr>
                      <w:rFonts w:hint="eastAsia" w:ascii="宋体" w:hAnsi="宋体" w:eastAsia="宋体" w:cs="宋体"/>
                      <w:i w:val="0"/>
                      <w:iCs w:val="0"/>
                      <w:color w:val="auto"/>
                      <w:sz w:val="21"/>
                      <w:szCs w:val="21"/>
                      <w:u w:val="none"/>
                    </w:rPr>
                  </w:pPr>
                </w:p>
              </w:tc>
              <w:tc>
                <w:tcPr>
                  <w:tcW w:w="772" w:type="pct"/>
                  <w:tcBorders>
                    <w:tl2br w:val="nil"/>
                    <w:tr2bl w:val="nil"/>
                  </w:tcBorders>
                  <w:shd w:val="clear" w:color="auto" w:fill="auto"/>
                  <w:vAlign w:val="center"/>
                </w:tcPr>
                <w:p w14:paraId="2A610F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实验仪器</w:t>
                  </w:r>
                </w:p>
                <w:p w14:paraId="1874425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冷却用水</w:t>
                  </w:r>
                </w:p>
              </w:tc>
              <w:tc>
                <w:tcPr>
                  <w:tcW w:w="808" w:type="pct"/>
                  <w:tcBorders>
                    <w:tl2br w:val="nil"/>
                    <w:tr2bl w:val="nil"/>
                  </w:tcBorders>
                  <w:shd w:val="clear" w:color="auto" w:fill="auto"/>
                  <w:vAlign w:val="center"/>
                </w:tcPr>
                <w:p w14:paraId="1210750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367.5</w:t>
                  </w:r>
                </w:p>
              </w:tc>
              <w:tc>
                <w:tcPr>
                  <w:tcW w:w="499" w:type="pct"/>
                  <w:tcBorders>
                    <w:tl2br w:val="nil"/>
                    <w:tr2bl w:val="nil"/>
                  </w:tcBorders>
                  <w:shd w:val="clear" w:color="auto" w:fill="auto"/>
                  <w:vAlign w:val="center"/>
                </w:tcPr>
                <w:p w14:paraId="50AD2AB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72" w:type="pct"/>
                  <w:tcBorders>
                    <w:tl2br w:val="nil"/>
                    <w:tr2bl w:val="nil"/>
                  </w:tcBorders>
                  <w:shd w:val="clear" w:color="auto" w:fill="auto"/>
                  <w:vAlign w:val="center"/>
                </w:tcPr>
                <w:p w14:paraId="2323D48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122.5</w:t>
                  </w:r>
                </w:p>
              </w:tc>
              <w:tc>
                <w:tcPr>
                  <w:tcW w:w="795" w:type="pct"/>
                  <w:tcBorders>
                    <w:tl2br w:val="nil"/>
                    <w:tr2bl w:val="nil"/>
                  </w:tcBorders>
                  <w:shd w:val="clear" w:color="auto" w:fill="auto"/>
                  <w:vAlign w:val="center"/>
                </w:tcPr>
                <w:p w14:paraId="61E2B63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61.25</w:t>
                  </w:r>
                </w:p>
              </w:tc>
              <w:tc>
                <w:tcPr>
                  <w:tcW w:w="983" w:type="pct"/>
                  <w:tcBorders>
                    <w:tl2br w:val="nil"/>
                    <w:tr2bl w:val="nil"/>
                  </w:tcBorders>
                  <w:shd w:val="clear" w:color="auto" w:fill="auto"/>
                  <w:vAlign w:val="center"/>
                </w:tcPr>
                <w:p w14:paraId="7789BCDF">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183.75（循环冷却水不外排）</w:t>
                  </w:r>
                </w:p>
              </w:tc>
            </w:tr>
            <w:tr w14:paraId="05DFF9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17" w:hRule="atLeast"/>
              </w:trPr>
              <w:tc>
                <w:tcPr>
                  <w:tcW w:w="269" w:type="pct"/>
                  <w:vMerge w:val="continue"/>
                  <w:tcBorders>
                    <w:tl2br w:val="nil"/>
                    <w:tr2bl w:val="nil"/>
                  </w:tcBorders>
                  <w:shd w:val="clear" w:color="auto" w:fill="auto"/>
                  <w:vAlign w:val="center"/>
                </w:tcPr>
                <w:p w14:paraId="24B67C27">
                  <w:pPr>
                    <w:jc w:val="center"/>
                    <w:rPr>
                      <w:rFonts w:hint="eastAsia" w:ascii="宋体" w:hAnsi="宋体" w:eastAsia="宋体" w:cs="宋体"/>
                      <w:i w:val="0"/>
                      <w:iCs w:val="0"/>
                      <w:color w:val="auto"/>
                      <w:sz w:val="21"/>
                      <w:szCs w:val="21"/>
                      <w:u w:val="none"/>
                    </w:rPr>
                  </w:pPr>
                </w:p>
              </w:tc>
              <w:tc>
                <w:tcPr>
                  <w:tcW w:w="772" w:type="pct"/>
                  <w:tcBorders>
                    <w:tl2br w:val="nil"/>
                    <w:tr2bl w:val="nil"/>
                  </w:tcBorders>
                  <w:shd w:val="clear" w:color="auto" w:fill="auto"/>
                  <w:vAlign w:val="center"/>
                </w:tcPr>
                <w:p w14:paraId="05F5B0A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台面、地面清洗用水</w:t>
                  </w:r>
                </w:p>
              </w:tc>
              <w:tc>
                <w:tcPr>
                  <w:tcW w:w="808" w:type="pct"/>
                  <w:tcBorders>
                    <w:tl2br w:val="nil"/>
                    <w:tr2bl w:val="nil"/>
                  </w:tcBorders>
                  <w:shd w:val="clear" w:color="auto" w:fill="auto"/>
                  <w:vAlign w:val="center"/>
                </w:tcPr>
                <w:p w14:paraId="5E0C6B1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122.5</w:t>
                  </w:r>
                </w:p>
              </w:tc>
              <w:tc>
                <w:tcPr>
                  <w:tcW w:w="499" w:type="pct"/>
                  <w:tcBorders>
                    <w:tl2br w:val="nil"/>
                    <w:tr2bl w:val="nil"/>
                  </w:tcBorders>
                  <w:shd w:val="clear" w:color="auto" w:fill="auto"/>
                  <w:vAlign w:val="center"/>
                </w:tcPr>
                <w:p w14:paraId="5452CCE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72" w:type="pct"/>
                  <w:tcBorders>
                    <w:tl2br w:val="nil"/>
                    <w:tr2bl w:val="nil"/>
                  </w:tcBorders>
                  <w:shd w:val="clear" w:color="auto" w:fill="auto"/>
                  <w:vAlign w:val="center"/>
                </w:tcPr>
                <w:p w14:paraId="743365E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w:t>
                  </w:r>
                </w:p>
              </w:tc>
              <w:tc>
                <w:tcPr>
                  <w:tcW w:w="795" w:type="pct"/>
                  <w:tcBorders>
                    <w:tl2br w:val="nil"/>
                    <w:tr2bl w:val="nil"/>
                  </w:tcBorders>
                  <w:shd w:val="clear" w:color="auto" w:fill="auto"/>
                  <w:vAlign w:val="center"/>
                </w:tcPr>
                <w:p w14:paraId="09C1CDA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98</w:t>
                  </w:r>
                </w:p>
              </w:tc>
              <w:tc>
                <w:tcPr>
                  <w:tcW w:w="983" w:type="pct"/>
                  <w:tcBorders>
                    <w:tl2br w:val="nil"/>
                    <w:tr2bl w:val="nil"/>
                  </w:tcBorders>
                  <w:shd w:val="clear" w:color="auto" w:fill="auto"/>
                  <w:vAlign w:val="center"/>
                </w:tcPr>
                <w:p w14:paraId="394919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5B7123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8" w:hRule="atLeast"/>
              </w:trPr>
              <w:tc>
                <w:tcPr>
                  <w:tcW w:w="269" w:type="pct"/>
                  <w:vMerge w:val="continue"/>
                  <w:tcBorders>
                    <w:tl2br w:val="nil"/>
                    <w:tr2bl w:val="nil"/>
                  </w:tcBorders>
                  <w:shd w:val="clear" w:color="auto" w:fill="auto"/>
                  <w:vAlign w:val="center"/>
                </w:tcPr>
                <w:p w14:paraId="777EA92A">
                  <w:pPr>
                    <w:jc w:val="center"/>
                    <w:rPr>
                      <w:rFonts w:hint="eastAsia" w:ascii="宋体" w:hAnsi="宋体" w:eastAsia="宋体" w:cs="宋体"/>
                      <w:i w:val="0"/>
                      <w:iCs w:val="0"/>
                      <w:color w:val="auto"/>
                      <w:sz w:val="21"/>
                      <w:szCs w:val="21"/>
                      <w:u w:val="none"/>
                    </w:rPr>
                  </w:pPr>
                </w:p>
              </w:tc>
              <w:tc>
                <w:tcPr>
                  <w:tcW w:w="772" w:type="pct"/>
                  <w:tcBorders>
                    <w:tl2br w:val="nil"/>
                    <w:tr2bl w:val="nil"/>
                  </w:tcBorders>
                  <w:shd w:val="clear" w:color="auto" w:fill="auto"/>
                  <w:vAlign w:val="center"/>
                </w:tcPr>
                <w:p w14:paraId="2C8162B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纯水机尾水</w:t>
                  </w:r>
                </w:p>
              </w:tc>
              <w:tc>
                <w:tcPr>
                  <w:tcW w:w="808" w:type="pct"/>
                  <w:tcBorders>
                    <w:tl2br w:val="nil"/>
                    <w:tr2bl w:val="nil"/>
                  </w:tcBorders>
                  <w:shd w:val="clear" w:color="auto" w:fill="auto"/>
                  <w:vAlign w:val="center"/>
                </w:tcPr>
                <w:p w14:paraId="56F5070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30</w:t>
                  </w:r>
                </w:p>
              </w:tc>
              <w:tc>
                <w:tcPr>
                  <w:tcW w:w="499" w:type="pct"/>
                  <w:tcBorders>
                    <w:tl2br w:val="nil"/>
                    <w:tr2bl w:val="nil"/>
                  </w:tcBorders>
                  <w:shd w:val="clear" w:color="auto" w:fill="auto"/>
                  <w:vAlign w:val="center"/>
                </w:tcPr>
                <w:p w14:paraId="1ABEBF7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872" w:type="pct"/>
                  <w:tcBorders>
                    <w:tl2br w:val="nil"/>
                    <w:tr2bl w:val="nil"/>
                  </w:tcBorders>
                  <w:shd w:val="clear" w:color="auto" w:fill="auto"/>
                  <w:vAlign w:val="center"/>
                </w:tcPr>
                <w:p w14:paraId="348F59E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795" w:type="pct"/>
                  <w:tcBorders>
                    <w:tl2br w:val="nil"/>
                    <w:tr2bl w:val="nil"/>
                  </w:tcBorders>
                  <w:shd w:val="clear" w:color="auto" w:fill="auto"/>
                  <w:vAlign w:val="center"/>
                </w:tcPr>
                <w:p w14:paraId="0D60113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10.5</w:t>
                  </w:r>
                </w:p>
              </w:tc>
              <w:tc>
                <w:tcPr>
                  <w:tcW w:w="983" w:type="pct"/>
                  <w:tcBorders>
                    <w:tl2br w:val="nil"/>
                    <w:tr2bl w:val="nil"/>
                  </w:tcBorders>
                  <w:shd w:val="clear" w:color="auto" w:fill="auto"/>
                  <w:vAlign w:val="center"/>
                </w:tcPr>
                <w:p w14:paraId="58A40F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709674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9" w:hRule="atLeast"/>
              </w:trPr>
              <w:tc>
                <w:tcPr>
                  <w:tcW w:w="1041" w:type="pct"/>
                  <w:gridSpan w:val="2"/>
                  <w:tcBorders>
                    <w:tl2br w:val="nil"/>
                    <w:tr2bl w:val="nil"/>
                  </w:tcBorders>
                  <w:shd w:val="clear" w:color="auto" w:fill="auto"/>
                  <w:vAlign w:val="center"/>
                </w:tcPr>
                <w:p w14:paraId="54873B8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合计</w:t>
                  </w:r>
                </w:p>
              </w:tc>
              <w:tc>
                <w:tcPr>
                  <w:tcW w:w="1275" w:type="dxa"/>
                  <w:tcBorders>
                    <w:tl2br w:val="nil"/>
                    <w:tr2bl w:val="nil"/>
                  </w:tcBorders>
                  <w:shd w:val="clear" w:color="auto" w:fill="auto"/>
                  <w:vAlign w:val="center"/>
                </w:tcPr>
                <w:p w14:paraId="214349E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598.5</w:t>
                  </w:r>
                </w:p>
              </w:tc>
              <w:tc>
                <w:tcPr>
                  <w:tcW w:w="788" w:type="dxa"/>
                  <w:tcBorders>
                    <w:tl2br w:val="nil"/>
                    <w:tr2bl w:val="nil"/>
                  </w:tcBorders>
                  <w:shd w:val="clear" w:color="auto" w:fill="auto"/>
                  <w:vAlign w:val="center"/>
                </w:tcPr>
                <w:p w14:paraId="23C305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w:t>
                  </w:r>
                </w:p>
              </w:tc>
              <w:tc>
                <w:tcPr>
                  <w:tcW w:w="1376" w:type="dxa"/>
                  <w:tcBorders>
                    <w:tl2br w:val="nil"/>
                    <w:tr2bl w:val="nil"/>
                  </w:tcBorders>
                  <w:shd w:val="clear" w:color="auto" w:fill="auto"/>
                  <w:vAlign w:val="center"/>
                </w:tcPr>
                <w:p w14:paraId="67596B3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166.6</w:t>
                  </w:r>
                </w:p>
              </w:tc>
              <w:tc>
                <w:tcPr>
                  <w:tcW w:w="1255" w:type="dxa"/>
                  <w:tcBorders>
                    <w:tl2br w:val="nil"/>
                    <w:tr2bl w:val="nil"/>
                  </w:tcBorders>
                  <w:shd w:val="clear" w:color="auto" w:fill="auto"/>
                  <w:vAlign w:val="center"/>
                </w:tcPr>
                <w:p w14:paraId="6EF8D98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bidi="ar"/>
                    </w:rPr>
                  </w:pPr>
                  <w:r>
                    <w:rPr>
                      <w:rFonts w:hint="default" w:ascii="Times New Roman" w:hAnsi="Times New Roman" w:eastAsia="宋体" w:cs="Times New Roman"/>
                      <w:i w:val="0"/>
                      <w:iCs w:val="0"/>
                      <w:color w:val="auto"/>
                      <w:kern w:val="0"/>
                      <w:sz w:val="21"/>
                      <w:szCs w:val="21"/>
                      <w:u w:val="none"/>
                      <w:lang w:val="en-US" w:eastAsia="zh-CN" w:bidi="ar"/>
                    </w:rPr>
                    <w:t>218.75</w:t>
                  </w:r>
                </w:p>
              </w:tc>
              <w:tc>
                <w:tcPr>
                  <w:tcW w:w="1551" w:type="dxa"/>
                  <w:tcBorders>
                    <w:tl2br w:val="nil"/>
                    <w:tr2bl w:val="nil"/>
                  </w:tcBorders>
                  <w:shd w:val="clear" w:color="auto" w:fill="auto"/>
                  <w:vAlign w:val="center"/>
                </w:tcPr>
                <w:p w14:paraId="5D77961C">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213.15</w:t>
                  </w:r>
                  <w:r>
                    <w:rPr>
                      <w:rFonts w:hint="eastAsia" w:cs="Times New Roman"/>
                      <w:i w:val="0"/>
                      <w:iCs w:val="0"/>
                      <w:color w:val="auto"/>
                      <w:kern w:val="0"/>
                      <w:sz w:val="21"/>
                      <w:szCs w:val="21"/>
                      <w:u w:val="none"/>
                      <w:lang w:val="en-US" w:eastAsia="zh-CN" w:bidi="ar"/>
                    </w:rPr>
                    <w:t>（不外排）</w:t>
                  </w:r>
                </w:p>
              </w:tc>
            </w:tr>
          </w:tbl>
          <w:p w14:paraId="02B47125">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0" w:leftChars="0" w:firstLine="482" w:firstLineChars="200"/>
              <w:jc w:val="center"/>
              <w:textAlignment w:val="auto"/>
              <w:rPr>
                <w:rFonts w:hint="eastAsia" w:ascii="Times New Roman" w:hAnsi="Times New Roman" w:eastAsia="宋体" w:cs="Times New Roman"/>
                <w:b/>
                <w:bCs/>
                <w:color w:val="auto"/>
                <w:sz w:val="24"/>
                <w:highlight w:val="none"/>
                <w:lang w:val="en-US" w:eastAsia="zh-CN"/>
              </w:rPr>
            </w:pPr>
          </w:p>
          <w:p w14:paraId="28DEB928">
            <w:pPr>
              <w:numPr>
                <w:ilvl w:val="0"/>
                <w:numId w:val="0"/>
              </w:numPr>
              <w:autoSpaceDE w:val="0"/>
              <w:autoSpaceDN w:val="0"/>
              <w:adjustRightInd w:val="0"/>
              <w:spacing w:before="120" w:beforeLines="50" w:line="360" w:lineRule="auto"/>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object>
                <v:shape id="_x0000_i1026" o:spt="75" type="#_x0000_t75" style="height:264.35pt;width:386.55pt;" o:ole="t" filled="f" o:preferrelative="t" stroked="f" coordsize="21600,21600">
                  <v:path/>
                  <v:fill on="f" focussize="0,0"/>
                  <v:stroke on="f"/>
                  <v:imagedata r:id="rId13" o:title=""/>
                  <o:lock v:ext="edit" aspectratio="f"/>
                  <w10:wrap type="none"/>
                  <w10:anchorlock/>
                </v:shape>
                <o:OLEObject Type="Embed" ProgID="Visio.Drawing.15" ShapeID="_x0000_i1026" DrawAspect="Content" ObjectID="_1468075726" r:id="rId12">
                  <o:LockedField>false</o:LockedField>
                </o:OLEObject>
              </w:object>
            </w:r>
          </w:p>
          <w:p w14:paraId="71F01F52">
            <w:pPr>
              <w:numPr>
                <w:ilvl w:val="0"/>
                <w:numId w:val="0"/>
              </w:numPr>
              <w:autoSpaceDE w:val="0"/>
              <w:autoSpaceDN w:val="0"/>
              <w:adjustRightInd w:val="0"/>
              <w:spacing w:before="120" w:beforeLines="50" w:line="360" w:lineRule="auto"/>
              <w:jc w:val="center"/>
              <w:rPr>
                <w:rFonts w:hint="eastAsia"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图2-</w:t>
            </w:r>
            <w:r>
              <w:rPr>
                <w:rFonts w:hint="eastAsia" w:cs="Times New Roman"/>
                <w:b/>
                <w:bCs/>
                <w:color w:val="auto"/>
                <w:sz w:val="24"/>
                <w:highlight w:val="none"/>
                <w:lang w:val="en-US" w:eastAsia="zh-CN"/>
              </w:rPr>
              <w:t>2</w:t>
            </w:r>
            <w:r>
              <w:rPr>
                <w:rFonts w:hint="default" w:ascii="Times New Roman" w:hAnsi="Times New Roman" w:eastAsia="宋体" w:cs="Times New Roman"/>
                <w:b/>
                <w:bCs/>
                <w:color w:val="auto"/>
                <w:sz w:val="24"/>
                <w:highlight w:val="none"/>
                <w:lang w:val="en-US" w:eastAsia="zh-CN"/>
              </w:rPr>
              <w:t xml:space="preserve"> </w:t>
            </w:r>
            <w:r>
              <w:rPr>
                <w:rFonts w:hint="eastAsia" w:cs="Times New Roman"/>
                <w:b/>
                <w:bCs/>
                <w:color w:val="auto"/>
                <w:sz w:val="24"/>
                <w:highlight w:val="none"/>
                <w:lang w:val="en-US" w:eastAsia="zh-CN"/>
              </w:rPr>
              <w:t>本</w:t>
            </w:r>
            <w:r>
              <w:rPr>
                <w:rFonts w:hint="default" w:ascii="Times New Roman" w:hAnsi="Times New Roman" w:eastAsia="宋体" w:cs="Times New Roman"/>
                <w:b/>
                <w:bCs/>
                <w:color w:val="auto"/>
                <w:sz w:val="24"/>
                <w:highlight w:val="none"/>
                <w:lang w:val="en-US" w:eastAsia="zh-CN"/>
              </w:rPr>
              <w:t>项目水平衡图</w:t>
            </w:r>
            <w:r>
              <w:rPr>
                <w:rFonts w:hint="eastAsia" w:cs="Times New Roman"/>
                <w:b/>
                <w:bCs/>
                <w:color w:val="auto"/>
                <w:sz w:val="24"/>
                <w:highlight w:val="none"/>
                <w:lang w:val="en-US" w:eastAsia="zh-CN"/>
              </w:rPr>
              <w:t xml:space="preserve">    （单位：m</w:t>
            </w:r>
            <w:r>
              <w:rPr>
                <w:rFonts w:hint="eastAsia" w:cs="Times New Roman"/>
                <w:b/>
                <w:bCs/>
                <w:color w:val="auto"/>
                <w:sz w:val="24"/>
                <w:highlight w:val="none"/>
                <w:vertAlign w:val="superscript"/>
                <w:lang w:val="en-US" w:eastAsia="zh-CN"/>
              </w:rPr>
              <w:t>3</w:t>
            </w:r>
            <w:r>
              <w:rPr>
                <w:rFonts w:hint="eastAsia" w:cs="Times New Roman"/>
                <w:b/>
                <w:bCs/>
                <w:color w:val="auto"/>
                <w:sz w:val="24"/>
                <w:highlight w:val="none"/>
                <w:vertAlign w:val="baseline"/>
                <w:lang w:val="en-US" w:eastAsia="zh-CN"/>
              </w:rPr>
              <w:t>/</w:t>
            </w:r>
            <w:r>
              <w:rPr>
                <w:rFonts w:hint="eastAsia" w:cs="Times New Roman"/>
                <w:b/>
                <w:bCs/>
                <w:color w:val="auto"/>
                <w:sz w:val="24"/>
                <w:highlight w:val="none"/>
                <w:lang w:val="en-US" w:eastAsia="zh-CN"/>
              </w:rPr>
              <w:t>d）</w:t>
            </w:r>
          </w:p>
          <w:p w14:paraId="210D3776">
            <w:pPr>
              <w:numPr>
                <w:ilvl w:val="0"/>
                <w:numId w:val="0"/>
              </w:numPr>
              <w:autoSpaceDE w:val="0"/>
              <w:autoSpaceDN w:val="0"/>
              <w:adjustRightInd w:val="0"/>
              <w:spacing w:before="120" w:beforeLines="50" w:line="360" w:lineRule="auto"/>
              <w:ind w:firstLine="480" w:firstLineChars="200"/>
              <w:jc w:val="both"/>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w:t>
            </w:r>
            <w:r>
              <w:rPr>
                <w:rFonts w:hint="eastAsia" w:ascii="Times New Roman" w:hAnsi="Times New Roman" w:eastAsia="宋体" w:cs="Times New Roman"/>
                <w:b w:val="0"/>
                <w:bCs w:val="0"/>
                <w:color w:val="auto"/>
                <w:sz w:val="24"/>
                <w:highlight w:val="none"/>
                <w:lang w:val="en-US" w:eastAsia="zh-CN"/>
              </w:rPr>
              <w:t>项目</w:t>
            </w:r>
            <w:r>
              <w:rPr>
                <w:rFonts w:hint="eastAsia" w:cs="Times New Roman"/>
                <w:b w:val="0"/>
                <w:bCs w:val="0"/>
                <w:color w:val="auto"/>
                <w:sz w:val="24"/>
                <w:highlight w:val="none"/>
                <w:lang w:val="en-US" w:eastAsia="zh-CN"/>
              </w:rPr>
              <w:t>建成后项目全厂</w:t>
            </w:r>
            <w:r>
              <w:rPr>
                <w:rFonts w:hint="eastAsia" w:ascii="Times New Roman" w:hAnsi="Times New Roman" w:eastAsia="宋体" w:cs="Times New Roman"/>
                <w:b w:val="0"/>
                <w:bCs w:val="0"/>
                <w:color w:val="auto"/>
                <w:sz w:val="24"/>
                <w:highlight w:val="none"/>
                <w:lang w:val="en-US" w:eastAsia="zh-CN"/>
              </w:rPr>
              <w:t>用水、排水一览表见表2-</w:t>
            </w:r>
            <w:r>
              <w:rPr>
                <w:rFonts w:hint="eastAsia" w:cs="Times New Roman"/>
                <w:b w:val="0"/>
                <w:bCs w:val="0"/>
                <w:color w:val="auto"/>
                <w:sz w:val="24"/>
                <w:highlight w:val="none"/>
                <w:lang w:val="en-US" w:eastAsia="zh-CN"/>
              </w:rPr>
              <w:t>9</w:t>
            </w:r>
            <w:r>
              <w:rPr>
                <w:rFonts w:hint="eastAsia" w:ascii="Times New Roman" w:hAnsi="Times New Roman" w:eastAsia="宋体" w:cs="Times New Roman"/>
                <w:b w:val="0"/>
                <w:bCs w:val="0"/>
                <w:color w:val="auto"/>
                <w:sz w:val="24"/>
                <w:highlight w:val="none"/>
                <w:lang w:val="en-US" w:eastAsia="zh-CN"/>
              </w:rPr>
              <w:t>，水平衡见图2-</w:t>
            </w:r>
            <w:r>
              <w:rPr>
                <w:rFonts w:hint="eastAsia" w:cs="Times New Roman"/>
                <w:b w:val="0"/>
                <w:bCs w:val="0"/>
                <w:color w:val="auto"/>
                <w:sz w:val="24"/>
                <w:highlight w:val="none"/>
                <w:lang w:val="en-US" w:eastAsia="zh-CN"/>
              </w:rPr>
              <w:t>3</w:t>
            </w:r>
            <w:r>
              <w:rPr>
                <w:rFonts w:hint="eastAsia" w:ascii="Times New Roman" w:hAnsi="Times New Roman" w:eastAsia="宋体" w:cs="Times New Roman"/>
                <w:b w:val="0"/>
                <w:bCs w:val="0"/>
                <w:color w:val="auto"/>
                <w:sz w:val="24"/>
                <w:highlight w:val="none"/>
                <w:lang w:val="en-US" w:eastAsia="zh-CN"/>
              </w:rPr>
              <w:t>。</w:t>
            </w:r>
          </w:p>
          <w:p w14:paraId="156E85AB">
            <w:pPr>
              <w:numPr>
                <w:ilvl w:val="0"/>
                <w:numId w:val="0"/>
              </w:numPr>
              <w:autoSpaceDE w:val="0"/>
              <w:autoSpaceDN w:val="0"/>
              <w:adjustRightInd w:val="0"/>
              <w:spacing w:before="120" w:beforeLines="50" w:line="360" w:lineRule="auto"/>
              <w:ind w:firstLine="482" w:firstLineChars="20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表2-</w:t>
            </w:r>
            <w:r>
              <w:rPr>
                <w:rFonts w:hint="eastAsia" w:cs="Times New Roman"/>
                <w:b/>
                <w:bCs/>
                <w:color w:val="auto"/>
                <w:sz w:val="24"/>
                <w:highlight w:val="none"/>
                <w:lang w:val="en-US" w:eastAsia="zh-CN"/>
              </w:rPr>
              <w:t xml:space="preserve">9 </w:t>
            </w:r>
            <w:r>
              <w:rPr>
                <w:rFonts w:hint="eastAsia" w:ascii="Times New Roman" w:hAnsi="Times New Roman" w:eastAsia="宋体" w:cs="Times New Roman"/>
                <w:b/>
                <w:bCs/>
                <w:color w:val="auto"/>
                <w:sz w:val="24"/>
                <w:highlight w:val="none"/>
                <w:lang w:val="en-US" w:eastAsia="zh-CN"/>
              </w:rPr>
              <w:t>项目</w:t>
            </w:r>
            <w:r>
              <w:rPr>
                <w:rFonts w:hint="eastAsia" w:cs="Times New Roman"/>
                <w:b/>
                <w:bCs/>
                <w:color w:val="auto"/>
                <w:sz w:val="24"/>
                <w:highlight w:val="none"/>
                <w:lang w:val="en-US" w:eastAsia="zh-CN"/>
              </w:rPr>
              <w:t>全厂</w:t>
            </w:r>
            <w:r>
              <w:rPr>
                <w:rFonts w:hint="eastAsia" w:ascii="Times New Roman" w:hAnsi="Times New Roman" w:eastAsia="宋体" w:cs="Times New Roman"/>
                <w:b/>
                <w:bCs/>
                <w:color w:val="auto"/>
                <w:sz w:val="24"/>
                <w:highlight w:val="none"/>
                <w:lang w:val="en-US" w:eastAsia="zh-CN"/>
              </w:rPr>
              <w:t>用水、排水情况表</w:t>
            </w:r>
          </w:p>
          <w:tbl>
            <w:tblPr>
              <w:tblStyle w:val="30"/>
              <w:tblW w:w="7837" w:type="dxa"/>
              <w:tblInd w:w="8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70"/>
              <w:gridCol w:w="899"/>
              <w:gridCol w:w="655"/>
              <w:gridCol w:w="656"/>
              <w:gridCol w:w="631"/>
              <w:gridCol w:w="596"/>
              <w:gridCol w:w="655"/>
              <w:gridCol w:w="656"/>
              <w:gridCol w:w="683"/>
              <w:gridCol w:w="770"/>
              <w:gridCol w:w="683"/>
              <w:gridCol w:w="683"/>
            </w:tblGrid>
            <w:tr w14:paraId="725A45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8" w:hRule="atLeast"/>
              </w:trPr>
              <w:tc>
                <w:tcPr>
                  <w:tcW w:w="1169" w:type="dxa"/>
                  <w:gridSpan w:val="2"/>
                  <w:vMerge w:val="restart"/>
                  <w:tcBorders>
                    <w:tl2br w:val="nil"/>
                    <w:tr2bl w:val="nil"/>
                  </w:tcBorders>
                  <w:shd w:val="clear" w:color="auto" w:fill="auto"/>
                  <w:vAlign w:val="center"/>
                </w:tcPr>
                <w:p w14:paraId="21B3D5AA">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项目</w:t>
                  </w:r>
                </w:p>
              </w:tc>
              <w:tc>
                <w:tcPr>
                  <w:tcW w:w="1311" w:type="dxa"/>
                  <w:gridSpan w:val="2"/>
                  <w:tcBorders>
                    <w:tl2br w:val="nil"/>
                    <w:tr2bl w:val="nil"/>
                  </w:tcBorders>
                  <w:shd w:val="clear" w:color="auto" w:fill="auto"/>
                  <w:vAlign w:val="center"/>
                </w:tcPr>
                <w:p w14:paraId="4FB14225">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新鲜水用量</w:t>
                  </w:r>
                  <w:r>
                    <w:rPr>
                      <w:rFonts w:hint="default" w:ascii="Times New Roman" w:hAnsi="Times New Roman" w:eastAsia="宋体" w:cs="Times New Roman"/>
                      <w:b/>
                      <w:bCs/>
                      <w:i w:val="0"/>
                      <w:iCs w:val="0"/>
                      <w:color w:val="auto"/>
                      <w:kern w:val="0"/>
                      <w:sz w:val="18"/>
                      <w:szCs w:val="18"/>
                      <w:u w:val="none"/>
                      <w:lang w:val="en-US" w:eastAsia="zh-CN" w:bidi="ar"/>
                    </w:rPr>
                    <w:t>m</w:t>
                  </w:r>
                  <w:r>
                    <w:rPr>
                      <w:rFonts w:hint="default" w:ascii="Times New Roman" w:hAnsi="Times New Roman" w:eastAsia="宋体" w:cs="Times New Roman"/>
                      <w:b/>
                      <w:bCs/>
                      <w:i w:val="0"/>
                      <w:iCs w:val="0"/>
                      <w:color w:val="auto"/>
                      <w:kern w:val="0"/>
                      <w:sz w:val="18"/>
                      <w:szCs w:val="18"/>
                      <w:u w:val="none"/>
                      <w:vertAlign w:val="superscript"/>
                      <w:lang w:val="en-US" w:eastAsia="zh-CN" w:bidi="ar"/>
                    </w:rPr>
                    <w:t>3</w:t>
                  </w:r>
                  <w:r>
                    <w:rPr>
                      <w:rFonts w:hint="default" w:ascii="Times New Roman" w:hAnsi="Times New Roman" w:eastAsia="宋体" w:cs="Times New Roman"/>
                      <w:b/>
                      <w:bCs/>
                      <w:i w:val="0"/>
                      <w:iCs w:val="0"/>
                      <w:color w:val="auto"/>
                      <w:kern w:val="0"/>
                      <w:sz w:val="18"/>
                      <w:szCs w:val="18"/>
                      <w:u w:val="none"/>
                      <w:lang w:val="en-US" w:eastAsia="zh-CN" w:bidi="ar"/>
                    </w:rPr>
                    <w:t>/a</w:t>
                  </w:r>
                </w:p>
              </w:tc>
              <w:tc>
                <w:tcPr>
                  <w:tcW w:w="1227" w:type="dxa"/>
                  <w:gridSpan w:val="2"/>
                  <w:tcBorders>
                    <w:tl2br w:val="nil"/>
                    <w:tr2bl w:val="nil"/>
                  </w:tcBorders>
                  <w:shd w:val="clear" w:color="auto" w:fill="auto"/>
                  <w:vAlign w:val="center"/>
                </w:tcPr>
                <w:p w14:paraId="4356AB18">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纯水用量</w:t>
                  </w:r>
                  <w:r>
                    <w:rPr>
                      <w:rFonts w:hint="default" w:ascii="Times New Roman" w:hAnsi="Times New Roman" w:eastAsia="宋体" w:cs="Times New Roman"/>
                      <w:b/>
                      <w:bCs/>
                      <w:i w:val="0"/>
                      <w:iCs w:val="0"/>
                      <w:color w:val="auto"/>
                      <w:kern w:val="0"/>
                      <w:sz w:val="18"/>
                      <w:szCs w:val="18"/>
                      <w:u w:val="none"/>
                      <w:lang w:val="en-US" w:eastAsia="zh-CN" w:bidi="ar"/>
                    </w:rPr>
                    <w:t>m</w:t>
                  </w:r>
                  <w:r>
                    <w:rPr>
                      <w:rFonts w:hint="default" w:ascii="Times New Roman" w:hAnsi="Times New Roman" w:eastAsia="宋体" w:cs="Times New Roman"/>
                      <w:b/>
                      <w:bCs/>
                      <w:i w:val="0"/>
                      <w:iCs w:val="0"/>
                      <w:color w:val="auto"/>
                      <w:kern w:val="0"/>
                      <w:sz w:val="18"/>
                      <w:szCs w:val="18"/>
                      <w:u w:val="none"/>
                      <w:vertAlign w:val="superscript"/>
                      <w:lang w:val="en-US" w:eastAsia="zh-CN" w:bidi="ar"/>
                    </w:rPr>
                    <w:t>3</w:t>
                  </w:r>
                  <w:r>
                    <w:rPr>
                      <w:rFonts w:hint="default" w:ascii="Times New Roman" w:hAnsi="Times New Roman" w:eastAsia="宋体" w:cs="Times New Roman"/>
                      <w:b/>
                      <w:bCs/>
                      <w:i w:val="0"/>
                      <w:iCs w:val="0"/>
                      <w:color w:val="auto"/>
                      <w:kern w:val="0"/>
                      <w:sz w:val="18"/>
                      <w:szCs w:val="18"/>
                      <w:u w:val="none"/>
                      <w:lang w:val="en-US" w:eastAsia="zh-CN" w:bidi="ar"/>
                    </w:rPr>
                    <w:t>/a</w:t>
                  </w:r>
                </w:p>
              </w:tc>
              <w:tc>
                <w:tcPr>
                  <w:tcW w:w="1311" w:type="dxa"/>
                  <w:gridSpan w:val="2"/>
                  <w:tcBorders>
                    <w:tl2br w:val="nil"/>
                    <w:tr2bl w:val="nil"/>
                  </w:tcBorders>
                  <w:shd w:val="clear" w:color="auto" w:fill="auto"/>
                  <w:vAlign w:val="center"/>
                </w:tcPr>
                <w:p w14:paraId="236E2AE5">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损耗量</w:t>
                  </w:r>
                  <w:r>
                    <w:rPr>
                      <w:rFonts w:hint="default" w:ascii="Times New Roman" w:hAnsi="Times New Roman" w:eastAsia="宋体" w:cs="Times New Roman"/>
                      <w:b/>
                      <w:bCs/>
                      <w:i w:val="0"/>
                      <w:iCs w:val="0"/>
                      <w:color w:val="auto"/>
                      <w:kern w:val="0"/>
                      <w:sz w:val="18"/>
                      <w:szCs w:val="18"/>
                      <w:u w:val="none"/>
                      <w:lang w:val="en-US" w:eastAsia="zh-CN" w:bidi="ar"/>
                    </w:rPr>
                    <w:t>m</w:t>
                  </w:r>
                  <w:r>
                    <w:rPr>
                      <w:rFonts w:hint="default" w:ascii="Times New Roman" w:hAnsi="Times New Roman" w:eastAsia="宋体" w:cs="Times New Roman"/>
                      <w:b/>
                      <w:bCs/>
                      <w:i w:val="0"/>
                      <w:iCs w:val="0"/>
                      <w:color w:val="auto"/>
                      <w:kern w:val="0"/>
                      <w:sz w:val="18"/>
                      <w:szCs w:val="18"/>
                      <w:u w:val="none"/>
                      <w:vertAlign w:val="superscript"/>
                      <w:lang w:val="en-US" w:eastAsia="zh-CN" w:bidi="ar"/>
                    </w:rPr>
                    <w:t>3</w:t>
                  </w:r>
                  <w:r>
                    <w:rPr>
                      <w:rFonts w:hint="default" w:ascii="Times New Roman" w:hAnsi="Times New Roman" w:eastAsia="宋体" w:cs="Times New Roman"/>
                      <w:b/>
                      <w:bCs/>
                      <w:i w:val="0"/>
                      <w:iCs w:val="0"/>
                      <w:color w:val="auto"/>
                      <w:kern w:val="0"/>
                      <w:sz w:val="18"/>
                      <w:szCs w:val="18"/>
                      <w:u w:val="none"/>
                      <w:lang w:val="en-US" w:eastAsia="zh-CN" w:bidi="ar"/>
                    </w:rPr>
                    <w:t>/a</w:t>
                  </w:r>
                </w:p>
              </w:tc>
              <w:tc>
                <w:tcPr>
                  <w:tcW w:w="1453" w:type="dxa"/>
                  <w:gridSpan w:val="2"/>
                  <w:tcBorders>
                    <w:tl2br w:val="nil"/>
                    <w:tr2bl w:val="nil"/>
                  </w:tcBorders>
                  <w:shd w:val="clear" w:color="auto" w:fill="auto"/>
                  <w:vAlign w:val="center"/>
                </w:tcPr>
                <w:p w14:paraId="00209B79">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排水量</w:t>
                  </w:r>
                  <w:r>
                    <w:rPr>
                      <w:rFonts w:hint="default" w:ascii="Times New Roman" w:hAnsi="Times New Roman" w:eastAsia="宋体" w:cs="Times New Roman"/>
                      <w:b/>
                      <w:bCs/>
                      <w:i w:val="0"/>
                      <w:iCs w:val="0"/>
                      <w:color w:val="auto"/>
                      <w:kern w:val="0"/>
                      <w:sz w:val="18"/>
                      <w:szCs w:val="18"/>
                      <w:u w:val="none"/>
                      <w:lang w:val="en-US" w:eastAsia="zh-CN" w:bidi="ar"/>
                    </w:rPr>
                    <w:t>m</w:t>
                  </w:r>
                  <w:r>
                    <w:rPr>
                      <w:rFonts w:hint="default" w:ascii="Times New Roman" w:hAnsi="Times New Roman" w:eastAsia="宋体" w:cs="Times New Roman"/>
                      <w:b/>
                      <w:bCs/>
                      <w:i w:val="0"/>
                      <w:iCs w:val="0"/>
                      <w:color w:val="auto"/>
                      <w:kern w:val="0"/>
                      <w:sz w:val="18"/>
                      <w:szCs w:val="18"/>
                      <w:u w:val="none"/>
                      <w:vertAlign w:val="superscript"/>
                      <w:lang w:val="en-US" w:eastAsia="zh-CN" w:bidi="ar"/>
                    </w:rPr>
                    <w:t>3</w:t>
                  </w:r>
                  <w:r>
                    <w:rPr>
                      <w:rFonts w:hint="default" w:ascii="Times New Roman" w:hAnsi="Times New Roman" w:eastAsia="宋体" w:cs="Times New Roman"/>
                      <w:b/>
                      <w:bCs/>
                      <w:i w:val="0"/>
                      <w:iCs w:val="0"/>
                      <w:color w:val="auto"/>
                      <w:kern w:val="0"/>
                      <w:sz w:val="18"/>
                      <w:szCs w:val="18"/>
                      <w:u w:val="none"/>
                      <w:lang w:val="en-US" w:eastAsia="zh-CN" w:bidi="ar"/>
                    </w:rPr>
                    <w:t>/a</w:t>
                  </w:r>
                </w:p>
              </w:tc>
              <w:tc>
                <w:tcPr>
                  <w:tcW w:w="1366" w:type="dxa"/>
                  <w:gridSpan w:val="2"/>
                  <w:tcBorders>
                    <w:tl2br w:val="nil"/>
                    <w:tr2bl w:val="nil"/>
                  </w:tcBorders>
                  <w:shd w:val="clear" w:color="auto" w:fill="auto"/>
                  <w:vAlign w:val="center"/>
                </w:tcPr>
                <w:p w14:paraId="2C7425A1">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不外排</w:t>
                  </w:r>
                  <w:r>
                    <w:rPr>
                      <w:rFonts w:hint="default" w:ascii="Times New Roman" w:hAnsi="Times New Roman" w:eastAsia="宋体" w:cs="Times New Roman"/>
                      <w:b/>
                      <w:bCs/>
                      <w:i w:val="0"/>
                      <w:iCs w:val="0"/>
                      <w:color w:val="auto"/>
                      <w:kern w:val="0"/>
                      <w:sz w:val="18"/>
                      <w:szCs w:val="18"/>
                      <w:u w:val="none"/>
                      <w:lang w:val="en-US" w:eastAsia="zh-CN" w:bidi="ar"/>
                    </w:rPr>
                    <w:t>m</w:t>
                  </w:r>
                  <w:r>
                    <w:rPr>
                      <w:rFonts w:hint="default" w:ascii="Times New Roman" w:hAnsi="Times New Roman" w:eastAsia="宋体" w:cs="Times New Roman"/>
                      <w:b/>
                      <w:bCs/>
                      <w:i w:val="0"/>
                      <w:iCs w:val="0"/>
                      <w:color w:val="auto"/>
                      <w:kern w:val="0"/>
                      <w:sz w:val="18"/>
                      <w:szCs w:val="18"/>
                      <w:u w:val="none"/>
                      <w:vertAlign w:val="superscript"/>
                      <w:lang w:val="en-US" w:eastAsia="zh-CN" w:bidi="ar"/>
                    </w:rPr>
                    <w:t>3</w:t>
                  </w:r>
                  <w:r>
                    <w:rPr>
                      <w:rFonts w:hint="default" w:ascii="Times New Roman" w:hAnsi="Times New Roman" w:eastAsia="宋体" w:cs="Times New Roman"/>
                      <w:b/>
                      <w:bCs/>
                      <w:i w:val="0"/>
                      <w:iCs w:val="0"/>
                      <w:color w:val="auto"/>
                      <w:kern w:val="0"/>
                      <w:sz w:val="18"/>
                      <w:szCs w:val="18"/>
                      <w:u w:val="none"/>
                      <w:lang w:val="en-US" w:eastAsia="zh-CN" w:bidi="ar"/>
                    </w:rPr>
                    <w:t>/a</w:t>
                  </w:r>
                </w:p>
              </w:tc>
            </w:tr>
            <w:tr w14:paraId="15080B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62" w:hRule="atLeast"/>
              </w:trPr>
              <w:tc>
                <w:tcPr>
                  <w:tcW w:w="1169" w:type="dxa"/>
                  <w:gridSpan w:val="2"/>
                  <w:vMerge w:val="continue"/>
                  <w:tcBorders>
                    <w:tl2br w:val="nil"/>
                    <w:tr2bl w:val="nil"/>
                  </w:tcBorders>
                  <w:shd w:val="clear" w:color="auto" w:fill="auto"/>
                  <w:vAlign w:val="center"/>
                </w:tcPr>
                <w:p w14:paraId="10F1E608">
                  <w:pPr>
                    <w:jc w:val="center"/>
                    <w:rPr>
                      <w:rFonts w:hint="default" w:ascii="Times New Roman" w:hAnsi="Times New Roman" w:eastAsia="宋体" w:cs="Times New Roman"/>
                      <w:b/>
                      <w:bCs/>
                      <w:i w:val="0"/>
                      <w:iCs w:val="0"/>
                      <w:color w:val="auto"/>
                      <w:sz w:val="18"/>
                      <w:szCs w:val="18"/>
                      <w:u w:val="none"/>
                    </w:rPr>
                  </w:pPr>
                </w:p>
              </w:tc>
              <w:tc>
                <w:tcPr>
                  <w:tcW w:w="655" w:type="dxa"/>
                  <w:tcBorders>
                    <w:tl2br w:val="nil"/>
                    <w:tr2bl w:val="nil"/>
                  </w:tcBorders>
                  <w:shd w:val="clear" w:color="auto" w:fill="auto"/>
                  <w:vAlign w:val="center"/>
                </w:tcPr>
                <w:p w14:paraId="4F3AA7C5">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本次扩建</w:t>
                  </w:r>
                </w:p>
              </w:tc>
              <w:tc>
                <w:tcPr>
                  <w:tcW w:w="656" w:type="dxa"/>
                  <w:tcBorders>
                    <w:tl2br w:val="nil"/>
                    <w:tr2bl w:val="nil"/>
                  </w:tcBorders>
                  <w:shd w:val="clear" w:color="auto" w:fill="auto"/>
                  <w:vAlign w:val="center"/>
                </w:tcPr>
                <w:p w14:paraId="7001920A">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全厂</w:t>
                  </w:r>
                </w:p>
              </w:tc>
              <w:tc>
                <w:tcPr>
                  <w:tcW w:w="631" w:type="dxa"/>
                  <w:tcBorders>
                    <w:tl2br w:val="nil"/>
                    <w:tr2bl w:val="nil"/>
                  </w:tcBorders>
                  <w:shd w:val="clear" w:color="auto" w:fill="auto"/>
                  <w:vAlign w:val="center"/>
                </w:tcPr>
                <w:p w14:paraId="7931B60F">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本次扩建</w:t>
                  </w:r>
                </w:p>
              </w:tc>
              <w:tc>
                <w:tcPr>
                  <w:tcW w:w="596" w:type="dxa"/>
                  <w:tcBorders>
                    <w:tl2br w:val="nil"/>
                    <w:tr2bl w:val="nil"/>
                  </w:tcBorders>
                  <w:shd w:val="clear" w:color="auto" w:fill="auto"/>
                  <w:vAlign w:val="center"/>
                </w:tcPr>
                <w:p w14:paraId="06A64E9B">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全厂</w:t>
                  </w:r>
                </w:p>
              </w:tc>
              <w:tc>
                <w:tcPr>
                  <w:tcW w:w="655" w:type="dxa"/>
                  <w:tcBorders>
                    <w:tl2br w:val="nil"/>
                    <w:tr2bl w:val="nil"/>
                  </w:tcBorders>
                  <w:shd w:val="clear" w:color="auto" w:fill="auto"/>
                  <w:vAlign w:val="center"/>
                </w:tcPr>
                <w:p w14:paraId="72E6F0FA">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本次扩建</w:t>
                  </w:r>
                </w:p>
              </w:tc>
              <w:tc>
                <w:tcPr>
                  <w:tcW w:w="656" w:type="dxa"/>
                  <w:tcBorders>
                    <w:tl2br w:val="nil"/>
                    <w:tr2bl w:val="nil"/>
                  </w:tcBorders>
                  <w:shd w:val="clear" w:color="auto" w:fill="auto"/>
                  <w:vAlign w:val="center"/>
                </w:tcPr>
                <w:p w14:paraId="1B84FB58">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全厂</w:t>
                  </w:r>
                </w:p>
              </w:tc>
              <w:tc>
                <w:tcPr>
                  <w:tcW w:w="683" w:type="dxa"/>
                  <w:tcBorders>
                    <w:tl2br w:val="nil"/>
                    <w:tr2bl w:val="nil"/>
                  </w:tcBorders>
                  <w:shd w:val="clear" w:color="auto" w:fill="auto"/>
                  <w:vAlign w:val="center"/>
                </w:tcPr>
                <w:p w14:paraId="3662BB54">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本次扩建</w:t>
                  </w:r>
                </w:p>
              </w:tc>
              <w:tc>
                <w:tcPr>
                  <w:tcW w:w="770" w:type="dxa"/>
                  <w:tcBorders>
                    <w:tl2br w:val="nil"/>
                    <w:tr2bl w:val="nil"/>
                  </w:tcBorders>
                  <w:shd w:val="clear" w:color="auto" w:fill="auto"/>
                  <w:vAlign w:val="center"/>
                </w:tcPr>
                <w:p w14:paraId="650F2F4C">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全厂</w:t>
                  </w:r>
                </w:p>
              </w:tc>
              <w:tc>
                <w:tcPr>
                  <w:tcW w:w="683" w:type="dxa"/>
                  <w:tcBorders>
                    <w:tl2br w:val="nil"/>
                    <w:tr2bl w:val="nil"/>
                  </w:tcBorders>
                  <w:shd w:val="clear" w:color="auto" w:fill="auto"/>
                  <w:vAlign w:val="center"/>
                </w:tcPr>
                <w:p w14:paraId="20164776">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本次扩建</w:t>
                  </w:r>
                </w:p>
              </w:tc>
              <w:tc>
                <w:tcPr>
                  <w:tcW w:w="683" w:type="dxa"/>
                  <w:tcBorders>
                    <w:tl2br w:val="nil"/>
                    <w:tr2bl w:val="nil"/>
                  </w:tcBorders>
                  <w:shd w:val="clear" w:color="auto" w:fill="auto"/>
                  <w:vAlign w:val="center"/>
                </w:tcPr>
                <w:p w14:paraId="0BEAAC13">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全厂</w:t>
                  </w:r>
                </w:p>
              </w:tc>
            </w:tr>
            <w:tr w14:paraId="23D960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6" w:hRule="atLeast"/>
              </w:trPr>
              <w:tc>
                <w:tcPr>
                  <w:tcW w:w="270" w:type="dxa"/>
                  <w:vMerge w:val="restart"/>
                  <w:tcBorders>
                    <w:tl2br w:val="nil"/>
                    <w:tr2bl w:val="nil"/>
                  </w:tcBorders>
                  <w:shd w:val="clear" w:color="auto" w:fill="auto"/>
                  <w:vAlign w:val="center"/>
                </w:tcPr>
                <w:p w14:paraId="50578803">
                  <w:pPr>
                    <w:keepNext w:val="0"/>
                    <w:keepLines w:val="0"/>
                    <w:widowControl/>
                    <w:suppressLineNumbers w:val="0"/>
                    <w:jc w:val="center"/>
                    <w:textAlignment w:val="center"/>
                    <w:rPr>
                      <w:rFonts w:hint="default" w:ascii="Times New Roman" w:hAnsi="Times New Roman" w:eastAsia="宋体" w:cs="Times New Roman"/>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实验过程用水</w:t>
                  </w:r>
                </w:p>
              </w:tc>
              <w:tc>
                <w:tcPr>
                  <w:tcW w:w="899" w:type="dxa"/>
                  <w:tcBorders>
                    <w:tl2br w:val="nil"/>
                    <w:tr2bl w:val="nil"/>
                  </w:tcBorders>
                  <w:shd w:val="clear" w:color="auto" w:fill="auto"/>
                  <w:noWrap/>
                  <w:vAlign w:val="center"/>
                </w:tcPr>
                <w:p w14:paraId="3D706E2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生活用水</w:t>
                  </w:r>
                </w:p>
              </w:tc>
              <w:tc>
                <w:tcPr>
                  <w:tcW w:w="655" w:type="dxa"/>
                  <w:tcBorders>
                    <w:tl2br w:val="nil"/>
                    <w:tr2bl w:val="nil"/>
                  </w:tcBorders>
                  <w:shd w:val="clear" w:color="auto" w:fill="auto"/>
                  <w:noWrap/>
                  <w:vAlign w:val="center"/>
                </w:tcPr>
                <w:p w14:paraId="54F664D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56" w:type="dxa"/>
                  <w:tcBorders>
                    <w:tl2br w:val="nil"/>
                    <w:tr2bl w:val="nil"/>
                  </w:tcBorders>
                  <w:shd w:val="clear" w:color="auto" w:fill="auto"/>
                  <w:noWrap/>
                  <w:vAlign w:val="center"/>
                </w:tcPr>
                <w:p w14:paraId="3642BFF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750</w:t>
                  </w:r>
                </w:p>
              </w:tc>
              <w:tc>
                <w:tcPr>
                  <w:tcW w:w="631" w:type="dxa"/>
                  <w:tcBorders>
                    <w:tl2br w:val="nil"/>
                    <w:tr2bl w:val="nil"/>
                  </w:tcBorders>
                  <w:shd w:val="clear" w:color="auto" w:fill="auto"/>
                  <w:noWrap/>
                  <w:vAlign w:val="center"/>
                </w:tcPr>
                <w:p w14:paraId="77766881">
                  <w:pPr>
                    <w:jc w:val="center"/>
                    <w:rPr>
                      <w:rFonts w:hint="default" w:ascii="Times New Roman" w:hAnsi="Times New Roman" w:eastAsia="宋体" w:cs="Times New Roman"/>
                      <w:i w:val="0"/>
                      <w:iCs w:val="0"/>
                      <w:color w:val="auto"/>
                      <w:sz w:val="18"/>
                      <w:szCs w:val="18"/>
                      <w:u w:val="none"/>
                    </w:rPr>
                  </w:pPr>
                </w:p>
              </w:tc>
              <w:tc>
                <w:tcPr>
                  <w:tcW w:w="596" w:type="dxa"/>
                  <w:tcBorders>
                    <w:tl2br w:val="nil"/>
                    <w:tr2bl w:val="nil"/>
                  </w:tcBorders>
                  <w:shd w:val="clear" w:color="auto" w:fill="auto"/>
                  <w:noWrap/>
                  <w:vAlign w:val="center"/>
                </w:tcPr>
                <w:p w14:paraId="13DB7237">
                  <w:pPr>
                    <w:jc w:val="center"/>
                    <w:rPr>
                      <w:rFonts w:hint="default" w:ascii="Times New Roman" w:hAnsi="Times New Roman" w:eastAsia="宋体" w:cs="Times New Roman"/>
                      <w:i w:val="0"/>
                      <w:iCs w:val="0"/>
                      <w:color w:val="auto"/>
                      <w:sz w:val="18"/>
                      <w:szCs w:val="18"/>
                      <w:u w:val="none"/>
                    </w:rPr>
                  </w:pPr>
                </w:p>
              </w:tc>
              <w:tc>
                <w:tcPr>
                  <w:tcW w:w="655" w:type="dxa"/>
                  <w:tcBorders>
                    <w:tl2br w:val="nil"/>
                    <w:tr2bl w:val="nil"/>
                  </w:tcBorders>
                  <w:shd w:val="clear" w:color="auto" w:fill="auto"/>
                  <w:noWrap/>
                  <w:vAlign w:val="center"/>
                </w:tcPr>
                <w:p w14:paraId="17C9C79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56" w:type="dxa"/>
                  <w:tcBorders>
                    <w:tl2br w:val="nil"/>
                    <w:tr2bl w:val="nil"/>
                  </w:tcBorders>
                  <w:shd w:val="clear" w:color="auto" w:fill="auto"/>
                  <w:noWrap/>
                  <w:vAlign w:val="center"/>
                </w:tcPr>
                <w:p w14:paraId="20EAF37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150</w:t>
                  </w:r>
                </w:p>
              </w:tc>
              <w:tc>
                <w:tcPr>
                  <w:tcW w:w="683" w:type="dxa"/>
                  <w:tcBorders>
                    <w:tl2br w:val="nil"/>
                    <w:tr2bl w:val="nil"/>
                  </w:tcBorders>
                  <w:shd w:val="clear" w:color="auto" w:fill="auto"/>
                  <w:noWrap/>
                  <w:vAlign w:val="center"/>
                </w:tcPr>
                <w:p w14:paraId="3C7C5E9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770" w:type="dxa"/>
                  <w:tcBorders>
                    <w:tl2br w:val="nil"/>
                    <w:tr2bl w:val="nil"/>
                  </w:tcBorders>
                  <w:shd w:val="clear" w:color="auto" w:fill="auto"/>
                  <w:noWrap/>
                  <w:vAlign w:val="center"/>
                </w:tcPr>
                <w:p w14:paraId="770A867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600</w:t>
                  </w:r>
                </w:p>
              </w:tc>
              <w:tc>
                <w:tcPr>
                  <w:tcW w:w="683" w:type="dxa"/>
                  <w:tcBorders>
                    <w:tl2br w:val="nil"/>
                    <w:tr2bl w:val="nil"/>
                  </w:tcBorders>
                  <w:shd w:val="clear" w:color="auto" w:fill="auto"/>
                  <w:noWrap/>
                  <w:vAlign w:val="center"/>
                </w:tcPr>
                <w:p w14:paraId="4A3A8EFB">
                  <w:pPr>
                    <w:jc w:val="center"/>
                    <w:rPr>
                      <w:rFonts w:hint="default" w:ascii="Times New Roman" w:hAnsi="Times New Roman" w:eastAsia="宋体" w:cs="Times New Roman"/>
                      <w:i w:val="0"/>
                      <w:iCs w:val="0"/>
                      <w:color w:val="auto"/>
                      <w:sz w:val="18"/>
                      <w:szCs w:val="18"/>
                      <w:u w:val="none"/>
                    </w:rPr>
                  </w:pPr>
                </w:p>
              </w:tc>
              <w:tc>
                <w:tcPr>
                  <w:tcW w:w="683" w:type="dxa"/>
                  <w:tcBorders>
                    <w:tl2br w:val="nil"/>
                    <w:tr2bl w:val="nil"/>
                  </w:tcBorders>
                  <w:shd w:val="clear" w:color="auto" w:fill="auto"/>
                  <w:noWrap/>
                  <w:vAlign w:val="center"/>
                </w:tcPr>
                <w:p w14:paraId="32A40BAB">
                  <w:pPr>
                    <w:jc w:val="center"/>
                    <w:rPr>
                      <w:rFonts w:hint="default" w:ascii="Times New Roman" w:hAnsi="Times New Roman" w:eastAsia="宋体" w:cs="Times New Roman"/>
                      <w:i w:val="0"/>
                      <w:iCs w:val="0"/>
                      <w:color w:val="auto"/>
                      <w:sz w:val="18"/>
                      <w:szCs w:val="18"/>
                      <w:u w:val="none"/>
                    </w:rPr>
                  </w:pPr>
                </w:p>
              </w:tc>
            </w:tr>
            <w:tr w14:paraId="3CA5AE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16" w:hRule="atLeast"/>
              </w:trPr>
              <w:tc>
                <w:tcPr>
                  <w:tcW w:w="270" w:type="dxa"/>
                  <w:vMerge w:val="continue"/>
                  <w:tcBorders>
                    <w:tl2br w:val="nil"/>
                    <w:tr2bl w:val="nil"/>
                  </w:tcBorders>
                  <w:shd w:val="clear" w:color="auto" w:fill="auto"/>
                  <w:vAlign w:val="center"/>
                </w:tcPr>
                <w:p w14:paraId="3D6B1B3C">
                  <w:pPr>
                    <w:jc w:val="center"/>
                    <w:rPr>
                      <w:rFonts w:hint="default" w:ascii="Times New Roman" w:hAnsi="Times New Roman" w:eastAsia="宋体" w:cs="Times New Roman"/>
                      <w:b/>
                      <w:bCs/>
                      <w:i w:val="0"/>
                      <w:iCs w:val="0"/>
                      <w:color w:val="auto"/>
                      <w:sz w:val="18"/>
                      <w:szCs w:val="18"/>
                      <w:u w:val="none"/>
                    </w:rPr>
                  </w:pPr>
                </w:p>
              </w:tc>
              <w:tc>
                <w:tcPr>
                  <w:tcW w:w="899" w:type="dxa"/>
                  <w:tcBorders>
                    <w:tl2br w:val="nil"/>
                    <w:tr2bl w:val="nil"/>
                  </w:tcBorders>
                  <w:shd w:val="clear" w:color="auto" w:fill="auto"/>
                  <w:vAlign w:val="center"/>
                </w:tcPr>
                <w:p w14:paraId="75E0D7F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实验器具第</w:t>
                  </w:r>
                  <w:r>
                    <w:rPr>
                      <w:rFonts w:hint="eastAsia" w:ascii="宋体" w:hAnsi="宋体" w:cs="宋体"/>
                      <w:i w:val="0"/>
                      <w:iCs w:val="0"/>
                      <w:color w:val="auto"/>
                      <w:kern w:val="0"/>
                      <w:sz w:val="18"/>
                      <w:szCs w:val="18"/>
                      <w:u w:val="none"/>
                      <w:lang w:val="en-US" w:eastAsia="zh-CN" w:bidi="ar"/>
                    </w:rPr>
                    <w:t>一、二</w:t>
                  </w:r>
                  <w:r>
                    <w:rPr>
                      <w:rFonts w:hint="eastAsia" w:ascii="宋体" w:hAnsi="宋体" w:eastAsia="宋体" w:cs="宋体"/>
                      <w:i w:val="0"/>
                      <w:iCs w:val="0"/>
                      <w:color w:val="auto"/>
                      <w:kern w:val="0"/>
                      <w:sz w:val="18"/>
                      <w:szCs w:val="18"/>
                      <w:u w:val="none"/>
                      <w:lang w:val="en-US" w:eastAsia="zh-CN" w:bidi="ar"/>
                    </w:rPr>
                    <w:t>次清洗用水</w:t>
                  </w:r>
                </w:p>
              </w:tc>
              <w:tc>
                <w:tcPr>
                  <w:tcW w:w="655" w:type="dxa"/>
                  <w:tcBorders>
                    <w:tl2br w:val="nil"/>
                    <w:tr2bl w:val="nil"/>
                  </w:tcBorders>
                  <w:shd w:val="clear" w:color="auto" w:fill="auto"/>
                  <w:vAlign w:val="center"/>
                </w:tcPr>
                <w:p w14:paraId="405608B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12.25</w:t>
                  </w:r>
                </w:p>
              </w:tc>
              <w:tc>
                <w:tcPr>
                  <w:tcW w:w="656" w:type="dxa"/>
                  <w:tcBorders>
                    <w:tl2br w:val="nil"/>
                    <w:tr2bl w:val="nil"/>
                  </w:tcBorders>
                  <w:shd w:val="clear" w:color="auto" w:fill="auto"/>
                  <w:vAlign w:val="center"/>
                </w:tcPr>
                <w:p w14:paraId="37B2A57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631" w:type="dxa"/>
                  <w:tcBorders>
                    <w:tl2br w:val="nil"/>
                    <w:tr2bl w:val="nil"/>
                  </w:tcBorders>
                  <w:shd w:val="clear" w:color="auto" w:fill="auto"/>
                  <w:vAlign w:val="center"/>
                </w:tcPr>
                <w:p w14:paraId="1362EBB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596" w:type="dxa"/>
                  <w:tcBorders>
                    <w:tl2br w:val="nil"/>
                    <w:tr2bl w:val="nil"/>
                  </w:tcBorders>
                  <w:shd w:val="clear" w:color="auto" w:fill="auto"/>
                  <w:vAlign w:val="center"/>
                </w:tcPr>
                <w:p w14:paraId="1E68588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5" w:type="dxa"/>
                  <w:tcBorders>
                    <w:tl2br w:val="nil"/>
                    <w:tr2bl w:val="nil"/>
                  </w:tcBorders>
                  <w:shd w:val="clear" w:color="auto" w:fill="auto"/>
                  <w:vAlign w:val="center"/>
                </w:tcPr>
                <w:p w14:paraId="078C3CC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656" w:type="dxa"/>
                  <w:tcBorders>
                    <w:tl2br w:val="nil"/>
                    <w:tr2bl w:val="nil"/>
                  </w:tcBorders>
                  <w:shd w:val="clear" w:color="auto" w:fill="auto"/>
                  <w:vAlign w:val="center"/>
                </w:tcPr>
                <w:p w14:paraId="14D0B82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4.9</w:t>
                  </w:r>
                </w:p>
              </w:tc>
              <w:tc>
                <w:tcPr>
                  <w:tcW w:w="683" w:type="dxa"/>
                  <w:tcBorders>
                    <w:tl2br w:val="nil"/>
                    <w:tr2bl w:val="nil"/>
                  </w:tcBorders>
                  <w:shd w:val="clear" w:color="auto" w:fill="auto"/>
                  <w:vAlign w:val="center"/>
                </w:tcPr>
                <w:p w14:paraId="7A88D37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770" w:type="dxa"/>
                  <w:tcBorders>
                    <w:tl2br w:val="nil"/>
                    <w:tr2bl w:val="nil"/>
                  </w:tcBorders>
                  <w:shd w:val="clear" w:color="auto" w:fill="auto"/>
                  <w:vAlign w:val="center"/>
                </w:tcPr>
                <w:p w14:paraId="4EA83A6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83" w:type="dxa"/>
                  <w:tcBorders>
                    <w:tl2br w:val="nil"/>
                    <w:tr2bl w:val="nil"/>
                  </w:tcBorders>
                  <w:shd w:val="clear" w:color="auto" w:fill="auto"/>
                  <w:vAlign w:val="center"/>
                </w:tcPr>
                <w:p w14:paraId="2BC72B2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9.8</w:t>
                  </w:r>
                  <w:r>
                    <w:rPr>
                      <w:rFonts w:hint="eastAsia" w:ascii="宋体" w:hAnsi="宋体" w:eastAsia="宋体" w:cs="宋体"/>
                      <w:i w:val="0"/>
                      <w:iCs w:val="0"/>
                      <w:color w:val="auto"/>
                      <w:kern w:val="0"/>
                      <w:sz w:val="18"/>
                      <w:szCs w:val="18"/>
                      <w:u w:val="none"/>
                      <w:lang w:val="en-US" w:eastAsia="zh-CN" w:bidi="ar"/>
                    </w:rPr>
                    <w:t>（作危废处置，不外排）</w:t>
                  </w:r>
                </w:p>
              </w:tc>
              <w:tc>
                <w:tcPr>
                  <w:tcW w:w="683" w:type="dxa"/>
                  <w:tcBorders>
                    <w:tl2br w:val="nil"/>
                    <w:tr2bl w:val="nil"/>
                  </w:tcBorders>
                  <w:shd w:val="clear" w:color="auto" w:fill="auto"/>
                  <w:vAlign w:val="center"/>
                </w:tcPr>
                <w:p w14:paraId="2DAA79B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19.6</w:t>
                  </w:r>
                  <w:r>
                    <w:rPr>
                      <w:rFonts w:hint="eastAsia" w:ascii="宋体" w:hAnsi="宋体" w:eastAsia="宋体" w:cs="宋体"/>
                      <w:i w:val="0"/>
                      <w:iCs w:val="0"/>
                      <w:color w:val="auto"/>
                      <w:kern w:val="0"/>
                      <w:sz w:val="18"/>
                      <w:szCs w:val="18"/>
                      <w:u w:val="none"/>
                      <w:lang w:val="en-US" w:eastAsia="zh-CN" w:bidi="ar"/>
                    </w:rPr>
                    <w:t>（作危废处置，不外排）</w:t>
                  </w:r>
                </w:p>
              </w:tc>
            </w:tr>
            <w:tr w14:paraId="53D581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68" w:hRule="atLeast"/>
              </w:trPr>
              <w:tc>
                <w:tcPr>
                  <w:tcW w:w="270" w:type="dxa"/>
                  <w:vMerge w:val="continue"/>
                  <w:tcBorders>
                    <w:tl2br w:val="nil"/>
                    <w:tr2bl w:val="nil"/>
                  </w:tcBorders>
                  <w:shd w:val="clear" w:color="auto" w:fill="auto"/>
                  <w:vAlign w:val="center"/>
                </w:tcPr>
                <w:p w14:paraId="699ACF36">
                  <w:pPr>
                    <w:jc w:val="center"/>
                    <w:rPr>
                      <w:rFonts w:hint="default" w:ascii="Times New Roman" w:hAnsi="Times New Roman" w:eastAsia="宋体" w:cs="Times New Roman"/>
                      <w:b/>
                      <w:bCs/>
                      <w:i w:val="0"/>
                      <w:iCs w:val="0"/>
                      <w:color w:val="auto"/>
                      <w:sz w:val="18"/>
                      <w:szCs w:val="18"/>
                      <w:u w:val="none"/>
                    </w:rPr>
                  </w:pPr>
                </w:p>
              </w:tc>
              <w:tc>
                <w:tcPr>
                  <w:tcW w:w="899" w:type="dxa"/>
                  <w:tcBorders>
                    <w:tl2br w:val="nil"/>
                    <w:tr2bl w:val="nil"/>
                  </w:tcBorders>
                  <w:shd w:val="clear" w:color="auto" w:fill="auto"/>
                  <w:vAlign w:val="center"/>
                </w:tcPr>
                <w:p w14:paraId="1566FA9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实验器具第</w:t>
                  </w:r>
                  <w:r>
                    <w:rPr>
                      <w:rFonts w:hint="eastAsia" w:ascii="宋体" w:hAnsi="宋体" w:cs="宋体"/>
                      <w:i w:val="0"/>
                      <w:iCs w:val="0"/>
                      <w:color w:val="auto"/>
                      <w:kern w:val="0"/>
                      <w:sz w:val="18"/>
                      <w:szCs w:val="18"/>
                      <w:u w:val="none"/>
                      <w:lang w:val="en-US" w:eastAsia="zh-CN" w:bidi="ar"/>
                    </w:rPr>
                    <w:t>三、四</w:t>
                  </w:r>
                  <w:r>
                    <w:rPr>
                      <w:rFonts w:hint="eastAsia" w:ascii="宋体" w:hAnsi="宋体" w:eastAsia="宋体" w:cs="宋体"/>
                      <w:i w:val="0"/>
                      <w:iCs w:val="0"/>
                      <w:color w:val="auto"/>
                      <w:kern w:val="0"/>
                      <w:sz w:val="18"/>
                      <w:szCs w:val="18"/>
                      <w:u w:val="none"/>
                      <w:lang w:val="en-US" w:eastAsia="zh-CN" w:bidi="ar"/>
                    </w:rPr>
                    <w:t>次清洗用水</w:t>
                  </w:r>
                </w:p>
              </w:tc>
              <w:tc>
                <w:tcPr>
                  <w:tcW w:w="655" w:type="dxa"/>
                  <w:tcBorders>
                    <w:tl2br w:val="nil"/>
                    <w:tr2bl w:val="nil"/>
                  </w:tcBorders>
                  <w:shd w:val="clear" w:color="auto" w:fill="auto"/>
                  <w:vAlign w:val="center"/>
                </w:tcPr>
                <w:p w14:paraId="3902073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61.25</w:t>
                  </w:r>
                </w:p>
              </w:tc>
              <w:tc>
                <w:tcPr>
                  <w:tcW w:w="656" w:type="dxa"/>
                  <w:tcBorders>
                    <w:tl2br w:val="nil"/>
                    <w:tr2bl w:val="nil"/>
                  </w:tcBorders>
                  <w:shd w:val="clear" w:color="auto" w:fill="auto"/>
                  <w:vAlign w:val="center"/>
                </w:tcPr>
                <w:p w14:paraId="11FA201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122.5</w:t>
                  </w:r>
                </w:p>
              </w:tc>
              <w:tc>
                <w:tcPr>
                  <w:tcW w:w="631" w:type="dxa"/>
                  <w:tcBorders>
                    <w:tl2br w:val="nil"/>
                    <w:tr2bl w:val="nil"/>
                  </w:tcBorders>
                  <w:shd w:val="clear" w:color="auto" w:fill="auto"/>
                  <w:vAlign w:val="center"/>
                </w:tcPr>
                <w:p w14:paraId="45C8CA0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596" w:type="dxa"/>
                  <w:tcBorders>
                    <w:tl2br w:val="nil"/>
                    <w:tr2bl w:val="nil"/>
                  </w:tcBorders>
                  <w:shd w:val="clear" w:color="auto" w:fill="auto"/>
                  <w:vAlign w:val="center"/>
                </w:tcPr>
                <w:p w14:paraId="16BC330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5" w:type="dxa"/>
                  <w:tcBorders>
                    <w:tl2br w:val="nil"/>
                    <w:tr2bl w:val="nil"/>
                  </w:tcBorders>
                  <w:shd w:val="clear" w:color="auto" w:fill="auto"/>
                  <w:vAlign w:val="center"/>
                </w:tcPr>
                <w:p w14:paraId="12F5868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12.25</w:t>
                  </w:r>
                </w:p>
              </w:tc>
              <w:tc>
                <w:tcPr>
                  <w:tcW w:w="656" w:type="dxa"/>
                  <w:tcBorders>
                    <w:tl2br w:val="nil"/>
                    <w:tr2bl w:val="nil"/>
                  </w:tcBorders>
                  <w:shd w:val="clear" w:color="auto" w:fill="auto"/>
                  <w:vAlign w:val="center"/>
                </w:tcPr>
                <w:p w14:paraId="6D06D57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683" w:type="dxa"/>
                  <w:tcBorders>
                    <w:tl2br w:val="nil"/>
                    <w:tr2bl w:val="nil"/>
                  </w:tcBorders>
                  <w:shd w:val="clear" w:color="auto" w:fill="auto"/>
                  <w:vAlign w:val="center"/>
                </w:tcPr>
                <w:p w14:paraId="5A75D66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49</w:t>
                  </w:r>
                </w:p>
              </w:tc>
              <w:tc>
                <w:tcPr>
                  <w:tcW w:w="770" w:type="dxa"/>
                  <w:tcBorders>
                    <w:tl2br w:val="nil"/>
                    <w:tr2bl w:val="nil"/>
                  </w:tcBorders>
                  <w:shd w:val="clear" w:color="auto" w:fill="auto"/>
                  <w:vAlign w:val="center"/>
                </w:tcPr>
                <w:p w14:paraId="1A60DC5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98</w:t>
                  </w:r>
                </w:p>
              </w:tc>
              <w:tc>
                <w:tcPr>
                  <w:tcW w:w="683" w:type="dxa"/>
                  <w:tcBorders>
                    <w:tl2br w:val="nil"/>
                    <w:tr2bl w:val="nil"/>
                  </w:tcBorders>
                  <w:shd w:val="clear" w:color="auto" w:fill="auto"/>
                  <w:vAlign w:val="center"/>
                </w:tcPr>
                <w:p w14:paraId="3B674A73">
                  <w:pPr>
                    <w:jc w:val="center"/>
                    <w:rPr>
                      <w:rFonts w:hint="default" w:ascii="Times New Roman" w:hAnsi="Times New Roman" w:eastAsia="宋体" w:cs="Times New Roman"/>
                      <w:i w:val="0"/>
                      <w:iCs w:val="0"/>
                      <w:color w:val="auto"/>
                      <w:sz w:val="18"/>
                      <w:szCs w:val="18"/>
                      <w:u w:val="none"/>
                    </w:rPr>
                  </w:pPr>
                </w:p>
              </w:tc>
              <w:tc>
                <w:tcPr>
                  <w:tcW w:w="683" w:type="dxa"/>
                  <w:tcBorders>
                    <w:tl2br w:val="nil"/>
                    <w:tr2bl w:val="nil"/>
                  </w:tcBorders>
                  <w:shd w:val="clear" w:color="auto" w:fill="auto"/>
                  <w:noWrap/>
                  <w:vAlign w:val="center"/>
                </w:tcPr>
                <w:p w14:paraId="7D2D939E">
                  <w:pPr>
                    <w:jc w:val="center"/>
                    <w:rPr>
                      <w:rFonts w:hint="default" w:ascii="Times New Roman" w:hAnsi="Times New Roman" w:eastAsia="宋体" w:cs="Times New Roman"/>
                      <w:i w:val="0"/>
                      <w:iCs w:val="0"/>
                      <w:color w:val="auto"/>
                      <w:sz w:val="18"/>
                      <w:szCs w:val="18"/>
                      <w:u w:val="none"/>
                    </w:rPr>
                  </w:pPr>
                </w:p>
              </w:tc>
            </w:tr>
            <w:tr w14:paraId="27D73F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94" w:hRule="atLeast"/>
              </w:trPr>
              <w:tc>
                <w:tcPr>
                  <w:tcW w:w="270" w:type="dxa"/>
                  <w:vMerge w:val="continue"/>
                  <w:tcBorders>
                    <w:tl2br w:val="nil"/>
                    <w:tr2bl w:val="nil"/>
                  </w:tcBorders>
                  <w:shd w:val="clear" w:color="auto" w:fill="auto"/>
                  <w:vAlign w:val="center"/>
                </w:tcPr>
                <w:p w14:paraId="407C7A4E">
                  <w:pPr>
                    <w:jc w:val="center"/>
                    <w:rPr>
                      <w:rFonts w:hint="default" w:ascii="Times New Roman" w:hAnsi="Times New Roman" w:eastAsia="宋体" w:cs="Times New Roman"/>
                      <w:b/>
                      <w:bCs/>
                      <w:i w:val="0"/>
                      <w:iCs w:val="0"/>
                      <w:color w:val="auto"/>
                      <w:sz w:val="18"/>
                      <w:szCs w:val="18"/>
                      <w:u w:val="none"/>
                    </w:rPr>
                  </w:pPr>
                </w:p>
              </w:tc>
              <w:tc>
                <w:tcPr>
                  <w:tcW w:w="899" w:type="dxa"/>
                  <w:tcBorders>
                    <w:tl2br w:val="nil"/>
                    <w:tr2bl w:val="nil"/>
                  </w:tcBorders>
                  <w:shd w:val="clear" w:color="auto" w:fill="auto"/>
                  <w:vAlign w:val="center"/>
                </w:tcPr>
                <w:p w14:paraId="25A9627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试剂配制用水</w:t>
                  </w:r>
                </w:p>
              </w:tc>
              <w:tc>
                <w:tcPr>
                  <w:tcW w:w="655" w:type="dxa"/>
                  <w:tcBorders>
                    <w:tl2br w:val="nil"/>
                    <w:tr2bl w:val="nil"/>
                  </w:tcBorders>
                  <w:shd w:val="clear" w:color="auto" w:fill="auto"/>
                  <w:vAlign w:val="center"/>
                </w:tcPr>
                <w:p w14:paraId="71CB790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6" w:type="dxa"/>
                  <w:tcBorders>
                    <w:tl2br w:val="nil"/>
                    <w:tr2bl w:val="nil"/>
                  </w:tcBorders>
                  <w:shd w:val="clear" w:color="auto" w:fill="auto"/>
                  <w:vAlign w:val="center"/>
                </w:tcPr>
                <w:p w14:paraId="4A5C934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31" w:type="dxa"/>
                  <w:tcBorders>
                    <w:tl2br w:val="nil"/>
                    <w:tr2bl w:val="nil"/>
                  </w:tcBorders>
                  <w:shd w:val="clear" w:color="auto" w:fill="auto"/>
                  <w:vAlign w:val="center"/>
                </w:tcPr>
                <w:p w14:paraId="718B836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596" w:type="dxa"/>
                  <w:tcBorders>
                    <w:tl2br w:val="nil"/>
                    <w:tr2bl w:val="nil"/>
                  </w:tcBorders>
                  <w:shd w:val="clear" w:color="auto" w:fill="auto"/>
                  <w:vAlign w:val="center"/>
                </w:tcPr>
                <w:p w14:paraId="6DDD494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49</w:t>
                  </w:r>
                </w:p>
              </w:tc>
              <w:tc>
                <w:tcPr>
                  <w:tcW w:w="655" w:type="dxa"/>
                  <w:tcBorders>
                    <w:tl2br w:val="nil"/>
                    <w:tr2bl w:val="nil"/>
                  </w:tcBorders>
                  <w:shd w:val="clear" w:color="auto" w:fill="auto"/>
                  <w:vAlign w:val="center"/>
                </w:tcPr>
                <w:p w14:paraId="19DC054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4.9</w:t>
                  </w:r>
                </w:p>
              </w:tc>
              <w:tc>
                <w:tcPr>
                  <w:tcW w:w="656" w:type="dxa"/>
                  <w:tcBorders>
                    <w:tl2br w:val="nil"/>
                    <w:tr2bl w:val="nil"/>
                  </w:tcBorders>
                  <w:shd w:val="clear" w:color="auto" w:fill="auto"/>
                  <w:vAlign w:val="center"/>
                </w:tcPr>
                <w:p w14:paraId="2E92463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9.8</w:t>
                  </w:r>
                </w:p>
              </w:tc>
              <w:tc>
                <w:tcPr>
                  <w:tcW w:w="683" w:type="dxa"/>
                  <w:tcBorders>
                    <w:tl2br w:val="nil"/>
                    <w:tr2bl w:val="nil"/>
                  </w:tcBorders>
                  <w:shd w:val="clear" w:color="auto" w:fill="auto"/>
                  <w:vAlign w:val="center"/>
                </w:tcPr>
                <w:p w14:paraId="4278969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770" w:type="dxa"/>
                  <w:tcBorders>
                    <w:tl2br w:val="nil"/>
                    <w:tr2bl w:val="nil"/>
                  </w:tcBorders>
                  <w:shd w:val="clear" w:color="auto" w:fill="auto"/>
                  <w:vAlign w:val="center"/>
                </w:tcPr>
                <w:p w14:paraId="41B2E73F">
                  <w:pPr>
                    <w:jc w:val="center"/>
                    <w:rPr>
                      <w:rFonts w:hint="default" w:ascii="Times New Roman" w:hAnsi="Times New Roman" w:eastAsia="宋体" w:cs="Times New Roman"/>
                      <w:i w:val="0"/>
                      <w:iCs w:val="0"/>
                      <w:color w:val="auto"/>
                      <w:sz w:val="18"/>
                      <w:szCs w:val="18"/>
                      <w:u w:val="none"/>
                    </w:rPr>
                  </w:pPr>
                </w:p>
              </w:tc>
              <w:tc>
                <w:tcPr>
                  <w:tcW w:w="683" w:type="dxa"/>
                  <w:tcBorders>
                    <w:tl2br w:val="nil"/>
                    <w:tr2bl w:val="nil"/>
                  </w:tcBorders>
                  <w:shd w:val="clear" w:color="auto" w:fill="auto"/>
                  <w:vAlign w:val="center"/>
                </w:tcPr>
                <w:p w14:paraId="26979BC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19.6</w:t>
                  </w:r>
                  <w:r>
                    <w:rPr>
                      <w:rFonts w:hint="eastAsia" w:ascii="宋体" w:hAnsi="宋体" w:eastAsia="宋体" w:cs="宋体"/>
                      <w:i w:val="0"/>
                      <w:iCs w:val="0"/>
                      <w:color w:val="auto"/>
                      <w:kern w:val="0"/>
                      <w:sz w:val="18"/>
                      <w:szCs w:val="18"/>
                      <w:u w:val="none"/>
                      <w:lang w:val="en-US" w:eastAsia="zh-CN" w:bidi="ar"/>
                    </w:rPr>
                    <w:t>（作危废处置，不外排）</w:t>
                  </w:r>
                </w:p>
              </w:tc>
              <w:tc>
                <w:tcPr>
                  <w:tcW w:w="683" w:type="dxa"/>
                  <w:tcBorders>
                    <w:tl2br w:val="nil"/>
                    <w:tr2bl w:val="nil"/>
                  </w:tcBorders>
                  <w:shd w:val="clear" w:color="auto" w:fill="auto"/>
                  <w:vAlign w:val="center"/>
                </w:tcPr>
                <w:p w14:paraId="3A8F024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39.2</w:t>
                  </w:r>
                  <w:r>
                    <w:rPr>
                      <w:rFonts w:hint="eastAsia" w:ascii="宋体" w:hAnsi="宋体" w:eastAsia="宋体" w:cs="宋体"/>
                      <w:i w:val="0"/>
                      <w:iCs w:val="0"/>
                      <w:color w:val="auto"/>
                      <w:kern w:val="0"/>
                      <w:sz w:val="18"/>
                      <w:szCs w:val="18"/>
                      <w:u w:val="none"/>
                      <w:lang w:val="en-US" w:eastAsia="zh-CN" w:bidi="ar"/>
                    </w:rPr>
                    <w:t>（作危废处置，不外排）</w:t>
                  </w:r>
                </w:p>
              </w:tc>
            </w:tr>
            <w:tr w14:paraId="380CACC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16" w:hRule="atLeast"/>
              </w:trPr>
              <w:tc>
                <w:tcPr>
                  <w:tcW w:w="270" w:type="dxa"/>
                  <w:vMerge w:val="continue"/>
                  <w:tcBorders>
                    <w:tl2br w:val="nil"/>
                    <w:tr2bl w:val="nil"/>
                  </w:tcBorders>
                  <w:shd w:val="clear" w:color="auto" w:fill="auto"/>
                  <w:vAlign w:val="center"/>
                </w:tcPr>
                <w:p w14:paraId="23625459">
                  <w:pPr>
                    <w:jc w:val="center"/>
                    <w:rPr>
                      <w:rFonts w:hint="default" w:ascii="Times New Roman" w:hAnsi="Times New Roman" w:eastAsia="宋体" w:cs="Times New Roman"/>
                      <w:b/>
                      <w:bCs/>
                      <w:i w:val="0"/>
                      <w:iCs w:val="0"/>
                      <w:color w:val="auto"/>
                      <w:sz w:val="18"/>
                      <w:szCs w:val="18"/>
                      <w:u w:val="none"/>
                    </w:rPr>
                  </w:pPr>
                </w:p>
              </w:tc>
              <w:tc>
                <w:tcPr>
                  <w:tcW w:w="899" w:type="dxa"/>
                  <w:tcBorders>
                    <w:tl2br w:val="nil"/>
                    <w:tr2bl w:val="nil"/>
                  </w:tcBorders>
                  <w:shd w:val="clear" w:color="auto" w:fill="auto"/>
                  <w:vAlign w:val="center"/>
                </w:tcPr>
                <w:p w14:paraId="3E3F893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实验仪器冷却用水</w:t>
                  </w:r>
                </w:p>
              </w:tc>
              <w:tc>
                <w:tcPr>
                  <w:tcW w:w="655" w:type="dxa"/>
                  <w:tcBorders>
                    <w:tl2br w:val="nil"/>
                    <w:tr2bl w:val="nil"/>
                  </w:tcBorders>
                  <w:shd w:val="clear" w:color="auto" w:fill="auto"/>
                  <w:vAlign w:val="center"/>
                </w:tcPr>
                <w:p w14:paraId="260D71F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367.5</w:t>
                  </w:r>
                </w:p>
              </w:tc>
              <w:tc>
                <w:tcPr>
                  <w:tcW w:w="656" w:type="dxa"/>
                  <w:tcBorders>
                    <w:tl2br w:val="nil"/>
                    <w:tr2bl w:val="nil"/>
                  </w:tcBorders>
                  <w:shd w:val="clear" w:color="auto" w:fill="auto"/>
                  <w:vAlign w:val="center"/>
                </w:tcPr>
                <w:p w14:paraId="62B37CA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735</w:t>
                  </w:r>
                </w:p>
              </w:tc>
              <w:tc>
                <w:tcPr>
                  <w:tcW w:w="631" w:type="dxa"/>
                  <w:tcBorders>
                    <w:tl2br w:val="nil"/>
                    <w:tr2bl w:val="nil"/>
                  </w:tcBorders>
                  <w:shd w:val="clear" w:color="auto" w:fill="auto"/>
                  <w:vAlign w:val="center"/>
                </w:tcPr>
                <w:p w14:paraId="558B274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596" w:type="dxa"/>
                  <w:tcBorders>
                    <w:tl2br w:val="nil"/>
                    <w:tr2bl w:val="nil"/>
                  </w:tcBorders>
                  <w:shd w:val="clear" w:color="auto" w:fill="auto"/>
                  <w:vAlign w:val="center"/>
                </w:tcPr>
                <w:p w14:paraId="4792C9B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5" w:type="dxa"/>
                  <w:tcBorders>
                    <w:tl2br w:val="nil"/>
                    <w:tr2bl w:val="nil"/>
                  </w:tcBorders>
                  <w:shd w:val="clear" w:color="auto" w:fill="auto"/>
                  <w:vAlign w:val="center"/>
                </w:tcPr>
                <w:p w14:paraId="572416E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122.5</w:t>
                  </w:r>
                </w:p>
              </w:tc>
              <w:tc>
                <w:tcPr>
                  <w:tcW w:w="656" w:type="dxa"/>
                  <w:tcBorders>
                    <w:tl2br w:val="nil"/>
                    <w:tr2bl w:val="nil"/>
                  </w:tcBorders>
                  <w:shd w:val="clear" w:color="auto" w:fill="auto"/>
                  <w:vAlign w:val="center"/>
                </w:tcPr>
                <w:p w14:paraId="760D8E8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683" w:type="dxa"/>
                  <w:tcBorders>
                    <w:tl2br w:val="nil"/>
                    <w:tr2bl w:val="nil"/>
                  </w:tcBorders>
                  <w:shd w:val="clear" w:color="auto" w:fill="auto"/>
                  <w:vAlign w:val="center"/>
                </w:tcPr>
                <w:p w14:paraId="327C67A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61.25</w:t>
                  </w:r>
                </w:p>
              </w:tc>
              <w:tc>
                <w:tcPr>
                  <w:tcW w:w="770" w:type="dxa"/>
                  <w:tcBorders>
                    <w:tl2br w:val="nil"/>
                    <w:tr2bl w:val="nil"/>
                  </w:tcBorders>
                  <w:shd w:val="clear" w:color="auto" w:fill="auto"/>
                  <w:vAlign w:val="center"/>
                </w:tcPr>
                <w:p w14:paraId="69948E7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306.25</w:t>
                  </w:r>
                </w:p>
              </w:tc>
              <w:tc>
                <w:tcPr>
                  <w:tcW w:w="683" w:type="dxa"/>
                  <w:tcBorders>
                    <w:tl2br w:val="nil"/>
                    <w:tr2bl w:val="nil"/>
                  </w:tcBorders>
                  <w:shd w:val="clear" w:color="auto" w:fill="auto"/>
                  <w:vAlign w:val="center"/>
                </w:tcPr>
                <w:p w14:paraId="1CB33A1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183.75</w:t>
                  </w:r>
                  <w:r>
                    <w:rPr>
                      <w:rFonts w:hint="eastAsia" w:cs="Times New Roman"/>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循环冷却水</w:t>
                  </w:r>
                  <w:r>
                    <w:rPr>
                      <w:rFonts w:hint="eastAsia" w:ascii="宋体" w:hAnsi="宋体" w:cs="宋体"/>
                      <w:i w:val="0"/>
                      <w:iCs w:val="0"/>
                      <w:color w:val="auto"/>
                      <w:kern w:val="0"/>
                      <w:sz w:val="18"/>
                      <w:szCs w:val="18"/>
                      <w:u w:val="none"/>
                      <w:lang w:val="en-US" w:eastAsia="zh-CN" w:bidi="ar"/>
                    </w:rPr>
                    <w:t>不外</w:t>
                  </w:r>
                  <w:r>
                    <w:rPr>
                      <w:rFonts w:hint="eastAsia" w:ascii="宋体" w:hAnsi="宋体" w:eastAsia="宋体" w:cs="宋体"/>
                      <w:i w:val="0"/>
                      <w:iCs w:val="0"/>
                      <w:color w:val="auto"/>
                      <w:kern w:val="0"/>
                      <w:sz w:val="18"/>
                      <w:szCs w:val="18"/>
                      <w:u w:val="none"/>
                      <w:lang w:val="en-US" w:eastAsia="zh-CN" w:bidi="ar"/>
                    </w:rPr>
                    <w:t>外排</w:t>
                  </w:r>
                  <w:r>
                    <w:rPr>
                      <w:rFonts w:hint="eastAsia" w:cs="Times New Roman"/>
                      <w:i w:val="0"/>
                      <w:iCs w:val="0"/>
                      <w:color w:val="auto"/>
                      <w:kern w:val="0"/>
                      <w:sz w:val="18"/>
                      <w:szCs w:val="18"/>
                      <w:u w:val="none"/>
                      <w:lang w:val="en-US" w:eastAsia="zh-CN" w:bidi="ar"/>
                    </w:rPr>
                    <w:t>）</w:t>
                  </w:r>
                </w:p>
              </w:tc>
              <w:tc>
                <w:tcPr>
                  <w:tcW w:w="683" w:type="dxa"/>
                  <w:tcBorders>
                    <w:tl2br w:val="nil"/>
                    <w:tr2bl w:val="nil"/>
                  </w:tcBorders>
                  <w:shd w:val="clear" w:color="auto" w:fill="auto"/>
                  <w:vAlign w:val="center"/>
                </w:tcPr>
                <w:p w14:paraId="105CE1A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183.75</w:t>
                  </w:r>
                  <w:r>
                    <w:rPr>
                      <w:rFonts w:hint="eastAsia" w:cs="Times New Roman"/>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循环冷却水</w:t>
                  </w:r>
                  <w:r>
                    <w:rPr>
                      <w:rFonts w:hint="eastAsia" w:ascii="宋体" w:hAnsi="宋体" w:cs="宋体"/>
                      <w:i w:val="0"/>
                      <w:iCs w:val="0"/>
                      <w:color w:val="auto"/>
                      <w:kern w:val="0"/>
                      <w:sz w:val="18"/>
                      <w:szCs w:val="18"/>
                      <w:u w:val="none"/>
                      <w:lang w:val="en-US" w:eastAsia="zh-CN" w:bidi="ar"/>
                    </w:rPr>
                    <w:t>不</w:t>
                  </w:r>
                  <w:r>
                    <w:rPr>
                      <w:rFonts w:hint="eastAsia" w:ascii="宋体" w:hAnsi="宋体" w:eastAsia="宋体" w:cs="宋体"/>
                      <w:i w:val="0"/>
                      <w:iCs w:val="0"/>
                      <w:color w:val="auto"/>
                      <w:kern w:val="0"/>
                      <w:sz w:val="18"/>
                      <w:szCs w:val="18"/>
                      <w:u w:val="none"/>
                      <w:lang w:val="en-US" w:eastAsia="zh-CN" w:bidi="ar"/>
                    </w:rPr>
                    <w:t>外排</w:t>
                  </w:r>
                  <w:r>
                    <w:rPr>
                      <w:rFonts w:hint="eastAsia" w:cs="Times New Roman"/>
                      <w:i w:val="0"/>
                      <w:iCs w:val="0"/>
                      <w:color w:val="auto"/>
                      <w:kern w:val="0"/>
                      <w:sz w:val="18"/>
                      <w:szCs w:val="18"/>
                      <w:u w:val="none"/>
                      <w:lang w:val="en-US" w:eastAsia="zh-CN" w:bidi="ar"/>
                    </w:rPr>
                    <w:t>）</w:t>
                  </w:r>
                </w:p>
              </w:tc>
            </w:tr>
            <w:tr w14:paraId="4376D9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31" w:hRule="atLeast"/>
              </w:trPr>
              <w:tc>
                <w:tcPr>
                  <w:tcW w:w="270" w:type="dxa"/>
                  <w:vMerge w:val="continue"/>
                  <w:tcBorders>
                    <w:tl2br w:val="nil"/>
                    <w:tr2bl w:val="nil"/>
                  </w:tcBorders>
                  <w:shd w:val="clear" w:color="auto" w:fill="auto"/>
                  <w:vAlign w:val="center"/>
                </w:tcPr>
                <w:p w14:paraId="1177EB29">
                  <w:pPr>
                    <w:jc w:val="center"/>
                    <w:rPr>
                      <w:rFonts w:hint="default" w:ascii="Times New Roman" w:hAnsi="Times New Roman" w:eastAsia="宋体" w:cs="Times New Roman"/>
                      <w:b/>
                      <w:bCs/>
                      <w:i w:val="0"/>
                      <w:iCs w:val="0"/>
                      <w:color w:val="auto"/>
                      <w:sz w:val="18"/>
                      <w:szCs w:val="18"/>
                      <w:u w:val="none"/>
                    </w:rPr>
                  </w:pPr>
                </w:p>
              </w:tc>
              <w:tc>
                <w:tcPr>
                  <w:tcW w:w="899" w:type="dxa"/>
                  <w:tcBorders>
                    <w:tl2br w:val="nil"/>
                    <w:tr2bl w:val="nil"/>
                  </w:tcBorders>
                  <w:shd w:val="clear" w:color="auto" w:fill="auto"/>
                  <w:vAlign w:val="center"/>
                </w:tcPr>
                <w:p w14:paraId="36C21D5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清洗台面、地面用水</w:t>
                  </w:r>
                </w:p>
              </w:tc>
              <w:tc>
                <w:tcPr>
                  <w:tcW w:w="655" w:type="dxa"/>
                  <w:tcBorders>
                    <w:tl2br w:val="nil"/>
                    <w:tr2bl w:val="nil"/>
                  </w:tcBorders>
                  <w:shd w:val="clear" w:color="auto" w:fill="auto"/>
                  <w:vAlign w:val="center"/>
                </w:tcPr>
                <w:p w14:paraId="3691263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122.5</w:t>
                  </w:r>
                </w:p>
              </w:tc>
              <w:tc>
                <w:tcPr>
                  <w:tcW w:w="656" w:type="dxa"/>
                  <w:tcBorders>
                    <w:tl2br w:val="nil"/>
                    <w:tr2bl w:val="nil"/>
                  </w:tcBorders>
                  <w:shd w:val="clear" w:color="auto" w:fill="auto"/>
                  <w:vAlign w:val="center"/>
                </w:tcPr>
                <w:p w14:paraId="260432F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631" w:type="dxa"/>
                  <w:tcBorders>
                    <w:tl2br w:val="nil"/>
                    <w:tr2bl w:val="nil"/>
                  </w:tcBorders>
                  <w:shd w:val="clear" w:color="auto" w:fill="auto"/>
                  <w:vAlign w:val="center"/>
                </w:tcPr>
                <w:p w14:paraId="2F9075A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596" w:type="dxa"/>
                  <w:tcBorders>
                    <w:tl2br w:val="nil"/>
                    <w:tr2bl w:val="nil"/>
                  </w:tcBorders>
                  <w:shd w:val="clear" w:color="auto" w:fill="auto"/>
                  <w:vAlign w:val="center"/>
                </w:tcPr>
                <w:p w14:paraId="7E4B12A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5" w:type="dxa"/>
                  <w:tcBorders>
                    <w:tl2br w:val="nil"/>
                    <w:tr2bl w:val="nil"/>
                  </w:tcBorders>
                  <w:shd w:val="clear" w:color="auto" w:fill="auto"/>
                  <w:vAlign w:val="center"/>
                </w:tcPr>
                <w:p w14:paraId="5C566E6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656" w:type="dxa"/>
                  <w:tcBorders>
                    <w:tl2br w:val="nil"/>
                    <w:tr2bl w:val="nil"/>
                  </w:tcBorders>
                  <w:shd w:val="clear" w:color="auto" w:fill="auto"/>
                  <w:vAlign w:val="center"/>
                </w:tcPr>
                <w:p w14:paraId="65257F9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49</w:t>
                  </w:r>
                </w:p>
              </w:tc>
              <w:tc>
                <w:tcPr>
                  <w:tcW w:w="683" w:type="dxa"/>
                  <w:tcBorders>
                    <w:tl2br w:val="nil"/>
                    <w:tr2bl w:val="nil"/>
                  </w:tcBorders>
                  <w:shd w:val="clear" w:color="auto" w:fill="auto"/>
                  <w:vAlign w:val="center"/>
                </w:tcPr>
                <w:p w14:paraId="5DD519E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98</w:t>
                  </w:r>
                </w:p>
              </w:tc>
              <w:tc>
                <w:tcPr>
                  <w:tcW w:w="770" w:type="dxa"/>
                  <w:tcBorders>
                    <w:tl2br w:val="nil"/>
                    <w:tr2bl w:val="nil"/>
                  </w:tcBorders>
                  <w:shd w:val="clear" w:color="auto" w:fill="auto"/>
                  <w:vAlign w:val="center"/>
                </w:tcPr>
                <w:p w14:paraId="12A115E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196</w:t>
                  </w:r>
                </w:p>
              </w:tc>
              <w:tc>
                <w:tcPr>
                  <w:tcW w:w="683" w:type="dxa"/>
                  <w:tcBorders>
                    <w:tl2br w:val="nil"/>
                    <w:tr2bl w:val="nil"/>
                  </w:tcBorders>
                  <w:shd w:val="clear" w:color="auto" w:fill="auto"/>
                  <w:vAlign w:val="center"/>
                </w:tcPr>
                <w:p w14:paraId="64EC7F9C">
                  <w:pPr>
                    <w:jc w:val="center"/>
                    <w:rPr>
                      <w:rFonts w:hint="default" w:ascii="Times New Roman" w:hAnsi="Times New Roman" w:eastAsia="宋体" w:cs="Times New Roman"/>
                      <w:i w:val="0"/>
                      <w:iCs w:val="0"/>
                      <w:color w:val="auto"/>
                      <w:sz w:val="18"/>
                      <w:szCs w:val="18"/>
                      <w:u w:val="none"/>
                    </w:rPr>
                  </w:pPr>
                </w:p>
              </w:tc>
              <w:tc>
                <w:tcPr>
                  <w:tcW w:w="683" w:type="dxa"/>
                  <w:tcBorders>
                    <w:tl2br w:val="nil"/>
                    <w:tr2bl w:val="nil"/>
                  </w:tcBorders>
                  <w:shd w:val="clear" w:color="auto" w:fill="auto"/>
                  <w:noWrap/>
                  <w:vAlign w:val="center"/>
                </w:tcPr>
                <w:p w14:paraId="20A6E276">
                  <w:pPr>
                    <w:jc w:val="center"/>
                    <w:rPr>
                      <w:rFonts w:hint="default" w:ascii="Times New Roman" w:hAnsi="Times New Roman" w:eastAsia="宋体" w:cs="Times New Roman"/>
                      <w:i w:val="0"/>
                      <w:iCs w:val="0"/>
                      <w:color w:val="auto"/>
                      <w:sz w:val="18"/>
                      <w:szCs w:val="18"/>
                      <w:u w:val="none"/>
                    </w:rPr>
                  </w:pPr>
                </w:p>
              </w:tc>
            </w:tr>
            <w:tr w14:paraId="08DFDB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3" w:hRule="atLeast"/>
              </w:trPr>
              <w:tc>
                <w:tcPr>
                  <w:tcW w:w="270" w:type="dxa"/>
                  <w:vMerge w:val="continue"/>
                  <w:tcBorders>
                    <w:tl2br w:val="nil"/>
                    <w:tr2bl w:val="nil"/>
                  </w:tcBorders>
                  <w:shd w:val="clear" w:color="auto" w:fill="auto"/>
                  <w:vAlign w:val="center"/>
                </w:tcPr>
                <w:p w14:paraId="2C77846E">
                  <w:pPr>
                    <w:jc w:val="center"/>
                    <w:rPr>
                      <w:rFonts w:hint="default" w:ascii="Times New Roman" w:hAnsi="Times New Roman" w:eastAsia="宋体" w:cs="Times New Roman"/>
                      <w:b/>
                      <w:bCs/>
                      <w:i w:val="0"/>
                      <w:iCs w:val="0"/>
                      <w:color w:val="auto"/>
                      <w:sz w:val="18"/>
                      <w:szCs w:val="18"/>
                      <w:u w:val="none"/>
                    </w:rPr>
                  </w:pPr>
                </w:p>
              </w:tc>
              <w:tc>
                <w:tcPr>
                  <w:tcW w:w="899" w:type="dxa"/>
                  <w:tcBorders>
                    <w:tl2br w:val="nil"/>
                    <w:tr2bl w:val="nil"/>
                  </w:tcBorders>
                  <w:shd w:val="clear" w:color="auto" w:fill="auto"/>
                  <w:vAlign w:val="center"/>
                </w:tcPr>
                <w:p w14:paraId="1868430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纯水机尾水</w:t>
                  </w:r>
                </w:p>
              </w:tc>
              <w:tc>
                <w:tcPr>
                  <w:tcW w:w="655" w:type="dxa"/>
                  <w:tcBorders>
                    <w:tl2br w:val="nil"/>
                    <w:tr2bl w:val="nil"/>
                  </w:tcBorders>
                  <w:shd w:val="clear" w:color="auto" w:fill="auto"/>
                  <w:vAlign w:val="center"/>
                </w:tcPr>
                <w:p w14:paraId="78A823D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35</w:t>
                  </w:r>
                </w:p>
              </w:tc>
              <w:tc>
                <w:tcPr>
                  <w:tcW w:w="656" w:type="dxa"/>
                  <w:tcBorders>
                    <w:tl2br w:val="nil"/>
                    <w:tr2bl w:val="nil"/>
                  </w:tcBorders>
                  <w:shd w:val="clear" w:color="auto" w:fill="auto"/>
                  <w:vAlign w:val="center"/>
                </w:tcPr>
                <w:p w14:paraId="7AF4E67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70</w:t>
                  </w:r>
                </w:p>
              </w:tc>
              <w:tc>
                <w:tcPr>
                  <w:tcW w:w="631" w:type="dxa"/>
                  <w:tcBorders>
                    <w:tl2br w:val="nil"/>
                    <w:tr2bl w:val="nil"/>
                  </w:tcBorders>
                  <w:shd w:val="clear" w:color="auto" w:fill="auto"/>
                  <w:vAlign w:val="center"/>
                </w:tcPr>
                <w:p w14:paraId="2D8447DB">
                  <w:pPr>
                    <w:jc w:val="center"/>
                    <w:rPr>
                      <w:rFonts w:hint="default" w:ascii="Times New Roman" w:hAnsi="Times New Roman" w:eastAsia="宋体" w:cs="Times New Roman"/>
                      <w:i w:val="0"/>
                      <w:iCs w:val="0"/>
                      <w:color w:val="auto"/>
                      <w:sz w:val="18"/>
                      <w:szCs w:val="18"/>
                      <w:u w:val="none"/>
                    </w:rPr>
                  </w:pPr>
                </w:p>
              </w:tc>
              <w:tc>
                <w:tcPr>
                  <w:tcW w:w="596" w:type="dxa"/>
                  <w:tcBorders>
                    <w:tl2br w:val="nil"/>
                    <w:tr2bl w:val="nil"/>
                  </w:tcBorders>
                  <w:shd w:val="clear" w:color="auto" w:fill="auto"/>
                  <w:vAlign w:val="center"/>
                </w:tcPr>
                <w:p w14:paraId="6467AEC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5" w:type="dxa"/>
                  <w:tcBorders>
                    <w:tl2br w:val="nil"/>
                    <w:tr2bl w:val="nil"/>
                  </w:tcBorders>
                  <w:shd w:val="clear" w:color="auto" w:fill="auto"/>
                  <w:vAlign w:val="center"/>
                </w:tcPr>
                <w:p w14:paraId="6B19B16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56" w:type="dxa"/>
                  <w:tcBorders>
                    <w:tl2br w:val="nil"/>
                    <w:tr2bl w:val="nil"/>
                  </w:tcBorders>
                  <w:shd w:val="clear" w:color="auto" w:fill="auto"/>
                  <w:vAlign w:val="center"/>
                </w:tcPr>
                <w:p w14:paraId="506BCD1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683" w:type="dxa"/>
                  <w:tcBorders>
                    <w:tl2br w:val="nil"/>
                    <w:tr2bl w:val="nil"/>
                  </w:tcBorders>
                  <w:shd w:val="clear" w:color="auto" w:fill="auto"/>
                  <w:vAlign w:val="center"/>
                </w:tcPr>
                <w:p w14:paraId="4E2E5D2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10.5</w:t>
                  </w:r>
                </w:p>
              </w:tc>
              <w:tc>
                <w:tcPr>
                  <w:tcW w:w="770" w:type="dxa"/>
                  <w:tcBorders>
                    <w:tl2br w:val="nil"/>
                    <w:tr2bl w:val="nil"/>
                  </w:tcBorders>
                  <w:shd w:val="clear" w:color="auto" w:fill="auto"/>
                  <w:vAlign w:val="center"/>
                </w:tcPr>
                <w:p w14:paraId="49E2FFA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21</w:t>
                  </w:r>
                </w:p>
              </w:tc>
              <w:tc>
                <w:tcPr>
                  <w:tcW w:w="683" w:type="dxa"/>
                  <w:tcBorders>
                    <w:tl2br w:val="nil"/>
                    <w:tr2bl w:val="nil"/>
                  </w:tcBorders>
                  <w:shd w:val="clear" w:color="auto" w:fill="auto"/>
                  <w:vAlign w:val="center"/>
                </w:tcPr>
                <w:p w14:paraId="39EA104F">
                  <w:pPr>
                    <w:jc w:val="center"/>
                    <w:rPr>
                      <w:rFonts w:hint="default" w:ascii="Times New Roman" w:hAnsi="Times New Roman" w:eastAsia="宋体" w:cs="Times New Roman"/>
                      <w:i w:val="0"/>
                      <w:iCs w:val="0"/>
                      <w:color w:val="auto"/>
                      <w:sz w:val="18"/>
                      <w:szCs w:val="18"/>
                      <w:u w:val="none"/>
                    </w:rPr>
                  </w:pPr>
                </w:p>
              </w:tc>
              <w:tc>
                <w:tcPr>
                  <w:tcW w:w="683" w:type="dxa"/>
                  <w:tcBorders>
                    <w:tl2br w:val="nil"/>
                    <w:tr2bl w:val="nil"/>
                  </w:tcBorders>
                  <w:shd w:val="clear" w:color="auto" w:fill="auto"/>
                  <w:noWrap/>
                  <w:vAlign w:val="center"/>
                </w:tcPr>
                <w:p w14:paraId="2CD7F10C">
                  <w:pPr>
                    <w:jc w:val="center"/>
                    <w:rPr>
                      <w:rFonts w:hint="default" w:ascii="Times New Roman" w:hAnsi="Times New Roman" w:eastAsia="宋体" w:cs="Times New Roman"/>
                      <w:i w:val="0"/>
                      <w:iCs w:val="0"/>
                      <w:color w:val="auto"/>
                      <w:sz w:val="18"/>
                      <w:szCs w:val="18"/>
                      <w:u w:val="none"/>
                    </w:rPr>
                  </w:pPr>
                </w:p>
              </w:tc>
            </w:tr>
            <w:tr w14:paraId="2FB343B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9" w:hRule="atLeast"/>
              </w:trPr>
              <w:tc>
                <w:tcPr>
                  <w:tcW w:w="1169" w:type="dxa"/>
                  <w:gridSpan w:val="2"/>
                  <w:tcBorders>
                    <w:tl2br w:val="nil"/>
                    <w:tr2bl w:val="nil"/>
                  </w:tcBorders>
                  <w:shd w:val="clear" w:color="auto" w:fill="auto"/>
                  <w:vAlign w:val="center"/>
                </w:tcPr>
                <w:p w14:paraId="64567CA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合计</w:t>
                  </w:r>
                </w:p>
              </w:tc>
              <w:tc>
                <w:tcPr>
                  <w:tcW w:w="655" w:type="dxa"/>
                  <w:tcBorders>
                    <w:tl2br w:val="nil"/>
                    <w:tr2bl w:val="nil"/>
                  </w:tcBorders>
                  <w:shd w:val="clear" w:color="auto" w:fill="auto"/>
                  <w:vAlign w:val="center"/>
                </w:tcPr>
                <w:p w14:paraId="022FFF5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598.5</w:t>
                  </w:r>
                </w:p>
              </w:tc>
              <w:tc>
                <w:tcPr>
                  <w:tcW w:w="656" w:type="dxa"/>
                  <w:tcBorders>
                    <w:tl2br w:val="nil"/>
                    <w:tr2bl w:val="nil"/>
                  </w:tcBorders>
                  <w:shd w:val="clear" w:color="auto" w:fill="auto"/>
                  <w:vAlign w:val="center"/>
                </w:tcPr>
                <w:p w14:paraId="0AEFBBB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1947</w:t>
                  </w:r>
                </w:p>
              </w:tc>
              <w:tc>
                <w:tcPr>
                  <w:tcW w:w="631" w:type="dxa"/>
                  <w:tcBorders>
                    <w:tl2br w:val="nil"/>
                    <w:tr2bl w:val="nil"/>
                  </w:tcBorders>
                  <w:shd w:val="clear" w:color="auto" w:fill="auto"/>
                  <w:vAlign w:val="center"/>
                </w:tcPr>
                <w:p w14:paraId="5F9201A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24.5</w:t>
                  </w:r>
                </w:p>
              </w:tc>
              <w:tc>
                <w:tcPr>
                  <w:tcW w:w="596" w:type="dxa"/>
                  <w:tcBorders>
                    <w:tl2br w:val="nil"/>
                    <w:tr2bl w:val="nil"/>
                  </w:tcBorders>
                  <w:shd w:val="clear" w:color="auto" w:fill="auto"/>
                  <w:vAlign w:val="center"/>
                </w:tcPr>
                <w:p w14:paraId="3DF6F91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49</w:t>
                  </w:r>
                </w:p>
              </w:tc>
              <w:tc>
                <w:tcPr>
                  <w:tcW w:w="655" w:type="dxa"/>
                  <w:tcBorders>
                    <w:tl2br w:val="nil"/>
                    <w:tr2bl w:val="nil"/>
                  </w:tcBorders>
                  <w:shd w:val="clear" w:color="auto" w:fill="auto"/>
                  <w:vAlign w:val="center"/>
                </w:tcPr>
                <w:p w14:paraId="20F4522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166.6</w:t>
                  </w:r>
                </w:p>
              </w:tc>
              <w:tc>
                <w:tcPr>
                  <w:tcW w:w="656" w:type="dxa"/>
                  <w:tcBorders>
                    <w:tl2br w:val="nil"/>
                    <w:tr2bl w:val="nil"/>
                  </w:tcBorders>
                  <w:shd w:val="clear" w:color="auto" w:fill="auto"/>
                  <w:vAlign w:val="center"/>
                </w:tcPr>
                <w:p w14:paraId="57ACB0C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483.2</w:t>
                  </w:r>
                </w:p>
              </w:tc>
              <w:tc>
                <w:tcPr>
                  <w:tcW w:w="683" w:type="dxa"/>
                  <w:tcBorders>
                    <w:tl2br w:val="nil"/>
                    <w:tr2bl w:val="nil"/>
                  </w:tcBorders>
                  <w:shd w:val="clear" w:color="auto" w:fill="auto"/>
                  <w:vAlign w:val="center"/>
                </w:tcPr>
                <w:p w14:paraId="36BBC9E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218.75</w:t>
                  </w:r>
                </w:p>
              </w:tc>
              <w:tc>
                <w:tcPr>
                  <w:tcW w:w="770" w:type="dxa"/>
                  <w:tcBorders>
                    <w:tl2br w:val="nil"/>
                    <w:tr2bl w:val="nil"/>
                  </w:tcBorders>
                  <w:shd w:val="clear" w:color="auto" w:fill="auto"/>
                  <w:vAlign w:val="center"/>
                </w:tcPr>
                <w:p w14:paraId="27BF787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1221.25</w:t>
                  </w:r>
                </w:p>
              </w:tc>
              <w:tc>
                <w:tcPr>
                  <w:tcW w:w="683" w:type="dxa"/>
                  <w:tcBorders>
                    <w:tl2br w:val="nil"/>
                    <w:tr2bl w:val="nil"/>
                  </w:tcBorders>
                  <w:shd w:val="clear" w:color="auto" w:fill="auto"/>
                  <w:vAlign w:val="center"/>
                </w:tcPr>
                <w:p w14:paraId="0F09CF2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213.15</w:t>
                  </w:r>
                  <w:r>
                    <w:rPr>
                      <w:rFonts w:hint="eastAsia" w:ascii="宋体" w:hAnsi="宋体" w:eastAsia="宋体" w:cs="宋体"/>
                      <w:i w:val="0"/>
                      <w:iCs w:val="0"/>
                      <w:color w:val="auto"/>
                      <w:kern w:val="0"/>
                      <w:sz w:val="18"/>
                      <w:szCs w:val="18"/>
                      <w:u w:val="none"/>
                      <w:lang w:val="en-US" w:eastAsia="zh-CN" w:bidi="ar"/>
                    </w:rPr>
                    <w:t>（不外排）</w:t>
                  </w:r>
                </w:p>
              </w:tc>
              <w:tc>
                <w:tcPr>
                  <w:tcW w:w="683" w:type="dxa"/>
                  <w:tcBorders>
                    <w:tl2br w:val="nil"/>
                    <w:tr2bl w:val="nil"/>
                  </w:tcBorders>
                  <w:shd w:val="clear" w:color="auto" w:fill="auto"/>
                  <w:vAlign w:val="center"/>
                </w:tcPr>
                <w:p w14:paraId="3794161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242.55</w:t>
                  </w:r>
                  <w:r>
                    <w:rPr>
                      <w:rFonts w:hint="eastAsia" w:ascii="宋体" w:hAnsi="宋体" w:eastAsia="宋体" w:cs="宋体"/>
                      <w:i w:val="0"/>
                      <w:iCs w:val="0"/>
                      <w:color w:val="auto"/>
                      <w:kern w:val="0"/>
                      <w:sz w:val="18"/>
                      <w:szCs w:val="18"/>
                      <w:u w:val="none"/>
                      <w:lang w:val="en-US" w:eastAsia="zh-CN" w:bidi="ar"/>
                    </w:rPr>
                    <w:t>（不外排）</w:t>
                  </w:r>
                </w:p>
              </w:tc>
            </w:tr>
          </w:tbl>
          <w:p w14:paraId="3187AD7F">
            <w:pPr>
              <w:numPr>
                <w:ilvl w:val="0"/>
                <w:numId w:val="0"/>
              </w:numPr>
              <w:autoSpaceDE w:val="0"/>
              <w:autoSpaceDN w:val="0"/>
              <w:adjustRightInd w:val="0"/>
              <w:spacing w:before="120" w:beforeLines="50" w:line="360" w:lineRule="auto"/>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object>
                <v:shape id="_x0000_i1027" o:spt="75" type="#_x0000_t75" style="height:264.4pt;width:386.6pt;" o:ole="t" filled="f" o:preferrelative="t" stroked="f" coordsize="21600,21600">
                  <v:path/>
                  <v:fill on="f" focussize="0,0"/>
                  <v:stroke on="f"/>
                  <v:imagedata r:id="rId15" o:title=""/>
                  <o:lock v:ext="edit" aspectratio="f"/>
                  <w10:wrap type="none"/>
                  <w10:anchorlock/>
                </v:shape>
                <o:OLEObject Type="Embed" ProgID="Visio.Drawing.15" ShapeID="_x0000_i1027" DrawAspect="Content" ObjectID="_1468075727" r:id="rId14">
                  <o:LockedField>false</o:LockedField>
                </o:OLEObject>
              </w:object>
            </w:r>
          </w:p>
          <w:p w14:paraId="668C93F0">
            <w:pPr>
              <w:numPr>
                <w:ilvl w:val="0"/>
                <w:numId w:val="0"/>
              </w:numPr>
              <w:autoSpaceDE w:val="0"/>
              <w:autoSpaceDN w:val="0"/>
              <w:adjustRightInd w:val="0"/>
              <w:spacing w:before="120" w:beforeLines="50" w:line="360" w:lineRule="auto"/>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图2-</w:t>
            </w:r>
            <w:r>
              <w:rPr>
                <w:rFonts w:hint="eastAsia" w:cs="Times New Roman"/>
                <w:b/>
                <w:bCs/>
                <w:color w:val="auto"/>
                <w:sz w:val="24"/>
                <w:highlight w:val="none"/>
                <w:lang w:val="en-US" w:eastAsia="zh-CN"/>
              </w:rPr>
              <w:t xml:space="preserve">3 </w:t>
            </w:r>
            <w:r>
              <w:rPr>
                <w:rFonts w:hint="default" w:ascii="Times New Roman" w:hAnsi="Times New Roman" w:eastAsia="宋体" w:cs="Times New Roman"/>
                <w:b/>
                <w:bCs/>
                <w:color w:val="auto"/>
                <w:sz w:val="24"/>
                <w:highlight w:val="none"/>
                <w:lang w:val="en-US" w:eastAsia="zh-CN"/>
              </w:rPr>
              <w:t>项目</w:t>
            </w:r>
            <w:r>
              <w:rPr>
                <w:rFonts w:hint="eastAsia" w:cs="Times New Roman"/>
                <w:b/>
                <w:bCs/>
                <w:color w:val="auto"/>
                <w:sz w:val="24"/>
                <w:highlight w:val="none"/>
                <w:lang w:val="en-US" w:eastAsia="zh-CN"/>
              </w:rPr>
              <w:t>全厂</w:t>
            </w:r>
            <w:r>
              <w:rPr>
                <w:rFonts w:hint="default" w:ascii="Times New Roman" w:hAnsi="Times New Roman" w:eastAsia="宋体" w:cs="Times New Roman"/>
                <w:b/>
                <w:bCs/>
                <w:color w:val="auto"/>
                <w:sz w:val="24"/>
                <w:highlight w:val="none"/>
                <w:lang w:val="en-US" w:eastAsia="zh-CN"/>
              </w:rPr>
              <w:t>水平衡图</w:t>
            </w:r>
            <w:r>
              <w:rPr>
                <w:rFonts w:hint="eastAsia" w:cs="Times New Roman"/>
                <w:b/>
                <w:bCs/>
                <w:color w:val="auto"/>
                <w:sz w:val="24"/>
                <w:highlight w:val="none"/>
                <w:lang w:val="en-US" w:eastAsia="zh-CN"/>
              </w:rPr>
              <w:t xml:space="preserve">    （单位：m</w:t>
            </w:r>
            <w:r>
              <w:rPr>
                <w:rFonts w:hint="eastAsia" w:cs="Times New Roman"/>
                <w:b/>
                <w:bCs/>
                <w:color w:val="auto"/>
                <w:sz w:val="24"/>
                <w:highlight w:val="none"/>
                <w:vertAlign w:val="superscript"/>
                <w:lang w:val="en-US" w:eastAsia="zh-CN"/>
              </w:rPr>
              <w:t>3</w:t>
            </w:r>
            <w:r>
              <w:rPr>
                <w:rFonts w:hint="eastAsia" w:cs="Times New Roman"/>
                <w:b/>
                <w:bCs/>
                <w:color w:val="auto"/>
                <w:sz w:val="24"/>
                <w:highlight w:val="none"/>
                <w:lang w:val="en-US" w:eastAsia="zh-CN"/>
              </w:rPr>
              <w:t>/d）</w:t>
            </w:r>
          </w:p>
          <w:p w14:paraId="4654D237">
            <w:pPr>
              <w:keepNext w:val="0"/>
              <w:keepLines w:val="0"/>
              <w:pageBreakBefore w:val="0"/>
              <w:widowControl w:val="0"/>
              <w:numPr>
                <w:ilvl w:val="0"/>
                <w:numId w:val="4"/>
              </w:numPr>
              <w:kinsoku/>
              <w:wordWrap/>
              <w:overflowPunct/>
              <w:topLinePunct w:val="0"/>
              <w:autoSpaceDE w:val="0"/>
              <w:autoSpaceDN w:val="0"/>
              <w:bidi w:val="0"/>
              <w:adjustRightInd w:val="0"/>
              <w:snapToGrid/>
              <w:spacing w:line="360" w:lineRule="auto"/>
              <w:ind w:left="0" w:leftChars="0" w:firstLine="482" w:firstLineChars="200"/>
              <w:jc w:val="left"/>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供电</w:t>
            </w:r>
          </w:p>
          <w:p w14:paraId="5972179C">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项目供电电源由</w:t>
            </w:r>
            <w:r>
              <w:rPr>
                <w:rFonts w:hint="eastAsia" w:cs="Times New Roman"/>
                <w:b w:val="0"/>
                <w:bCs w:val="0"/>
                <w:color w:val="auto"/>
                <w:sz w:val="24"/>
                <w:highlight w:val="none"/>
                <w:lang w:val="en-US" w:eastAsia="zh-CN"/>
              </w:rPr>
              <w:t>伟合</w:t>
            </w:r>
            <w:r>
              <w:rPr>
                <w:rFonts w:hint="eastAsia" w:ascii="Times New Roman" w:hAnsi="Times New Roman" w:eastAsia="宋体" w:cs="Times New Roman"/>
                <w:b w:val="0"/>
                <w:bCs w:val="0"/>
                <w:color w:val="auto"/>
                <w:sz w:val="24"/>
                <w:highlight w:val="none"/>
                <w:lang w:val="en-US" w:eastAsia="zh-CN"/>
              </w:rPr>
              <w:t>沣东科技产业园电网统一提供。</w:t>
            </w:r>
          </w:p>
          <w:p w14:paraId="6A8EBB35">
            <w:pPr>
              <w:keepNext w:val="0"/>
              <w:keepLines w:val="0"/>
              <w:pageBreakBefore w:val="0"/>
              <w:widowControl w:val="0"/>
              <w:numPr>
                <w:ilvl w:val="0"/>
                <w:numId w:val="4"/>
              </w:numPr>
              <w:kinsoku/>
              <w:wordWrap/>
              <w:overflowPunct/>
              <w:topLinePunct w:val="0"/>
              <w:autoSpaceDE w:val="0"/>
              <w:autoSpaceDN w:val="0"/>
              <w:bidi w:val="0"/>
              <w:adjustRightInd w:val="0"/>
              <w:snapToGrid/>
              <w:spacing w:line="360" w:lineRule="auto"/>
              <w:ind w:left="0" w:leftChars="0" w:firstLine="482" w:firstLineChars="200"/>
              <w:jc w:val="left"/>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采暖及制冷</w:t>
            </w:r>
          </w:p>
          <w:p w14:paraId="3376C8D5">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本项目</w:t>
            </w:r>
            <w:r>
              <w:rPr>
                <w:rFonts w:hint="eastAsia" w:ascii="Times New Roman" w:hAnsi="Times New Roman" w:eastAsia="宋体" w:cs="Times New Roman"/>
                <w:b w:val="0"/>
                <w:bCs w:val="0"/>
                <w:color w:val="auto"/>
                <w:sz w:val="24"/>
                <w:highlight w:val="none"/>
                <w:lang w:val="en-US" w:eastAsia="zh-CN"/>
              </w:rPr>
              <w:t>采用空调制冷和制热。</w:t>
            </w:r>
          </w:p>
          <w:p w14:paraId="64207173">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Times New Roman" w:hAnsi="Times New Roman" w:eastAsia="宋体" w:cs="Times New Roman"/>
                <w:b/>
                <w:bCs/>
                <w:color w:val="auto"/>
                <w:sz w:val="24"/>
                <w:highlight w:val="none"/>
                <w:lang w:val="en-US" w:eastAsia="zh-CN"/>
              </w:rPr>
            </w:pPr>
            <w:r>
              <w:rPr>
                <w:rFonts w:hint="eastAsia" w:cs="Times New Roman"/>
                <w:b/>
                <w:bCs/>
                <w:color w:val="auto"/>
                <w:kern w:val="2"/>
                <w:sz w:val="24"/>
                <w:szCs w:val="24"/>
                <w:highlight w:val="none"/>
                <w:lang w:val="en-US" w:eastAsia="zh-CN" w:bidi="ar-SA"/>
              </w:rPr>
              <w:t>9</w:t>
            </w: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sz w:val="24"/>
                <w:highlight w:val="none"/>
                <w:lang w:val="en-US" w:eastAsia="zh-CN"/>
              </w:rPr>
              <w:t>劳动定员及工作制度</w:t>
            </w:r>
          </w:p>
          <w:p w14:paraId="536ECA5E">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本项目劳动定员</w:t>
            </w:r>
            <w:r>
              <w:rPr>
                <w:rFonts w:hint="eastAsia" w:cs="Times New Roman"/>
                <w:b w:val="0"/>
                <w:bCs w:val="0"/>
                <w:color w:val="auto"/>
                <w:sz w:val="24"/>
                <w:highlight w:val="none"/>
                <w:lang w:val="en-US" w:eastAsia="zh-CN"/>
              </w:rPr>
              <w:t>30</w:t>
            </w:r>
            <w:r>
              <w:rPr>
                <w:rFonts w:hint="eastAsia" w:ascii="Times New Roman" w:hAnsi="Times New Roman" w:eastAsia="宋体" w:cs="Times New Roman"/>
                <w:b w:val="0"/>
                <w:bCs w:val="0"/>
                <w:color w:val="auto"/>
                <w:sz w:val="24"/>
                <w:highlight w:val="none"/>
                <w:lang w:val="en-US" w:eastAsia="zh-CN"/>
              </w:rPr>
              <w:t>人</w:t>
            </w:r>
            <w:r>
              <w:rPr>
                <w:rFonts w:hint="eastAsia" w:cs="Times New Roman"/>
                <w:b w:val="0"/>
                <w:bCs w:val="0"/>
                <w:color w:val="auto"/>
                <w:sz w:val="24"/>
                <w:highlight w:val="none"/>
                <w:lang w:val="en-US" w:eastAsia="zh-CN"/>
              </w:rPr>
              <w:t>（不新增人员）</w:t>
            </w:r>
            <w:r>
              <w:rPr>
                <w:rFonts w:hint="eastAsia" w:ascii="Times New Roman" w:hAnsi="Times New Roman" w:eastAsia="宋体" w:cs="Times New Roman"/>
                <w:b w:val="0"/>
                <w:bCs w:val="0"/>
                <w:color w:val="auto"/>
                <w:sz w:val="24"/>
                <w:highlight w:val="none"/>
                <w:lang w:val="en-US" w:eastAsia="zh-CN"/>
              </w:rPr>
              <w:t>，一班制，每班8h，年工作245d。</w:t>
            </w:r>
          </w:p>
          <w:p w14:paraId="21AD276A">
            <w:pPr>
              <w:autoSpaceDE w:val="0"/>
              <w:autoSpaceDN w:val="0"/>
              <w:adjustRightInd w:val="0"/>
              <w:spacing w:line="360" w:lineRule="auto"/>
              <w:jc w:val="left"/>
              <w:rPr>
                <w:b/>
                <w:bCs/>
                <w:color w:val="auto"/>
                <w:sz w:val="24"/>
              </w:rPr>
            </w:pPr>
            <w:r>
              <w:rPr>
                <w:rFonts w:hint="eastAsia" w:cs="Times New Roman"/>
                <w:b w:val="0"/>
                <w:bCs w:val="0"/>
                <w:color w:val="auto"/>
                <w:sz w:val="24"/>
                <w:lang w:val="en-US" w:eastAsia="zh-CN"/>
              </w:rPr>
              <w:t>10.</w:t>
            </w:r>
            <w:r>
              <w:rPr>
                <w:rFonts w:hint="eastAsia"/>
                <w:b/>
                <w:bCs/>
                <w:color w:val="auto"/>
                <w:sz w:val="24"/>
              </w:rPr>
              <w:t>依托工程及可依托性分析</w:t>
            </w:r>
          </w:p>
          <w:p w14:paraId="4CD26AF7">
            <w:pPr>
              <w:autoSpaceDE w:val="0"/>
              <w:autoSpaceDN w:val="0"/>
              <w:adjustRightInd w:val="0"/>
              <w:spacing w:line="360" w:lineRule="auto"/>
              <w:ind w:left="480"/>
              <w:jc w:val="left"/>
              <w:rPr>
                <w:rFonts w:hint="default" w:eastAsia="宋体"/>
                <w:b/>
                <w:bCs/>
                <w:color w:val="auto"/>
                <w:sz w:val="24"/>
                <w:lang w:val="en-US" w:eastAsia="zh-CN"/>
              </w:rPr>
            </w:pPr>
            <w:r>
              <w:rPr>
                <w:rFonts w:hint="eastAsia"/>
                <w:b/>
                <w:bCs/>
                <w:color w:val="auto"/>
                <w:sz w:val="24"/>
              </w:rPr>
              <w:t>（1）</w:t>
            </w:r>
            <w:r>
              <w:rPr>
                <w:rFonts w:hint="eastAsia"/>
                <w:b/>
                <w:bCs/>
                <w:color w:val="auto"/>
                <w:sz w:val="24"/>
                <w:lang w:val="en-US" w:eastAsia="zh-CN"/>
              </w:rPr>
              <w:t>探试实验室、小试实验室</w:t>
            </w:r>
          </w:p>
          <w:p w14:paraId="2F102DE9">
            <w:pPr>
              <w:autoSpaceDE w:val="0"/>
              <w:autoSpaceDN w:val="0"/>
              <w:adjustRightInd w:val="0"/>
              <w:snapToGrid w:val="0"/>
              <w:spacing w:line="360" w:lineRule="auto"/>
              <w:ind w:firstLine="480" w:firstLineChars="200"/>
              <w:rPr>
                <w:color w:val="auto"/>
                <w:sz w:val="24"/>
              </w:rPr>
            </w:pPr>
            <w:r>
              <w:rPr>
                <w:rFonts w:hint="eastAsia"/>
                <w:color w:val="auto"/>
                <w:sz w:val="24"/>
                <w:lang w:val="en-US" w:eastAsia="zh-CN"/>
              </w:rPr>
              <w:t>由于项目已建成，根据现场调查，本次扩建依托现有探试实验室和小试实验室及配套设备，分别进行</w:t>
            </w:r>
            <w:r>
              <w:rPr>
                <w:rFonts w:hint="eastAsia"/>
                <w:color w:val="auto"/>
                <w:sz w:val="24"/>
              </w:rPr>
              <w:t>药物活性分子化合物合成</w:t>
            </w:r>
            <w:r>
              <w:rPr>
                <w:rFonts w:hint="eastAsia"/>
                <w:color w:val="auto"/>
                <w:sz w:val="24"/>
                <w:lang w:eastAsia="zh-CN"/>
              </w:rPr>
              <w:t>、</w:t>
            </w:r>
            <w:r>
              <w:rPr>
                <w:rFonts w:hint="eastAsia"/>
                <w:color w:val="auto"/>
                <w:sz w:val="24"/>
              </w:rPr>
              <w:t>医药中间体工艺开发</w:t>
            </w:r>
            <w:r>
              <w:rPr>
                <w:rFonts w:hint="eastAsia"/>
                <w:color w:val="auto"/>
                <w:sz w:val="24"/>
                <w:lang w:val="en-US" w:eastAsia="zh-CN"/>
              </w:rPr>
              <w:t>实验。根据建设单位2024年12月31日的自行监测报告数据（附件8），探试实验室和小试实验室总排口非甲烷总烃监测结果满足</w:t>
            </w:r>
            <w:r>
              <w:rPr>
                <w:rFonts w:hint="eastAsia"/>
                <w:color w:val="auto"/>
                <w:sz w:val="24"/>
                <w:highlight w:val="none"/>
              </w:rPr>
              <w:t>《制药工业大气污染物排放标准》（GB 37823-2019）表2大气污染物特别排放限值</w:t>
            </w:r>
            <w:r>
              <w:rPr>
                <w:rFonts w:hint="eastAsia"/>
                <w:color w:val="auto"/>
                <w:sz w:val="24"/>
                <w:lang w:val="en-US" w:eastAsia="zh-CN"/>
              </w:rPr>
              <w:t>，因此项目依托现有的探试实验室和小试实验室</w:t>
            </w:r>
            <w:r>
              <w:rPr>
                <w:rFonts w:hint="eastAsia"/>
                <w:color w:val="auto"/>
                <w:sz w:val="24"/>
              </w:rPr>
              <w:t>能满足</w:t>
            </w:r>
            <w:r>
              <w:rPr>
                <w:rFonts w:hint="eastAsia"/>
                <w:color w:val="auto"/>
                <w:sz w:val="24"/>
                <w:lang w:val="en-US" w:eastAsia="zh-CN"/>
              </w:rPr>
              <w:t>本次扩建项目</w:t>
            </w:r>
            <w:r>
              <w:rPr>
                <w:rFonts w:hint="eastAsia"/>
                <w:color w:val="auto"/>
                <w:sz w:val="24"/>
              </w:rPr>
              <w:t>需要。</w:t>
            </w:r>
          </w:p>
          <w:p w14:paraId="26179951">
            <w:pPr>
              <w:numPr>
                <w:ilvl w:val="0"/>
                <w:numId w:val="5"/>
              </w:numPr>
              <w:autoSpaceDE w:val="0"/>
              <w:autoSpaceDN w:val="0"/>
              <w:adjustRightInd w:val="0"/>
              <w:spacing w:line="360" w:lineRule="auto"/>
              <w:ind w:firstLine="482" w:firstLineChars="200"/>
              <w:jc w:val="left"/>
              <w:rPr>
                <w:b/>
                <w:bCs/>
                <w:color w:val="auto"/>
                <w:sz w:val="24"/>
              </w:rPr>
            </w:pPr>
            <w:r>
              <w:rPr>
                <w:rFonts w:hint="eastAsia"/>
                <w:b/>
                <w:bCs/>
                <w:color w:val="auto"/>
                <w:sz w:val="24"/>
                <w:lang w:val="en-US" w:eastAsia="zh-CN"/>
              </w:rPr>
              <w:t>分析实验室</w:t>
            </w:r>
          </w:p>
          <w:p w14:paraId="4C390D40">
            <w:pPr>
              <w:numPr>
                <w:ilvl w:val="-1"/>
                <w:numId w:val="0"/>
              </w:numPr>
              <w:autoSpaceDE w:val="0"/>
              <w:autoSpaceDN w:val="0"/>
              <w:adjustRightInd w:val="0"/>
              <w:spacing w:line="360" w:lineRule="auto"/>
              <w:ind w:firstLine="0" w:firstLineChars="0"/>
              <w:jc w:val="left"/>
              <w:rPr>
                <w:rFonts w:hint="default" w:eastAsia="宋体"/>
                <w:color w:val="auto"/>
                <w:sz w:val="24"/>
                <w:lang w:val="en-US" w:eastAsia="zh-CN"/>
              </w:rPr>
            </w:pPr>
            <w:r>
              <w:rPr>
                <w:rFonts w:hint="eastAsia"/>
                <w:color w:val="auto"/>
                <w:sz w:val="24"/>
                <w:lang w:val="en-US" w:eastAsia="zh-CN"/>
              </w:rPr>
              <w:t xml:space="preserve">    本项目依托现有分析实验室进行实验样品检测工作，由于项目已建成，根据建设单位2024年12月31日的自行监测报告数据（附件8），DA003出口非甲烷总烃监测结果满足</w:t>
            </w:r>
            <w:r>
              <w:rPr>
                <w:rFonts w:hint="eastAsia"/>
                <w:color w:val="auto"/>
                <w:sz w:val="24"/>
                <w:highlight w:val="none"/>
              </w:rPr>
              <w:t>《制药工业大气污染物排放标准》（GB 37823-2019）表2大气污染物特别排放限值</w:t>
            </w:r>
            <w:r>
              <w:rPr>
                <w:rFonts w:hint="eastAsia"/>
                <w:color w:val="auto"/>
                <w:sz w:val="24"/>
                <w:highlight w:val="none"/>
                <w:lang w:eastAsia="zh-CN"/>
              </w:rPr>
              <w:t>，</w:t>
            </w:r>
            <w:r>
              <w:rPr>
                <w:rFonts w:hint="eastAsia"/>
                <w:color w:val="auto"/>
                <w:sz w:val="24"/>
                <w:highlight w:val="none"/>
                <w:lang w:val="en-US" w:eastAsia="zh-CN"/>
              </w:rPr>
              <w:t>因此依托现有分析实验室</w:t>
            </w:r>
            <w:r>
              <w:rPr>
                <w:rFonts w:hint="eastAsia"/>
                <w:color w:val="auto"/>
                <w:sz w:val="24"/>
                <w:lang w:val="en-US" w:eastAsia="zh-CN"/>
              </w:rPr>
              <w:t>能满足本次扩建项目需要。</w:t>
            </w:r>
          </w:p>
          <w:p w14:paraId="74791412">
            <w:pPr>
              <w:numPr>
                <w:ilvl w:val="0"/>
                <w:numId w:val="5"/>
              </w:numPr>
              <w:spacing w:line="360" w:lineRule="auto"/>
              <w:ind w:firstLine="482" w:firstLineChars="200"/>
              <w:rPr>
                <w:rFonts w:hint="eastAsia"/>
                <w:b/>
                <w:bCs/>
                <w:color w:val="auto"/>
                <w:sz w:val="24"/>
                <w:lang w:val="en-US" w:eastAsia="zh-CN"/>
              </w:rPr>
            </w:pPr>
            <w:r>
              <w:rPr>
                <w:rFonts w:hint="eastAsia"/>
                <w:b/>
                <w:bCs/>
                <w:color w:val="auto"/>
                <w:sz w:val="24"/>
                <w:lang w:val="en-US" w:eastAsia="zh-CN"/>
              </w:rPr>
              <w:t>废水处理设施</w:t>
            </w:r>
          </w:p>
          <w:p w14:paraId="026BFBF5">
            <w:pPr>
              <w:numPr>
                <w:ilvl w:val="-1"/>
                <w:numId w:val="0"/>
              </w:numPr>
              <w:spacing w:line="360" w:lineRule="auto"/>
              <w:ind w:firstLine="0" w:firstLineChars="0"/>
              <w:rPr>
                <w:rFonts w:hint="default"/>
                <w:b w:val="0"/>
                <w:bCs w:val="0"/>
                <w:color w:val="auto"/>
                <w:sz w:val="24"/>
                <w:lang w:val="en-US" w:eastAsia="zh-CN"/>
              </w:rPr>
            </w:pPr>
            <w:r>
              <w:rPr>
                <w:rFonts w:hint="eastAsia"/>
                <w:color w:val="auto"/>
                <w:sz w:val="24"/>
                <w:lang w:val="en-US" w:eastAsia="zh-CN"/>
              </w:rPr>
              <w:t xml:space="preserve">     由于本次扩建工程不涉及反应工艺流程变动，实验器皿清洗流程与现有工程几乎一致。即实验器皿经有机溶剂清洗和第一、二次自来水清洗，已基本上去除了残留的有机溶剂和样品等，其清洗废液均作为危废处置，因此实验第三、四次清洗废水与台面、地面清洗废水污染物较简单成分相似，</w:t>
            </w:r>
            <w:r>
              <w:rPr>
                <w:rFonts w:hint="eastAsia"/>
                <w:color w:val="auto"/>
                <w:sz w:val="24"/>
                <w:vertAlign w:val="baseline"/>
                <w:lang w:val="en-US" w:eastAsia="zh-CN"/>
              </w:rPr>
              <w:t>与现有工程</w:t>
            </w:r>
            <w:r>
              <w:rPr>
                <w:rFonts w:hint="eastAsia"/>
                <w:color w:val="auto"/>
                <w:sz w:val="24"/>
                <w:lang w:val="en-US" w:eastAsia="zh-CN"/>
              </w:rPr>
              <w:t>实验第三、四次清洗废水和台面、地面清洗废水成分相似，污染因子主要以pH、SS、COD，BOD</w:t>
            </w:r>
            <w:r>
              <w:rPr>
                <w:rFonts w:hint="eastAsia"/>
                <w:color w:val="auto"/>
                <w:sz w:val="24"/>
                <w:vertAlign w:val="subscript"/>
                <w:lang w:val="en-US" w:eastAsia="zh-CN"/>
              </w:rPr>
              <w:t>5</w:t>
            </w:r>
            <w:r>
              <w:rPr>
                <w:rFonts w:hint="eastAsia"/>
                <w:color w:val="auto"/>
                <w:sz w:val="24"/>
                <w:vertAlign w:val="baseline"/>
                <w:lang w:val="en-US" w:eastAsia="zh-CN"/>
              </w:rPr>
              <w:t>、NH</w:t>
            </w:r>
            <w:r>
              <w:rPr>
                <w:rFonts w:hint="eastAsia"/>
                <w:color w:val="auto"/>
                <w:sz w:val="24"/>
                <w:vertAlign w:val="subscript"/>
                <w:lang w:val="en-US" w:eastAsia="zh-CN"/>
              </w:rPr>
              <w:t>3</w:t>
            </w:r>
            <w:r>
              <w:rPr>
                <w:rFonts w:hint="eastAsia"/>
                <w:color w:val="auto"/>
                <w:sz w:val="24"/>
                <w:vertAlign w:val="baseline"/>
                <w:lang w:val="en-US" w:eastAsia="zh-CN"/>
              </w:rPr>
              <w:t>-N为主。废水处理设施处理工艺为</w:t>
            </w:r>
            <w:r>
              <w:rPr>
                <w:rFonts w:hint="eastAsia"/>
                <w:color w:val="auto"/>
                <w:sz w:val="24"/>
                <w:szCs w:val="24"/>
                <w:highlight w:val="none"/>
                <w:lang w:val="en-US" w:eastAsia="zh-CN"/>
              </w:rPr>
              <w:t>酸碱中和+絮凝沉淀+光催化反应+微电解反应+电化学氧化+消毒，其中光催化反应、微电解反应以及电化学氧化属于高级氧化工艺可较好去除</w:t>
            </w:r>
            <w:r>
              <w:rPr>
                <w:rFonts w:hint="eastAsia"/>
                <w:color w:val="auto"/>
                <w:sz w:val="24"/>
              </w:rPr>
              <w:t>清洗废水</w:t>
            </w:r>
            <w:r>
              <w:rPr>
                <w:rFonts w:hint="eastAsia"/>
                <w:color w:val="auto"/>
                <w:sz w:val="24"/>
                <w:lang w:val="en-US" w:eastAsia="zh-CN"/>
              </w:rPr>
              <w:t>中的存在细小悬浮物、</w:t>
            </w:r>
            <w:r>
              <w:rPr>
                <w:rFonts w:hint="default" w:ascii="Times New Roman" w:hAnsi="Times New Roman" w:cs="Times New Roman"/>
                <w:color w:val="auto"/>
                <w:sz w:val="24"/>
                <w:szCs w:val="24"/>
                <w:highlight w:val="none"/>
                <w:lang w:val="en-US" w:eastAsia="zh-CN"/>
              </w:rPr>
              <w:t>微量金属及极少量的</w:t>
            </w:r>
            <w:r>
              <w:rPr>
                <w:rFonts w:hint="eastAsia" w:ascii="Times New Roman" w:hAnsi="Times New Roman" w:cs="Times New Roman"/>
                <w:color w:val="auto"/>
                <w:sz w:val="24"/>
                <w:szCs w:val="24"/>
                <w:highlight w:val="none"/>
                <w:lang w:val="en-US" w:eastAsia="zh-CN"/>
              </w:rPr>
              <w:t>难降解</w:t>
            </w:r>
            <w:r>
              <w:rPr>
                <w:rFonts w:hint="default" w:ascii="Times New Roman" w:hAnsi="Times New Roman" w:cs="Times New Roman"/>
                <w:color w:val="auto"/>
                <w:sz w:val="24"/>
                <w:szCs w:val="24"/>
                <w:highlight w:val="none"/>
                <w:lang w:val="en-US" w:eastAsia="zh-CN"/>
              </w:rPr>
              <w:t>有机物</w:t>
            </w:r>
            <w:r>
              <w:rPr>
                <w:rFonts w:hint="eastAsia"/>
                <w:color w:val="auto"/>
                <w:sz w:val="24"/>
                <w:lang w:val="en-US" w:eastAsia="zh-CN"/>
              </w:rPr>
              <w:t>。项目现有处理规模为0.6</w:t>
            </w:r>
            <w:r>
              <w:rPr>
                <w:rFonts w:hint="eastAsia" w:cs="Times New Roman"/>
                <w:b w:val="0"/>
                <w:bCs w:val="0"/>
                <w:color w:val="auto"/>
                <w:sz w:val="24"/>
                <w:highlight w:val="none"/>
                <w:lang w:val="en-US" w:eastAsia="zh-CN"/>
              </w:rPr>
              <w:t>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lang w:val="en-US" w:eastAsia="zh-CN"/>
              </w:rPr>
              <w:t>/d，本次扩建处理规模约为0.6m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lang w:val="en-US" w:eastAsia="zh-CN"/>
              </w:rPr>
              <w:t>/d，现有污水处理设施设计规模为1.5m/d，剩余处理规模为0.9m</w:t>
            </w:r>
            <w:r>
              <w:rPr>
                <w:rFonts w:hint="eastAsia" w:cs="Times New Roman"/>
                <w:b w:val="0"/>
                <w:bCs w:val="0"/>
                <w:color w:val="auto"/>
                <w:sz w:val="24"/>
                <w:highlight w:val="none"/>
                <w:vertAlign w:val="superscript"/>
                <w:lang w:val="en-US" w:eastAsia="zh-CN"/>
              </w:rPr>
              <w:t>3</w:t>
            </w:r>
            <w:r>
              <w:rPr>
                <w:rFonts w:hint="eastAsia" w:cs="Times New Roman"/>
                <w:b w:val="0"/>
                <w:bCs w:val="0"/>
                <w:color w:val="auto"/>
                <w:sz w:val="24"/>
                <w:highlight w:val="none"/>
                <w:lang w:val="en-US" w:eastAsia="zh-CN"/>
              </w:rPr>
              <w:t>/d，满足本次扩建新增处理规模。</w:t>
            </w:r>
            <w:r>
              <w:rPr>
                <w:rFonts w:hint="eastAsia"/>
                <w:color w:val="auto"/>
                <w:sz w:val="24"/>
                <w:lang w:val="en-US" w:eastAsia="zh-CN"/>
              </w:rPr>
              <w:t>根据建设单位自行监测报告（附件8）数据，DW001出水口的监测结果满足</w:t>
            </w:r>
            <w:r>
              <w:rPr>
                <w:rFonts w:hint="default" w:ascii="Times New Roman" w:hAnsi="Times New Roman" w:eastAsia="宋体" w:cs="Times New Roman"/>
                <w:color w:val="auto"/>
                <w:sz w:val="24"/>
                <w:szCs w:val="24"/>
                <w:highlight w:val="none"/>
                <w:lang w:val="en-US" w:eastAsia="zh-CN"/>
              </w:rPr>
              <w:t>污水综合排放标准》（GB8978-1996）三级标准要求及《污水排入城镇下水道水质标准》（GB/T31962-2015）表1中的A级标准</w:t>
            </w:r>
            <w:r>
              <w:rPr>
                <w:rFonts w:hint="eastAsia"/>
                <w:color w:val="auto"/>
                <w:sz w:val="24"/>
                <w:lang w:val="en-US" w:eastAsia="zh-CN"/>
              </w:rPr>
              <w:t>。综上所述，项目扩建后，依托现有的污水处理设施</w:t>
            </w:r>
            <w:r>
              <w:rPr>
                <w:rFonts w:hint="eastAsia"/>
                <w:b w:val="0"/>
                <w:bCs w:val="0"/>
                <w:color w:val="auto"/>
                <w:sz w:val="24"/>
                <w:lang w:val="en-US" w:eastAsia="zh-CN"/>
              </w:rPr>
              <w:t>能满足本次扩建需要。</w:t>
            </w:r>
          </w:p>
          <w:p w14:paraId="7D6C0166">
            <w:pPr>
              <w:numPr>
                <w:ilvl w:val="0"/>
                <w:numId w:val="5"/>
              </w:numPr>
              <w:spacing w:line="360" w:lineRule="auto"/>
              <w:ind w:firstLine="482" w:firstLineChars="200"/>
              <w:rPr>
                <w:b/>
                <w:bCs/>
                <w:color w:val="auto"/>
                <w:sz w:val="24"/>
              </w:rPr>
            </w:pPr>
            <w:r>
              <w:rPr>
                <w:rFonts w:hint="eastAsia"/>
                <w:b/>
                <w:bCs/>
                <w:color w:val="auto"/>
                <w:sz w:val="24"/>
                <w:lang w:val="en-US" w:eastAsia="zh-CN"/>
              </w:rPr>
              <w:t>试剂库、毒品库、易制爆库等</w:t>
            </w:r>
          </w:p>
          <w:p w14:paraId="5C09DA38">
            <w:pPr>
              <w:numPr>
                <w:ilvl w:val="0"/>
                <w:numId w:val="0"/>
              </w:numPr>
              <w:spacing w:line="360" w:lineRule="auto"/>
              <w:ind w:firstLine="480" w:firstLineChars="200"/>
              <w:rPr>
                <w:color w:val="auto"/>
                <w:sz w:val="24"/>
              </w:rPr>
            </w:pPr>
            <w:r>
              <w:rPr>
                <w:rFonts w:hint="eastAsia"/>
                <w:color w:val="auto"/>
                <w:sz w:val="24"/>
              </w:rPr>
              <w:t>本项目依托现有</w:t>
            </w:r>
            <w:r>
              <w:rPr>
                <w:rFonts w:hint="eastAsia"/>
                <w:color w:val="auto"/>
                <w:sz w:val="24"/>
                <w:lang w:val="en-US" w:eastAsia="zh-CN"/>
              </w:rPr>
              <w:t>试剂库、毒品库、易制爆库等，由于项目已建设，根据项目调查情况，现有试剂库、毒品库、易制爆库等可满足</w:t>
            </w:r>
            <w:r>
              <w:rPr>
                <w:rFonts w:hint="eastAsia"/>
                <w:color w:val="auto"/>
                <w:sz w:val="24"/>
              </w:rPr>
              <w:t>本次扩建项目</w:t>
            </w:r>
            <w:r>
              <w:rPr>
                <w:rFonts w:hint="eastAsia"/>
                <w:color w:val="auto"/>
                <w:sz w:val="24"/>
                <w:lang w:val="en-US" w:eastAsia="zh-CN"/>
              </w:rPr>
              <w:t>试验</w:t>
            </w:r>
            <w:r>
              <w:rPr>
                <w:rFonts w:hint="eastAsia"/>
                <w:color w:val="auto"/>
                <w:sz w:val="24"/>
              </w:rPr>
              <w:t>所需各类</w:t>
            </w:r>
            <w:r>
              <w:rPr>
                <w:rFonts w:hint="eastAsia"/>
                <w:color w:val="auto"/>
                <w:sz w:val="24"/>
                <w:lang w:val="en-US" w:eastAsia="zh-CN"/>
              </w:rPr>
              <w:t>原辅材料</w:t>
            </w:r>
            <w:r>
              <w:rPr>
                <w:rFonts w:hint="eastAsia"/>
                <w:color w:val="auto"/>
                <w:sz w:val="24"/>
              </w:rPr>
              <w:t>等</w:t>
            </w:r>
            <w:r>
              <w:rPr>
                <w:rFonts w:hint="eastAsia"/>
                <w:color w:val="auto"/>
                <w:sz w:val="24"/>
                <w:lang w:eastAsia="zh-CN"/>
              </w:rPr>
              <w:t>。</w:t>
            </w:r>
          </w:p>
          <w:p w14:paraId="4FB2C415">
            <w:pPr>
              <w:numPr>
                <w:ilvl w:val="0"/>
                <w:numId w:val="0"/>
              </w:numPr>
              <w:autoSpaceDE w:val="0"/>
              <w:autoSpaceDN w:val="0"/>
              <w:adjustRightInd w:val="0"/>
              <w:spacing w:line="360" w:lineRule="auto"/>
              <w:ind w:left="0" w:firstLine="482" w:firstLineChars="200"/>
              <w:jc w:val="left"/>
              <w:rPr>
                <w:rFonts w:hint="eastAsia"/>
                <w:color w:val="auto"/>
                <w:sz w:val="24"/>
                <w:lang w:val="en-US" w:eastAsia="zh-CN"/>
              </w:rPr>
            </w:pPr>
            <w:r>
              <w:rPr>
                <w:rFonts w:hint="eastAsia"/>
                <w:b/>
                <w:bCs/>
                <w:color w:val="auto"/>
                <w:sz w:val="24"/>
                <w:lang w:val="en-US" w:eastAsia="zh-CN"/>
              </w:rPr>
              <w:t>（5）危废贮存库</w:t>
            </w:r>
          </w:p>
          <w:p w14:paraId="0653F39A">
            <w:pPr>
              <w:numPr>
                <w:ilvl w:val="-1"/>
                <w:numId w:val="0"/>
              </w:numPr>
              <w:autoSpaceDE w:val="0"/>
              <w:autoSpaceDN w:val="0"/>
              <w:adjustRightInd w:val="0"/>
              <w:spacing w:line="360" w:lineRule="auto"/>
              <w:ind w:left="0" w:firstLine="480" w:firstLineChars="200"/>
              <w:jc w:val="left"/>
              <w:rPr>
                <w:rFonts w:hint="eastAsia"/>
                <w:color w:val="auto"/>
                <w:sz w:val="24"/>
              </w:rPr>
            </w:pPr>
            <w:r>
              <w:rPr>
                <w:rFonts w:hint="eastAsia"/>
                <w:color w:val="auto"/>
                <w:sz w:val="24"/>
                <w:lang w:val="en-US" w:eastAsia="zh-CN"/>
              </w:rPr>
              <w:t>本项目依托现有危废贮存库暂存实验过程产生的危险废物 ，占地面积33.12m</w:t>
            </w:r>
            <w:r>
              <w:rPr>
                <w:rFonts w:hint="eastAsia"/>
                <w:color w:val="auto"/>
                <w:sz w:val="24"/>
                <w:vertAlign w:val="superscript"/>
                <w:lang w:val="en-US" w:eastAsia="zh-CN"/>
              </w:rPr>
              <w:t>2</w:t>
            </w:r>
            <w:r>
              <w:rPr>
                <w:rFonts w:hint="eastAsia"/>
                <w:color w:val="auto"/>
                <w:sz w:val="24"/>
                <w:vertAlign w:val="baseline"/>
                <w:lang w:val="en-US" w:eastAsia="zh-CN"/>
              </w:rPr>
              <w:t>，主要有实验废液、废试剂、废活性炭等，</w:t>
            </w:r>
            <w:r>
              <w:rPr>
                <w:rFonts w:hint="eastAsia"/>
                <w:color w:val="auto"/>
                <w:sz w:val="24"/>
              </w:rPr>
              <w:t>本项目现有危废暂存量约为</w:t>
            </w:r>
            <w:r>
              <w:rPr>
                <w:rFonts w:hint="eastAsia"/>
                <w:color w:val="auto"/>
                <w:sz w:val="24"/>
                <w:lang w:val="en-US" w:eastAsia="zh-CN"/>
              </w:rPr>
              <w:t>36.35t</w:t>
            </w:r>
            <w:r>
              <w:rPr>
                <w:rFonts w:hint="eastAsia"/>
                <w:color w:val="auto"/>
                <w:sz w:val="24"/>
              </w:rPr>
              <w:t>/a，</w:t>
            </w:r>
            <w:r>
              <w:rPr>
                <w:rFonts w:hint="eastAsia"/>
                <w:color w:val="auto"/>
                <w:sz w:val="24"/>
                <w:lang w:val="en-US" w:eastAsia="zh-CN"/>
              </w:rPr>
              <w:t>转运</w:t>
            </w:r>
            <w:r>
              <w:rPr>
                <w:rFonts w:hint="eastAsia"/>
                <w:color w:val="auto"/>
                <w:sz w:val="24"/>
              </w:rPr>
              <w:t>本次</w:t>
            </w:r>
            <w:r>
              <w:rPr>
                <w:rFonts w:hint="eastAsia"/>
                <w:color w:val="auto"/>
                <w:sz w:val="24"/>
                <w:lang w:val="en-US" w:eastAsia="zh-CN"/>
              </w:rPr>
              <w:t>改</w:t>
            </w:r>
            <w:r>
              <w:rPr>
                <w:rFonts w:hint="eastAsia"/>
                <w:color w:val="auto"/>
                <w:sz w:val="24"/>
              </w:rPr>
              <w:t>扩建项目危险废物新增量</w:t>
            </w:r>
            <w:r>
              <w:rPr>
                <w:rFonts w:hint="eastAsia"/>
                <w:color w:val="auto"/>
                <w:sz w:val="24"/>
                <w:lang w:val="en-US" w:eastAsia="zh-CN"/>
              </w:rPr>
              <w:t>约</w:t>
            </w:r>
            <w:r>
              <w:rPr>
                <w:rFonts w:hint="eastAsia"/>
                <w:color w:val="auto"/>
                <w:sz w:val="24"/>
              </w:rPr>
              <w:t>为</w:t>
            </w:r>
            <w:r>
              <w:rPr>
                <w:rFonts w:hint="eastAsia"/>
                <w:color w:val="auto"/>
                <w:sz w:val="24"/>
                <w:lang w:val="en-US" w:eastAsia="zh-CN"/>
              </w:rPr>
              <w:t>37.14t</w:t>
            </w:r>
            <w:r>
              <w:rPr>
                <w:rFonts w:hint="eastAsia"/>
                <w:color w:val="auto"/>
                <w:sz w:val="24"/>
              </w:rPr>
              <w:t>/a，</w:t>
            </w:r>
            <w:r>
              <w:rPr>
                <w:rFonts w:hint="eastAsia"/>
                <w:color w:val="auto"/>
                <w:sz w:val="24"/>
                <w:lang w:val="en-US" w:eastAsia="zh-CN"/>
              </w:rPr>
              <w:t>现有危废贮存库最大贮存量为20t，因此</w:t>
            </w:r>
            <w:r>
              <w:rPr>
                <w:rFonts w:hint="eastAsia"/>
                <w:color w:val="auto"/>
                <w:sz w:val="24"/>
              </w:rPr>
              <w:t>扩建项目建成后，</w:t>
            </w:r>
            <w:r>
              <w:rPr>
                <w:rFonts w:hint="eastAsia"/>
                <w:color w:val="auto"/>
                <w:sz w:val="24"/>
                <w:lang w:val="en-US" w:eastAsia="zh-CN"/>
              </w:rPr>
              <w:t>建议</w:t>
            </w:r>
            <w:r>
              <w:rPr>
                <w:rFonts w:hint="eastAsia"/>
                <w:color w:val="auto"/>
                <w:sz w:val="24"/>
              </w:rPr>
              <w:t>增加危险废物转运次数至一年</w:t>
            </w:r>
            <w:r>
              <w:rPr>
                <w:rFonts w:hint="eastAsia"/>
                <w:color w:val="auto"/>
                <w:sz w:val="24"/>
                <w:lang w:val="en-US" w:eastAsia="zh-CN"/>
              </w:rPr>
              <w:t>至少3</w:t>
            </w:r>
            <w:r>
              <w:rPr>
                <w:rFonts w:hint="eastAsia"/>
                <w:color w:val="auto"/>
                <w:sz w:val="24"/>
              </w:rPr>
              <w:t>次，现有</w:t>
            </w:r>
            <w:r>
              <w:rPr>
                <w:rFonts w:hint="eastAsia"/>
                <w:color w:val="auto"/>
                <w:sz w:val="24"/>
                <w:lang w:eastAsia="zh-CN"/>
              </w:rPr>
              <w:t>危废贮存库</w:t>
            </w:r>
            <w:r>
              <w:rPr>
                <w:rFonts w:hint="eastAsia"/>
                <w:color w:val="auto"/>
                <w:sz w:val="24"/>
              </w:rPr>
              <w:t>能满足扩建项目依托需求。</w:t>
            </w:r>
          </w:p>
          <w:p w14:paraId="0A10DF25">
            <w:pPr>
              <w:numPr>
                <w:ilvl w:val="0"/>
                <w:numId w:val="0"/>
              </w:numPr>
              <w:spacing w:line="360" w:lineRule="auto"/>
              <w:ind w:leftChars="200"/>
              <w:rPr>
                <w:rFonts w:hint="eastAsia"/>
                <w:b/>
                <w:bCs/>
                <w:color w:val="auto"/>
                <w:sz w:val="24"/>
                <w:lang w:val="en-US" w:eastAsia="zh-CN"/>
              </w:rPr>
            </w:pPr>
            <w:r>
              <w:rPr>
                <w:rFonts w:hint="eastAsia"/>
                <w:b/>
                <w:bCs/>
                <w:color w:val="auto"/>
                <w:sz w:val="24"/>
                <w:lang w:eastAsia="zh-CN"/>
              </w:rPr>
              <w:t>（</w:t>
            </w:r>
            <w:r>
              <w:rPr>
                <w:rFonts w:hint="eastAsia"/>
                <w:b/>
                <w:bCs/>
                <w:color w:val="auto"/>
                <w:sz w:val="24"/>
                <w:lang w:val="en-US" w:eastAsia="zh-CN"/>
              </w:rPr>
              <w:t>6</w:t>
            </w:r>
            <w:r>
              <w:rPr>
                <w:rFonts w:hint="eastAsia"/>
                <w:b/>
                <w:bCs/>
                <w:color w:val="auto"/>
                <w:sz w:val="24"/>
                <w:lang w:eastAsia="zh-CN"/>
              </w:rPr>
              <w:t>）</w:t>
            </w:r>
            <w:r>
              <w:rPr>
                <w:rFonts w:hint="eastAsia"/>
                <w:b/>
                <w:bCs/>
                <w:color w:val="auto"/>
                <w:sz w:val="24"/>
                <w:lang w:val="en-US" w:eastAsia="zh-CN"/>
              </w:rPr>
              <w:t>办公区</w:t>
            </w:r>
          </w:p>
          <w:p w14:paraId="62C6C04B">
            <w:pPr>
              <w:numPr>
                <w:ilvl w:val="0"/>
                <w:numId w:val="0"/>
              </w:numPr>
              <w:spacing w:line="360" w:lineRule="auto"/>
              <w:ind w:firstLine="480" w:firstLineChars="200"/>
              <w:rPr>
                <w:rFonts w:hint="default" w:eastAsia="宋体"/>
                <w:color w:val="auto"/>
                <w:lang w:val="en-US" w:eastAsia="zh-CN"/>
              </w:rPr>
            </w:pPr>
            <w:r>
              <w:rPr>
                <w:rFonts w:hint="eastAsia"/>
                <w:color w:val="auto"/>
                <w:sz w:val="24"/>
              </w:rPr>
              <w:t>本</w:t>
            </w:r>
            <w:r>
              <w:rPr>
                <w:rFonts w:hint="eastAsia"/>
                <w:color w:val="auto"/>
                <w:sz w:val="24"/>
                <w:lang w:val="en-US" w:eastAsia="zh-CN"/>
              </w:rPr>
              <w:t>次扩建项</w:t>
            </w:r>
            <w:r>
              <w:rPr>
                <w:rFonts w:hint="eastAsia"/>
                <w:color w:val="auto"/>
                <w:sz w:val="24"/>
              </w:rPr>
              <w:t>目依托现有办公</w:t>
            </w:r>
            <w:r>
              <w:rPr>
                <w:rFonts w:hint="eastAsia"/>
                <w:color w:val="auto"/>
                <w:sz w:val="24"/>
                <w:lang w:val="en-US" w:eastAsia="zh-CN"/>
              </w:rPr>
              <w:t>区</w:t>
            </w:r>
            <w:r>
              <w:rPr>
                <w:rFonts w:hint="eastAsia"/>
                <w:color w:val="auto"/>
                <w:sz w:val="24"/>
              </w:rPr>
              <w:t>包括资料室、茶歇间、会议室、办公室</w:t>
            </w:r>
            <w:r>
              <w:rPr>
                <w:rFonts w:hint="eastAsia"/>
                <w:color w:val="auto"/>
                <w:sz w:val="24"/>
                <w:lang w:eastAsia="zh-CN"/>
              </w:rPr>
              <w:t>，</w:t>
            </w:r>
            <w:r>
              <w:rPr>
                <w:rFonts w:hint="eastAsia"/>
                <w:color w:val="auto"/>
                <w:sz w:val="24"/>
              </w:rPr>
              <w:t>主要用于员工的日常办公和会议招待。建筑面积235.47m</w:t>
            </w:r>
            <w:r>
              <w:rPr>
                <w:rFonts w:hint="eastAsia"/>
                <w:color w:val="auto"/>
                <w:sz w:val="24"/>
                <w:vertAlign w:val="superscript"/>
              </w:rPr>
              <w:t>2</w:t>
            </w:r>
            <w:r>
              <w:rPr>
                <w:rFonts w:hint="eastAsia"/>
                <w:color w:val="auto"/>
                <w:sz w:val="24"/>
              </w:rPr>
              <w:t>，</w:t>
            </w:r>
            <w:r>
              <w:rPr>
                <w:rFonts w:hint="eastAsia"/>
                <w:color w:val="auto"/>
                <w:sz w:val="24"/>
                <w:lang w:val="en-US" w:eastAsia="zh-CN"/>
              </w:rPr>
              <w:t>本次扩建不新增劳动人员，现有办公区能满足本次扩建项目所需。</w:t>
            </w:r>
          </w:p>
          <w:p w14:paraId="4A30726F">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0" w:firstLineChars="0"/>
              <w:jc w:val="left"/>
              <w:textAlignment w:val="auto"/>
              <w:rPr>
                <w:rFonts w:hint="eastAsia" w:ascii="Times New Roman" w:hAnsi="Times New Roman" w:eastAsia="宋体" w:cs="Times New Roman"/>
                <w:b/>
                <w:bCs/>
                <w:color w:val="auto"/>
                <w:sz w:val="24"/>
                <w:highlight w:val="none"/>
                <w:lang w:val="en-US" w:eastAsia="zh-CN"/>
              </w:rPr>
            </w:pPr>
            <w:r>
              <w:rPr>
                <w:rFonts w:hint="eastAsia" w:cs="Times New Roman"/>
                <w:b/>
                <w:bCs/>
                <w:color w:val="auto"/>
                <w:kern w:val="2"/>
                <w:sz w:val="24"/>
                <w:szCs w:val="24"/>
                <w:highlight w:val="none"/>
                <w:lang w:val="en-US" w:eastAsia="zh-CN" w:bidi="ar-SA"/>
              </w:rPr>
              <w:t>11</w:t>
            </w: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sz w:val="24"/>
                <w:highlight w:val="none"/>
                <w:lang w:val="en-US" w:eastAsia="zh-CN"/>
              </w:rPr>
              <w:t>平面布置</w:t>
            </w:r>
          </w:p>
          <w:p w14:paraId="30438969">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本次改造未改动原有布局，且在原有基础上大大改善了员工的工作环境，原有布局</w:t>
            </w:r>
            <w:r>
              <w:rPr>
                <w:rFonts w:hint="eastAsia" w:ascii="Times New Roman" w:hAnsi="Times New Roman" w:eastAsia="宋体" w:cs="Times New Roman"/>
                <w:b w:val="0"/>
                <w:bCs w:val="0"/>
                <w:color w:val="auto"/>
                <w:sz w:val="24"/>
                <w:highlight w:val="none"/>
                <w:lang w:val="en-US" w:eastAsia="zh-CN"/>
              </w:rPr>
              <w:t>根据“分布合理、工艺流畅、物流短截、突出环保”的原则，结合用地条件及生产工艺，综合考虑环保、消防、绿化、卫生、安全等要求，对实验室内各分区布置进行了统筹安排。</w:t>
            </w:r>
          </w:p>
          <w:p w14:paraId="730991B9">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default"/>
                <w:color w:val="auto"/>
                <w:highlight w:val="none"/>
              </w:rPr>
            </w:pPr>
            <w:r>
              <w:rPr>
                <w:rFonts w:hint="eastAsia" w:cs="Times New Roman"/>
                <w:b w:val="0"/>
                <w:bCs w:val="0"/>
                <w:color w:val="auto"/>
                <w:sz w:val="24"/>
                <w:highlight w:val="none"/>
                <w:lang w:val="en-US" w:eastAsia="zh-CN"/>
              </w:rPr>
              <w:t>原有场地</w:t>
            </w:r>
            <w:r>
              <w:rPr>
                <w:rFonts w:hint="eastAsia" w:ascii="Times New Roman" w:hAnsi="Times New Roman" w:eastAsia="宋体" w:cs="Times New Roman"/>
                <w:b w:val="0"/>
                <w:bCs w:val="0"/>
                <w:color w:val="auto"/>
                <w:sz w:val="24"/>
                <w:highlight w:val="none"/>
                <w:lang w:val="en-US" w:eastAsia="zh-CN"/>
              </w:rPr>
              <w:t>占地面积</w:t>
            </w:r>
            <w:r>
              <w:rPr>
                <w:rFonts w:hint="eastAsia" w:ascii="Times New Roman" w:hAnsi="Times New Roman" w:eastAsia="宋体" w:cs="Times New Roman"/>
                <w:b w:val="0"/>
                <w:bCs w:val="0"/>
                <w:color w:val="auto"/>
                <w:sz w:val="24"/>
                <w:szCs w:val="24"/>
                <w:highlight w:val="none"/>
                <w:lang w:val="en-US" w:eastAsia="zh-CN"/>
              </w:rPr>
              <w:t>1784</w:t>
            </w:r>
            <w:r>
              <w:rPr>
                <w:rFonts w:hint="eastAsia" w:ascii="Times New Roman" w:hAnsi="Times New Roman" w:eastAsia="宋体" w:cs="Times New Roman"/>
                <w:b w:val="0"/>
                <w:bCs w:val="0"/>
                <w:color w:val="auto"/>
                <w:sz w:val="24"/>
                <w:highlight w:val="none"/>
                <w:lang w:val="en-US" w:eastAsia="zh-CN"/>
              </w:rPr>
              <w:t>平方米，内部分区明确。实验研发设备布局按照实验过程进行布置，</w:t>
            </w:r>
            <w:r>
              <w:rPr>
                <w:rFonts w:hint="eastAsia" w:cs="Times New Roman"/>
                <w:b w:val="0"/>
                <w:bCs w:val="0"/>
                <w:color w:val="auto"/>
                <w:sz w:val="24"/>
                <w:highlight w:val="none"/>
                <w:lang w:val="en-US" w:eastAsia="zh-CN"/>
              </w:rPr>
              <w:t>实验</w:t>
            </w:r>
            <w:r>
              <w:rPr>
                <w:rFonts w:hint="eastAsia" w:ascii="Times New Roman" w:hAnsi="Times New Roman" w:eastAsia="宋体" w:cs="Times New Roman"/>
                <w:b w:val="0"/>
                <w:bCs w:val="0"/>
                <w:color w:val="auto"/>
                <w:sz w:val="24"/>
                <w:highlight w:val="none"/>
                <w:lang w:val="en-US" w:eastAsia="zh-CN"/>
              </w:rPr>
              <w:t>室位于西</w:t>
            </w:r>
            <w:r>
              <w:rPr>
                <w:rFonts w:hint="eastAsia" w:cs="Times New Roman"/>
                <w:b w:val="0"/>
                <w:bCs w:val="0"/>
                <w:color w:val="auto"/>
                <w:sz w:val="24"/>
                <w:highlight w:val="none"/>
                <w:lang w:val="en-US" w:eastAsia="zh-CN"/>
              </w:rPr>
              <w:t>区</w:t>
            </w:r>
            <w:r>
              <w:rPr>
                <w:rFonts w:hint="eastAsia" w:ascii="Times New Roman" w:hAnsi="Times New Roman" w:eastAsia="宋体" w:cs="Times New Roman"/>
                <w:b w:val="0"/>
                <w:bCs w:val="0"/>
                <w:color w:val="auto"/>
                <w:sz w:val="24"/>
                <w:highlight w:val="none"/>
                <w:lang w:val="en-US" w:eastAsia="zh-CN"/>
              </w:rPr>
              <w:t>，从北至南依次为</w:t>
            </w:r>
            <w:r>
              <w:rPr>
                <w:rFonts w:hint="eastAsia" w:cs="Times New Roman"/>
                <w:b w:val="0"/>
                <w:bCs w:val="0"/>
                <w:color w:val="auto"/>
                <w:sz w:val="24"/>
                <w:highlight w:val="none"/>
                <w:lang w:val="en-US" w:eastAsia="zh-CN"/>
              </w:rPr>
              <w:t>小试实验</w:t>
            </w:r>
            <w:r>
              <w:rPr>
                <w:rFonts w:hint="eastAsia" w:ascii="Times New Roman" w:hAnsi="Times New Roman" w:eastAsia="宋体" w:cs="Times New Roman"/>
                <w:b w:val="0"/>
                <w:bCs w:val="0"/>
                <w:color w:val="auto"/>
                <w:sz w:val="24"/>
                <w:highlight w:val="none"/>
                <w:lang w:val="en-US" w:eastAsia="zh-CN"/>
              </w:rPr>
              <w:t>室、实验区休息室办公室、探试实验室；分析测试室和生活办公区位于东</w:t>
            </w:r>
            <w:r>
              <w:rPr>
                <w:rFonts w:hint="eastAsia" w:cs="Times New Roman"/>
                <w:b w:val="0"/>
                <w:bCs w:val="0"/>
                <w:color w:val="auto"/>
                <w:sz w:val="24"/>
                <w:highlight w:val="none"/>
                <w:lang w:val="en-US" w:eastAsia="zh-CN"/>
              </w:rPr>
              <w:t>区</w:t>
            </w:r>
            <w:r>
              <w:rPr>
                <w:rFonts w:hint="eastAsia" w:ascii="Times New Roman" w:hAnsi="Times New Roman" w:eastAsia="宋体" w:cs="Times New Roman"/>
                <w:b w:val="0"/>
                <w:bCs w:val="0"/>
                <w:color w:val="auto"/>
                <w:sz w:val="24"/>
                <w:highlight w:val="none"/>
                <w:lang w:val="en-US" w:eastAsia="zh-CN"/>
              </w:rPr>
              <w:t>，从北至南依次为分析测试室、会议室资料室、办公室以及储藏室；危废</w:t>
            </w:r>
            <w:r>
              <w:rPr>
                <w:rFonts w:hint="eastAsia" w:cs="Times New Roman"/>
                <w:b w:val="0"/>
                <w:bCs w:val="0"/>
                <w:color w:val="auto"/>
                <w:sz w:val="24"/>
                <w:highlight w:val="none"/>
                <w:lang w:val="en-US" w:eastAsia="zh-CN"/>
              </w:rPr>
              <w:t>贮存库</w:t>
            </w:r>
            <w:r>
              <w:rPr>
                <w:rFonts w:hint="eastAsia" w:ascii="Times New Roman" w:hAnsi="Times New Roman" w:eastAsia="宋体" w:cs="Times New Roman"/>
                <w:b w:val="0"/>
                <w:bCs w:val="0"/>
                <w:color w:val="auto"/>
                <w:sz w:val="24"/>
                <w:highlight w:val="none"/>
                <w:lang w:val="en-US" w:eastAsia="zh-CN"/>
              </w:rPr>
              <w:t>位于</w:t>
            </w:r>
            <w:r>
              <w:rPr>
                <w:rFonts w:hint="eastAsia" w:cs="Times New Roman"/>
                <w:b w:val="0"/>
                <w:bCs w:val="0"/>
                <w:color w:val="auto"/>
                <w:sz w:val="24"/>
                <w:highlight w:val="none"/>
                <w:lang w:val="en-US" w:eastAsia="zh-CN"/>
              </w:rPr>
              <w:t>西区和东区之间</w:t>
            </w:r>
            <w:r>
              <w:rPr>
                <w:rFonts w:hint="eastAsia" w:ascii="Times New Roman" w:hAnsi="Times New Roman" w:eastAsia="宋体" w:cs="Times New Roman"/>
                <w:b w:val="0"/>
                <w:bCs w:val="0"/>
                <w:color w:val="auto"/>
                <w:sz w:val="24"/>
                <w:highlight w:val="none"/>
                <w:lang w:val="en-US" w:eastAsia="zh-CN"/>
              </w:rPr>
              <w:t>；污水</w:t>
            </w:r>
            <w:r>
              <w:rPr>
                <w:rFonts w:hint="eastAsia" w:cs="Times New Roman"/>
                <w:b w:val="0"/>
                <w:bCs w:val="0"/>
                <w:color w:val="auto"/>
                <w:sz w:val="24"/>
                <w:highlight w:val="none"/>
                <w:lang w:val="en-US" w:eastAsia="zh-CN"/>
              </w:rPr>
              <w:t>处理设施</w:t>
            </w:r>
            <w:r>
              <w:rPr>
                <w:rFonts w:hint="eastAsia" w:ascii="Times New Roman" w:hAnsi="Times New Roman" w:eastAsia="宋体" w:cs="Times New Roman"/>
                <w:b w:val="0"/>
                <w:bCs w:val="0"/>
                <w:color w:val="auto"/>
                <w:sz w:val="24"/>
                <w:highlight w:val="none"/>
                <w:lang w:val="en-US" w:eastAsia="zh-CN"/>
              </w:rPr>
              <w:t>位于西</w:t>
            </w:r>
            <w:r>
              <w:rPr>
                <w:rFonts w:hint="eastAsia" w:cs="Times New Roman"/>
                <w:b w:val="0"/>
                <w:bCs w:val="0"/>
                <w:color w:val="auto"/>
                <w:sz w:val="24"/>
                <w:highlight w:val="none"/>
                <w:lang w:val="en-US" w:eastAsia="zh-CN"/>
              </w:rPr>
              <w:t>区</w:t>
            </w:r>
            <w:r>
              <w:rPr>
                <w:rFonts w:hint="eastAsia" w:ascii="Times New Roman" w:hAnsi="Times New Roman" w:eastAsia="宋体" w:cs="Times New Roman"/>
                <w:b w:val="0"/>
                <w:bCs w:val="0"/>
                <w:color w:val="auto"/>
                <w:sz w:val="24"/>
                <w:highlight w:val="none"/>
                <w:lang w:val="en-US" w:eastAsia="zh-CN"/>
              </w:rPr>
              <w:t>东南侧；项目办公区和实验室分开。此布局有利于保护周围环境，项目功能区分明</w:t>
            </w:r>
            <w:r>
              <w:rPr>
                <w:rFonts w:hint="eastAsia" w:cs="Times New Roman"/>
                <w:b w:val="0"/>
                <w:bCs w:val="0"/>
                <w:color w:val="auto"/>
                <w:sz w:val="24"/>
                <w:highlight w:val="none"/>
                <w:lang w:val="en-US" w:eastAsia="zh-CN"/>
              </w:rPr>
              <w:t>，</w:t>
            </w:r>
            <w:r>
              <w:rPr>
                <w:rFonts w:hint="eastAsia" w:ascii="Times New Roman" w:hAnsi="Times New Roman" w:eastAsia="宋体" w:cs="Times New Roman"/>
                <w:b w:val="0"/>
                <w:bCs w:val="0"/>
                <w:color w:val="auto"/>
                <w:sz w:val="24"/>
                <w:highlight w:val="none"/>
                <w:lang w:val="en-US" w:eastAsia="zh-CN"/>
              </w:rPr>
              <w:t>平面布置合理，平面布置图见附图4。</w:t>
            </w:r>
          </w:p>
        </w:tc>
      </w:tr>
      <w:tr w14:paraId="5D828A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455" w:hRule="atLeast"/>
          <w:jc w:val="center"/>
        </w:trPr>
        <w:tc>
          <w:tcPr>
            <w:tcW w:w="713" w:type="dxa"/>
            <w:noWrap w:val="0"/>
            <w:vAlign w:val="center"/>
          </w:tcPr>
          <w:p w14:paraId="529B8778">
            <w:pPr>
              <w:pStyle w:val="26"/>
              <w:adjustRightInd w:val="0"/>
              <w:snapToGrid w:val="0"/>
              <w:spacing w:before="0" w:beforeAutospacing="0" w:after="0" w:afterAutospacing="0"/>
              <w:jc w:val="center"/>
              <w:rPr>
                <w:rFonts w:hint="default" w:ascii="Times New Roman" w:hAnsi="Times New Roman" w:cs="Times New Roman"/>
                <w:color w:val="auto"/>
                <w:szCs w:val="24"/>
                <w:highlight w:val="none"/>
                <w:lang w:val="en-US" w:eastAsia="zh-CN"/>
              </w:rPr>
            </w:pPr>
          </w:p>
        </w:tc>
        <w:tc>
          <w:tcPr>
            <w:tcW w:w="8137" w:type="dxa"/>
            <w:noWrap w:val="0"/>
            <w:vAlign w:val="top"/>
          </w:tcPr>
          <w:p w14:paraId="1801AA96">
            <w:pPr>
              <w:numPr>
                <w:ilvl w:val="0"/>
                <w:numId w:val="0"/>
              </w:numPr>
              <w:bidi w:val="0"/>
              <w:spacing w:line="360" w:lineRule="auto"/>
              <w:rPr>
                <w:rFonts w:hint="default" w:ascii="Times New Roman" w:hAnsi="Times New Roman" w:eastAsia="宋体" w:cs="Times New Roman"/>
                <w:b/>
                <w:bCs/>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val="en-US" w:eastAsia="zh-CN"/>
              </w:rPr>
              <w:t>1、施工期工艺流程</w:t>
            </w:r>
          </w:p>
          <w:p w14:paraId="4ACCCF70">
            <w:pPr>
              <w:numPr>
                <w:ilvl w:val="0"/>
                <w:numId w:val="0"/>
              </w:numPr>
              <w:bidi w:val="0"/>
              <w:spacing w:line="360" w:lineRule="auto"/>
              <w:ind w:firstLine="480" w:firstLineChars="200"/>
              <w:rPr>
                <w:rFonts w:hint="default"/>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本项目</w:t>
            </w:r>
            <w:r>
              <w:rPr>
                <w:rFonts w:hint="eastAsia" w:cs="Times New Roman"/>
                <w:color w:val="auto"/>
                <w:sz w:val="24"/>
                <w:szCs w:val="32"/>
                <w:highlight w:val="none"/>
                <w:lang w:val="en-US" w:eastAsia="zh-CN"/>
              </w:rPr>
              <w:t>依托现有的</w:t>
            </w:r>
            <w:r>
              <w:rPr>
                <w:rFonts w:hint="default" w:ascii="Times New Roman" w:hAnsi="Times New Roman" w:eastAsia="宋体" w:cs="Times New Roman"/>
                <w:color w:val="auto"/>
                <w:sz w:val="24"/>
                <w:szCs w:val="32"/>
                <w:highlight w:val="none"/>
                <w:lang w:val="en-US" w:eastAsia="zh-CN"/>
              </w:rPr>
              <w:t>主体工程、辅助工程、储运工程、公用工程中排水系统和环保工程</w:t>
            </w:r>
            <w:r>
              <w:rPr>
                <w:rFonts w:hint="eastAsia" w:cs="Times New Roman"/>
                <w:color w:val="auto"/>
                <w:sz w:val="24"/>
                <w:szCs w:val="32"/>
                <w:highlight w:val="none"/>
                <w:lang w:val="en-US" w:eastAsia="zh-CN"/>
              </w:rPr>
              <w:t>等</w:t>
            </w:r>
            <w:r>
              <w:rPr>
                <w:rFonts w:hint="default" w:ascii="Times New Roman" w:hAnsi="Times New Roman" w:eastAsia="宋体" w:cs="Times New Roman"/>
                <w:color w:val="auto"/>
                <w:sz w:val="24"/>
                <w:szCs w:val="32"/>
                <w:highlight w:val="none"/>
                <w:lang w:val="en-US" w:eastAsia="zh-CN"/>
              </w:rPr>
              <w:t>均已建成并</w:t>
            </w:r>
            <w:r>
              <w:rPr>
                <w:rFonts w:hint="eastAsia" w:cs="Times New Roman"/>
                <w:color w:val="auto"/>
                <w:sz w:val="24"/>
                <w:szCs w:val="32"/>
                <w:highlight w:val="none"/>
                <w:lang w:val="en-US" w:eastAsia="zh-CN"/>
              </w:rPr>
              <w:t>经竣工环保验收后正常</w:t>
            </w:r>
            <w:r>
              <w:rPr>
                <w:rFonts w:hint="default" w:ascii="Times New Roman" w:hAnsi="Times New Roman" w:eastAsia="宋体" w:cs="Times New Roman"/>
                <w:color w:val="auto"/>
                <w:sz w:val="24"/>
                <w:szCs w:val="32"/>
                <w:highlight w:val="none"/>
                <w:lang w:val="en-US" w:eastAsia="zh-CN"/>
              </w:rPr>
              <w:t>运行。</w:t>
            </w:r>
            <w:r>
              <w:rPr>
                <w:rFonts w:hint="eastAsia"/>
                <w:color w:val="auto"/>
                <w:sz w:val="24"/>
                <w:szCs w:val="32"/>
                <w:highlight w:val="none"/>
                <w:lang w:val="en-US" w:eastAsia="zh-CN"/>
              </w:rPr>
              <w:t>本次扩建不涉及土建、安装、装修等施工，且本次扩建已完成。施工期及相应污染已结束，故本次环评不再对施工期产物环节进行分析。</w:t>
            </w:r>
          </w:p>
          <w:p w14:paraId="235B4D5F">
            <w:pPr>
              <w:numPr>
                <w:ilvl w:val="0"/>
                <w:numId w:val="0"/>
              </w:numPr>
              <w:bidi w:val="0"/>
              <w:spacing w:line="360" w:lineRule="auto"/>
              <w:rPr>
                <w:rFonts w:hint="default" w:ascii="Times New Roman" w:hAnsi="Times New Roman" w:eastAsia="宋体" w:cs="Times New Roman"/>
                <w:b/>
                <w:bCs/>
                <w:color w:val="auto"/>
                <w:sz w:val="24"/>
                <w:szCs w:val="32"/>
                <w:highlight w:val="none"/>
                <w:lang w:val="en-US" w:eastAsia="zh-CN"/>
              </w:rPr>
            </w:pPr>
            <w:r>
              <w:rPr>
                <w:rFonts w:hint="eastAsia" w:ascii="Times New Roman" w:hAnsi="Times New Roman" w:eastAsia="宋体" w:cs="Times New Roman"/>
                <w:b/>
                <w:bCs/>
                <w:color w:val="auto"/>
                <w:sz w:val="24"/>
                <w:szCs w:val="32"/>
                <w:highlight w:val="none"/>
                <w:lang w:val="en-US" w:eastAsia="zh-CN"/>
              </w:rPr>
              <w:t>2、</w:t>
            </w:r>
            <w:r>
              <w:rPr>
                <w:rFonts w:hint="default" w:ascii="Times New Roman" w:hAnsi="Times New Roman" w:eastAsia="宋体" w:cs="Times New Roman"/>
                <w:b/>
                <w:bCs/>
                <w:color w:val="auto"/>
                <w:sz w:val="24"/>
                <w:szCs w:val="32"/>
                <w:highlight w:val="none"/>
                <w:lang w:val="en-US" w:eastAsia="zh-CN"/>
              </w:rPr>
              <w:t>营运期工艺流程</w:t>
            </w:r>
          </w:p>
          <w:p w14:paraId="54FE47E3">
            <w:pPr>
              <w:numPr>
                <w:ilvl w:val="0"/>
                <w:numId w:val="0"/>
              </w:numPr>
              <w:bidi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eastAsia" w:cs="Times New Roman"/>
                <w:color w:val="auto"/>
                <w:sz w:val="24"/>
                <w:szCs w:val="32"/>
                <w:highlight w:val="none"/>
                <w:lang w:val="en-US" w:eastAsia="zh-CN"/>
              </w:rPr>
              <w:t>本项目运营过程中，主要产污环节在探试实验室、小试实验室、分析测试室。探试实验室与小试实验室进行有机物合成工艺路线相似。探试实验室按客户要求，设计不同的配比进行试验得目标</w:t>
            </w:r>
            <w:r>
              <w:rPr>
                <w:rFonts w:hint="eastAsia" w:cs="Times New Roman"/>
                <w:b w:val="0"/>
                <w:bCs w:val="0"/>
                <w:color w:val="auto"/>
                <w:kern w:val="2"/>
                <w:sz w:val="24"/>
                <w:szCs w:val="24"/>
                <w:highlight w:val="none"/>
                <w:lang w:val="en-US" w:eastAsia="zh-CN" w:bidi="ar-SA"/>
              </w:rPr>
              <w:t>药物活性分子化合物。</w:t>
            </w:r>
            <w:r>
              <w:rPr>
                <w:rFonts w:hint="eastAsia" w:cs="Times New Roman"/>
                <w:color w:val="auto"/>
                <w:sz w:val="24"/>
                <w:szCs w:val="32"/>
                <w:highlight w:val="none"/>
                <w:lang w:val="en-US" w:eastAsia="zh-CN"/>
              </w:rPr>
              <w:t>小试实验是在探试实验的基础数据，按目标配比，按倍数放大原辅材料用量，进行试验得到</w:t>
            </w:r>
            <w:r>
              <w:rPr>
                <w:rFonts w:hint="eastAsia" w:ascii="Times New Roman" w:hAnsi="Times New Roman" w:eastAsia="宋体" w:cs="Times New Roman"/>
                <w:b w:val="0"/>
                <w:bCs w:val="0"/>
                <w:color w:val="auto"/>
                <w:sz w:val="24"/>
                <w:highlight w:val="none"/>
                <w:lang w:val="en-US" w:eastAsia="zh-CN"/>
              </w:rPr>
              <w:t>医药小分子及中间体。得到药物活性分子化合物和医药小分子及中间体分别进行分析测试</w:t>
            </w:r>
            <w:r>
              <w:rPr>
                <w:rFonts w:hint="eastAsia" w:cs="Times New Roman"/>
                <w:b w:val="0"/>
                <w:bCs w:val="0"/>
                <w:color w:val="auto"/>
                <w:sz w:val="24"/>
                <w:highlight w:val="none"/>
                <w:lang w:val="en-US" w:eastAsia="zh-CN"/>
              </w:rPr>
              <w:t>，按照客户要求纯度和含量等标准筛选合格药品</w:t>
            </w:r>
            <w:r>
              <w:rPr>
                <w:rFonts w:hint="eastAsia" w:ascii="Times New Roman" w:hAnsi="Times New Roman" w:eastAsia="宋体" w:cs="Times New Roman"/>
                <w:b w:val="0"/>
                <w:bCs w:val="0"/>
                <w:color w:val="auto"/>
                <w:sz w:val="24"/>
                <w:highlight w:val="none"/>
                <w:lang w:val="en-US" w:eastAsia="zh-CN"/>
              </w:rPr>
              <w:t>。因此项目运营期的不同实验室的产污环节和主要污染物基本</w:t>
            </w:r>
            <w:r>
              <w:rPr>
                <w:rFonts w:hint="eastAsia" w:cs="Times New Roman"/>
                <w:b w:val="0"/>
                <w:bCs w:val="0"/>
                <w:color w:val="auto"/>
                <w:sz w:val="24"/>
                <w:highlight w:val="none"/>
                <w:lang w:val="en-US" w:eastAsia="zh-CN"/>
              </w:rPr>
              <w:t>相似</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color w:val="auto"/>
                <w:sz w:val="24"/>
                <w:szCs w:val="32"/>
                <w:highlight w:val="none"/>
                <w:lang w:val="en-US" w:eastAsia="zh-CN"/>
              </w:rPr>
              <w:t>举以下有代表性的化学合成路线，对实验涉及的全部流程操作内容、产污环节进行介绍。项目运营期工艺流程见图2-</w:t>
            </w:r>
            <w:r>
              <w:rPr>
                <w:rFonts w:hint="eastAsia" w:cs="Times New Roman"/>
                <w:color w:val="auto"/>
                <w:sz w:val="24"/>
                <w:szCs w:val="32"/>
                <w:highlight w:val="none"/>
                <w:lang w:val="en-US" w:eastAsia="zh-CN"/>
              </w:rPr>
              <w:t>4与图2-5</w:t>
            </w:r>
            <w:r>
              <w:rPr>
                <w:rFonts w:hint="default" w:ascii="Times New Roman" w:hAnsi="Times New Roman" w:eastAsia="宋体" w:cs="Times New Roman"/>
                <w:color w:val="auto"/>
                <w:sz w:val="24"/>
                <w:szCs w:val="32"/>
                <w:highlight w:val="none"/>
                <w:lang w:val="en-US" w:eastAsia="zh-CN"/>
              </w:rPr>
              <w:t>。</w:t>
            </w:r>
          </w:p>
          <w:p w14:paraId="7A78556B">
            <w:pPr>
              <w:numPr>
                <w:ilvl w:val="0"/>
                <w:numId w:val="0"/>
              </w:numPr>
              <w:bidi w:val="0"/>
              <w:spacing w:line="360" w:lineRule="auto"/>
              <w:ind w:firstLine="482" w:firstLineChars="200"/>
              <w:rPr>
                <w:rFonts w:hint="default" w:ascii="Times New Roman" w:hAnsi="Times New Roman" w:eastAsia="宋体" w:cs="Times New Roman"/>
                <w:b/>
                <w:bCs/>
                <w:color w:val="auto"/>
                <w:sz w:val="24"/>
                <w:szCs w:val="32"/>
                <w:highlight w:val="none"/>
                <w:lang w:val="en-US" w:eastAsia="zh-CN"/>
              </w:rPr>
            </w:pPr>
            <w:r>
              <w:rPr>
                <w:rFonts w:hint="eastAsia" w:cs="Times New Roman"/>
                <w:b/>
                <w:bCs/>
                <w:color w:val="auto"/>
                <w:sz w:val="24"/>
                <w:szCs w:val="32"/>
                <w:highlight w:val="none"/>
                <w:lang w:val="en-US" w:eastAsia="zh-CN"/>
              </w:rPr>
              <w:t>（1）合成工艺流程</w:t>
            </w:r>
          </w:p>
          <w:p w14:paraId="673DD8A5">
            <w:pPr>
              <w:numPr>
                <w:ilvl w:val="0"/>
                <w:numId w:val="0"/>
              </w:numPr>
              <w:bidi w:val="0"/>
              <w:spacing w:line="360" w:lineRule="auto"/>
              <w:ind w:firstLine="420" w:firstLineChars="200"/>
              <w:jc w:val="center"/>
              <w:rPr>
                <w:rFonts w:hint="eastAsia" w:ascii="Times New Roman" w:hAnsi="Times New Roman" w:eastAsia="宋体" w:cs="Times New Roman"/>
                <w:color w:val="auto"/>
                <w:kern w:val="2"/>
                <w:szCs w:val="32"/>
                <w:highlight w:val="none"/>
                <w:lang w:val="en-US" w:eastAsia="zh-CN" w:bidi="ar-SA"/>
              </w:rPr>
            </w:pPr>
            <w:r>
              <w:rPr>
                <w:rFonts w:hint="eastAsia" w:ascii="Times New Roman" w:hAnsi="Times New Roman" w:cs="Times New Roman"/>
                <w:b w:val="0"/>
                <w:bCs w:val="0"/>
                <w:color w:val="auto"/>
                <w:szCs w:val="24"/>
                <w:highlight w:val="none"/>
                <w:lang w:val="en-US" w:eastAsia="zh-CN"/>
              </w:rPr>
              <w:object>
                <v:shape id="_x0000_i1028" o:spt="75" type="#_x0000_t75" style="height:311.1pt;width:382.6pt;" o:ole="t" filled="f" o:preferrelative="t" stroked="f" coordsize="21600,21600">
                  <v:path/>
                  <v:fill on="f" focussize="0,0"/>
                  <v:stroke on="f"/>
                  <v:imagedata r:id="rId17" cropleft="974f" croptop="3318f" cropbottom="3457f" o:title=""/>
                  <o:lock v:ext="edit" aspectratio="f"/>
                  <w10:wrap type="none"/>
                  <w10:anchorlock/>
                </v:shape>
                <o:OLEObject Type="Embed" ProgID="Visio.Drawing.15" ShapeID="_x0000_i1028" DrawAspect="Content" ObjectID="_1468075728" r:id="rId16">
                  <o:LockedField>false</o:LockedField>
                </o:OLEObject>
              </w:object>
            </w:r>
            <w:r>
              <w:rPr>
                <w:rFonts w:hint="default" w:ascii="Times New Roman" w:hAnsi="Times New Roman" w:eastAsia="宋体" w:cs="Times New Roman"/>
                <w:b/>
                <w:bCs/>
                <w:color w:val="auto"/>
                <w:sz w:val="24"/>
                <w:szCs w:val="32"/>
                <w:highlight w:val="none"/>
                <w:lang w:val="en-US" w:eastAsia="zh-CN"/>
              </w:rPr>
              <w:t>图2-</w:t>
            </w:r>
            <w:r>
              <w:rPr>
                <w:rFonts w:hint="eastAsia" w:cs="Times New Roman"/>
                <w:b/>
                <w:bCs/>
                <w:color w:val="auto"/>
                <w:sz w:val="24"/>
                <w:szCs w:val="32"/>
                <w:highlight w:val="none"/>
                <w:lang w:val="en-US" w:eastAsia="zh-CN"/>
              </w:rPr>
              <w:t>4</w:t>
            </w:r>
            <w:r>
              <w:rPr>
                <w:rFonts w:hint="default" w:ascii="Times New Roman" w:hAnsi="Times New Roman" w:eastAsia="宋体" w:cs="Times New Roman"/>
                <w:b/>
                <w:bCs/>
                <w:color w:val="auto"/>
                <w:sz w:val="24"/>
                <w:szCs w:val="32"/>
                <w:highlight w:val="none"/>
                <w:lang w:val="en-US" w:eastAsia="zh-CN"/>
              </w:rPr>
              <w:t xml:space="preserve"> </w:t>
            </w:r>
            <w:r>
              <w:rPr>
                <w:rFonts w:hint="eastAsia" w:cs="Times New Roman"/>
                <w:b/>
                <w:bCs/>
                <w:color w:val="auto"/>
                <w:sz w:val="24"/>
                <w:szCs w:val="32"/>
                <w:highlight w:val="none"/>
                <w:lang w:val="en-US" w:eastAsia="zh-CN"/>
              </w:rPr>
              <w:t>项目合成工艺</w:t>
            </w:r>
            <w:r>
              <w:rPr>
                <w:rFonts w:hint="default" w:ascii="Times New Roman" w:hAnsi="Times New Roman" w:eastAsia="宋体" w:cs="Times New Roman"/>
                <w:b/>
                <w:bCs/>
                <w:color w:val="auto"/>
                <w:sz w:val="24"/>
                <w:szCs w:val="32"/>
                <w:highlight w:val="none"/>
                <w:lang w:val="en-US" w:eastAsia="zh-CN"/>
              </w:rPr>
              <w:t>过程及产污环节图</w:t>
            </w:r>
          </w:p>
          <w:p w14:paraId="09D5F70D">
            <w:pPr>
              <w:pStyle w:val="73"/>
              <w:keepNext w:val="0"/>
              <w:keepLines w:val="0"/>
              <w:pageBreakBefore w:val="0"/>
              <w:widowControl w:val="0"/>
              <w:numPr>
                <w:ilvl w:val="0"/>
                <w:numId w:val="0"/>
              </w:numPr>
              <w:tabs>
                <w:tab w:val="center" w:pos="4422"/>
              </w:tabs>
              <w:kinsoku/>
              <w:wordWrap/>
              <w:overflowPunct/>
              <w:topLinePunct w:val="0"/>
              <w:autoSpaceDE/>
              <w:autoSpaceDN/>
              <w:bidi w:val="0"/>
              <w:adjustRightInd w:val="0"/>
              <w:snapToGrid w:val="0"/>
              <w:spacing w:line="360" w:lineRule="auto"/>
              <w:ind w:left="0" w:leftChars="0" w:firstLine="482" w:firstLineChars="200"/>
              <w:jc w:val="both"/>
              <w:textAlignment w:val="auto"/>
              <w:rPr>
                <w:rFonts w:hint="eastAsia" w:ascii="Times New Roman" w:hAnsi="Times New Roman" w:eastAsia="宋体" w:cs="Times New Roman"/>
                <w:b/>
                <w:bCs/>
                <w:color w:val="0000FF"/>
                <w:szCs w:val="24"/>
                <w:highlight w:val="none"/>
                <w:lang w:val="en-US" w:eastAsia="zh-CN"/>
              </w:rPr>
            </w:pPr>
            <w:r>
              <w:rPr>
                <w:rFonts w:hint="eastAsia" w:ascii="Times New Roman" w:hAnsi="Times New Roman" w:eastAsia="宋体" w:cs="Times New Roman"/>
                <w:b/>
                <w:bCs/>
                <w:color w:val="0000FF"/>
                <w:szCs w:val="24"/>
                <w:highlight w:val="none"/>
                <w:lang w:val="en-US" w:eastAsia="zh-CN"/>
              </w:rPr>
              <w:t>工艺流程简述：</w:t>
            </w:r>
          </w:p>
          <w:p w14:paraId="3447777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eastAsia="宋体" w:cs="Times New Roman"/>
                <w:b w:val="0"/>
                <w:bCs w:val="0"/>
                <w:strike w:val="0"/>
                <w:color w:val="0000FF"/>
                <w:kern w:val="2"/>
                <w:sz w:val="24"/>
                <w:szCs w:val="24"/>
                <w:highlight w:val="none"/>
                <w:lang w:val="en-US" w:eastAsia="zh-CN" w:bidi="ar-SA"/>
              </w:rPr>
            </w:pPr>
            <w:r>
              <w:rPr>
                <w:rFonts w:hint="eastAsia" w:cs="Times New Roman"/>
                <w:b/>
                <w:bCs/>
                <w:strike w:val="0"/>
                <w:color w:val="0000FF"/>
                <w:kern w:val="2"/>
                <w:sz w:val="24"/>
                <w:szCs w:val="24"/>
                <w:highlight w:val="none"/>
                <w:lang w:val="en-US" w:eastAsia="zh-CN" w:bidi="ar-SA"/>
              </w:rPr>
              <w:t>搅拌反应：</w:t>
            </w:r>
            <w:r>
              <w:rPr>
                <w:rFonts w:hint="eastAsia"/>
                <w:b w:val="0"/>
                <w:bCs w:val="0"/>
                <w:color w:val="0000FF"/>
                <w:sz w:val="24"/>
                <w:highlight w:val="none"/>
                <w:lang w:val="en-US" w:eastAsia="zh-CN"/>
              </w:rPr>
              <w:t>按照设计配比</w:t>
            </w:r>
            <w:r>
              <w:rPr>
                <w:rFonts w:hint="eastAsia"/>
                <w:b w:val="0"/>
                <w:bCs w:val="0"/>
                <w:color w:val="0000FF"/>
                <w:sz w:val="24"/>
                <w:highlight w:val="none"/>
              </w:rPr>
              <w:t>将</w:t>
            </w:r>
            <w:r>
              <w:rPr>
                <w:rFonts w:hint="eastAsia"/>
                <w:b w:val="0"/>
                <w:bCs w:val="0"/>
                <w:color w:val="0000FF"/>
                <w:sz w:val="24"/>
                <w:highlight w:val="none"/>
                <w:lang w:val="en-US" w:eastAsia="zh-CN"/>
              </w:rPr>
              <w:t>原材料</w:t>
            </w:r>
            <w:r>
              <w:rPr>
                <w:rFonts w:hint="eastAsia"/>
                <w:b w:val="0"/>
                <w:bCs w:val="0"/>
                <w:color w:val="0000FF"/>
                <w:sz w:val="24"/>
                <w:highlight w:val="none"/>
              </w:rPr>
              <w:t>与需要</w:t>
            </w:r>
            <w:r>
              <w:rPr>
                <w:rFonts w:hint="eastAsia"/>
                <w:b w:val="0"/>
                <w:bCs w:val="0"/>
                <w:color w:val="0000FF"/>
                <w:sz w:val="24"/>
                <w:highlight w:val="none"/>
                <w:lang w:val="en-US" w:eastAsia="zh-CN"/>
              </w:rPr>
              <w:t>的辅料</w:t>
            </w:r>
            <w:r>
              <w:rPr>
                <w:rFonts w:hint="eastAsia"/>
                <w:b w:val="0"/>
                <w:bCs w:val="0"/>
                <w:color w:val="0000FF"/>
                <w:sz w:val="24"/>
                <w:highlight w:val="none"/>
              </w:rPr>
              <w:t>（包括有机溶剂、</w:t>
            </w:r>
            <w:r>
              <w:rPr>
                <w:rFonts w:hint="eastAsia"/>
                <w:b w:val="0"/>
                <w:bCs w:val="0"/>
                <w:color w:val="0000FF"/>
                <w:sz w:val="24"/>
                <w:highlight w:val="none"/>
                <w:lang w:val="en-US" w:eastAsia="zh-CN"/>
              </w:rPr>
              <w:t>无机试剂</w:t>
            </w:r>
            <w:r>
              <w:rPr>
                <w:rFonts w:hint="eastAsia"/>
                <w:b w:val="0"/>
                <w:bCs w:val="0"/>
                <w:color w:val="0000FF"/>
                <w:sz w:val="24"/>
                <w:highlight w:val="none"/>
                <w:lang w:eastAsia="zh-CN"/>
              </w:rPr>
              <w:t>、</w:t>
            </w:r>
            <w:r>
              <w:rPr>
                <w:rFonts w:hint="eastAsia"/>
                <w:b w:val="0"/>
                <w:bCs w:val="0"/>
                <w:color w:val="0000FF"/>
                <w:sz w:val="24"/>
                <w:highlight w:val="none"/>
                <w:lang w:val="en-US" w:eastAsia="zh-CN"/>
              </w:rPr>
              <w:t>催化剂、氧化剂等</w:t>
            </w:r>
            <w:r>
              <w:rPr>
                <w:rFonts w:hint="eastAsia"/>
                <w:b w:val="0"/>
                <w:bCs w:val="0"/>
                <w:color w:val="0000FF"/>
                <w:sz w:val="24"/>
                <w:highlight w:val="none"/>
              </w:rPr>
              <w:t>）混合放置于</w:t>
            </w:r>
            <w:r>
              <w:rPr>
                <w:rFonts w:hint="eastAsia"/>
                <w:b w:val="0"/>
                <w:bCs w:val="0"/>
                <w:color w:val="0000FF"/>
                <w:sz w:val="24"/>
                <w:highlight w:val="none"/>
                <w:lang w:val="en-US" w:eastAsia="zh-CN"/>
              </w:rPr>
              <w:t>反</w:t>
            </w:r>
            <w:r>
              <w:rPr>
                <w:rFonts w:hint="eastAsia"/>
                <w:b w:val="0"/>
                <w:bCs w:val="0"/>
                <w:color w:val="0000FF"/>
                <w:sz w:val="24"/>
                <w:highlight w:val="none"/>
              </w:rPr>
              <w:t>应釜中进行反应，反应在通风</w:t>
            </w:r>
            <w:r>
              <w:rPr>
                <w:rFonts w:hint="eastAsia"/>
                <w:b w:val="0"/>
                <w:bCs w:val="0"/>
                <w:color w:val="0000FF"/>
                <w:sz w:val="24"/>
                <w:highlight w:val="none"/>
                <w:lang w:val="en-US" w:eastAsia="zh-CN"/>
              </w:rPr>
              <w:t>柜</w:t>
            </w:r>
            <w:r>
              <w:rPr>
                <w:rFonts w:hint="eastAsia"/>
                <w:b w:val="0"/>
                <w:bCs w:val="0"/>
                <w:color w:val="0000FF"/>
                <w:sz w:val="24"/>
                <w:highlight w:val="none"/>
              </w:rPr>
              <w:t>中进行，反应得到中间体</w:t>
            </w:r>
            <w:r>
              <w:rPr>
                <w:rFonts w:hint="eastAsia"/>
                <w:b w:val="0"/>
                <w:bCs w:val="0"/>
                <w:color w:val="0000FF"/>
                <w:sz w:val="24"/>
                <w:highlight w:val="none"/>
                <w:lang w:eastAsia="zh-CN"/>
              </w:rPr>
              <w:t>（</w:t>
            </w:r>
            <w:r>
              <w:rPr>
                <w:rFonts w:hint="eastAsia"/>
                <w:b w:val="0"/>
                <w:bCs w:val="0"/>
                <w:color w:val="0000FF"/>
                <w:sz w:val="24"/>
                <w:highlight w:val="none"/>
                <w:lang w:val="en-US" w:eastAsia="zh-CN"/>
              </w:rPr>
              <w:t>液体或固体</w:t>
            </w:r>
            <w:r>
              <w:rPr>
                <w:rFonts w:hint="eastAsia"/>
                <w:b w:val="0"/>
                <w:bCs w:val="0"/>
                <w:color w:val="0000FF"/>
                <w:sz w:val="24"/>
                <w:highlight w:val="none"/>
                <w:lang w:eastAsia="zh-CN"/>
              </w:rPr>
              <w:t>）</w:t>
            </w:r>
            <w:r>
              <w:rPr>
                <w:rFonts w:hint="eastAsia"/>
                <w:b w:val="0"/>
                <w:bCs w:val="0"/>
                <w:color w:val="0000FF"/>
                <w:sz w:val="24"/>
                <w:highlight w:val="none"/>
              </w:rPr>
              <w:t>，该过程产生非甲烷总烃G</w:t>
            </w:r>
            <w:r>
              <w:rPr>
                <w:rFonts w:hint="eastAsia"/>
                <w:b w:val="0"/>
                <w:bCs w:val="0"/>
                <w:color w:val="0000FF"/>
                <w:sz w:val="24"/>
                <w:highlight w:val="none"/>
                <w:lang w:eastAsia="zh-CN"/>
              </w:rPr>
              <w:t>1</w:t>
            </w:r>
            <w:r>
              <w:rPr>
                <w:rFonts w:hint="eastAsia"/>
                <w:b w:val="0"/>
                <w:bCs w:val="0"/>
                <w:color w:val="0000FF"/>
                <w:sz w:val="24"/>
                <w:highlight w:val="none"/>
              </w:rPr>
              <w:t>、</w:t>
            </w:r>
            <w:r>
              <w:rPr>
                <w:rFonts w:hint="eastAsia"/>
                <w:b w:val="0"/>
                <w:bCs w:val="0"/>
                <w:color w:val="0000FF"/>
                <w:sz w:val="24"/>
                <w:highlight w:val="none"/>
                <w:lang w:val="en-US" w:eastAsia="zh-CN"/>
              </w:rPr>
              <w:t>酸性气体G2以及噪声N。</w:t>
            </w:r>
          </w:p>
          <w:p w14:paraId="4E61209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strike w:val="0"/>
                <w:color w:val="0000FF"/>
                <w:kern w:val="2"/>
                <w:sz w:val="24"/>
                <w:szCs w:val="24"/>
                <w:highlight w:val="none"/>
                <w:lang w:val="en-US" w:eastAsia="zh-CN" w:bidi="ar-SA"/>
              </w:rPr>
            </w:pPr>
            <w:r>
              <w:rPr>
                <w:rFonts w:hint="eastAsia" w:cs="Times New Roman"/>
                <w:b/>
                <w:bCs/>
                <w:strike w:val="0"/>
                <w:color w:val="0000FF"/>
                <w:kern w:val="2"/>
                <w:sz w:val="24"/>
                <w:szCs w:val="24"/>
                <w:highlight w:val="none"/>
                <w:lang w:val="en-US" w:eastAsia="zh-CN" w:bidi="ar-SA"/>
              </w:rPr>
              <w:t>过滤：</w:t>
            </w:r>
            <w:r>
              <w:rPr>
                <w:rFonts w:hint="eastAsia" w:cs="Times New Roman"/>
                <w:b w:val="0"/>
                <w:bCs w:val="0"/>
                <w:strike w:val="0"/>
                <w:color w:val="0000FF"/>
                <w:kern w:val="2"/>
                <w:sz w:val="24"/>
                <w:szCs w:val="24"/>
                <w:highlight w:val="none"/>
                <w:lang w:val="en-US" w:eastAsia="zh-CN" w:bidi="ar-SA"/>
              </w:rPr>
              <w:t>中间体（固态）通过过滤介质进行过滤，产生实验废液S2。</w:t>
            </w:r>
          </w:p>
          <w:p w14:paraId="074E979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val="0"/>
                <w:bCs w:val="0"/>
                <w:strike w:val="0"/>
                <w:color w:val="0000FF"/>
                <w:kern w:val="2"/>
                <w:sz w:val="24"/>
                <w:szCs w:val="24"/>
                <w:highlight w:val="none"/>
                <w:lang w:val="en-US" w:eastAsia="zh-CN" w:bidi="ar-SA"/>
              </w:rPr>
            </w:pPr>
            <w:r>
              <w:rPr>
                <w:rFonts w:hint="eastAsia" w:cs="Times New Roman"/>
                <w:b/>
                <w:bCs/>
                <w:strike w:val="0"/>
                <w:color w:val="0000FF"/>
                <w:kern w:val="2"/>
                <w:sz w:val="24"/>
                <w:szCs w:val="24"/>
                <w:highlight w:val="none"/>
                <w:lang w:val="en-US" w:eastAsia="zh-CN" w:bidi="ar-SA"/>
              </w:rPr>
              <w:t>浓缩：</w:t>
            </w:r>
            <w:r>
              <w:rPr>
                <w:rFonts w:hint="eastAsia" w:cs="Times New Roman"/>
                <w:b w:val="0"/>
                <w:bCs w:val="0"/>
                <w:strike w:val="0"/>
                <w:color w:val="0000FF"/>
                <w:kern w:val="2"/>
                <w:sz w:val="24"/>
                <w:szCs w:val="24"/>
                <w:highlight w:val="none"/>
                <w:lang w:val="en-US" w:eastAsia="zh-CN" w:bidi="ar-SA"/>
              </w:rPr>
              <w:t>中间体（液态）通过蒸发仪等设备将中间体（液态）进行浓缩，减少中间体的溶液体积。</w:t>
            </w:r>
          </w:p>
          <w:p w14:paraId="182450F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textAlignment w:val="auto"/>
              <w:rPr>
                <w:rFonts w:hint="default" w:ascii="Arial" w:hAnsi="Arial" w:cs="Arial"/>
                <w:b w:val="0"/>
                <w:bCs w:val="0"/>
                <w:color w:val="0000FF"/>
                <w:sz w:val="24"/>
                <w:shd w:val="clear" w:fill="FFFFFF"/>
              </w:rPr>
            </w:pPr>
            <w:r>
              <w:rPr>
                <w:rFonts w:hint="eastAsia" w:cs="Times New Roman"/>
                <w:b/>
                <w:bCs/>
                <w:strike w:val="0"/>
                <w:color w:val="0000FF"/>
                <w:kern w:val="2"/>
                <w:sz w:val="24"/>
                <w:szCs w:val="24"/>
                <w:highlight w:val="none"/>
                <w:lang w:val="en-US" w:eastAsia="zh-CN" w:bidi="ar-SA"/>
              </w:rPr>
              <w:t>萃取：</w:t>
            </w:r>
            <w:r>
              <w:rPr>
                <w:rFonts w:hint="eastAsia" w:cs="Times New Roman"/>
                <w:b w:val="0"/>
                <w:bCs w:val="0"/>
                <w:strike w:val="0"/>
                <w:color w:val="0000FF"/>
                <w:kern w:val="2"/>
                <w:sz w:val="24"/>
                <w:szCs w:val="24"/>
                <w:highlight w:val="none"/>
                <w:lang w:val="en-US" w:eastAsia="zh-CN" w:bidi="ar-SA"/>
              </w:rPr>
              <w:t>在中间体（液态）加入合适的溶剂，</w:t>
            </w:r>
            <w:r>
              <w:rPr>
                <w:rFonts w:hint="eastAsia" w:ascii="Arial" w:hAnsi="Arial" w:cs="Arial"/>
                <w:b w:val="0"/>
                <w:bCs w:val="0"/>
                <w:color w:val="0000FF"/>
                <w:sz w:val="24"/>
                <w:shd w:val="clear" w:fill="FFFFFF"/>
              </w:rPr>
              <w:t>通过溶解度差异实现分离的物理过程</w:t>
            </w:r>
            <w:r>
              <w:rPr>
                <w:rFonts w:hint="eastAsia" w:ascii="Arial" w:hAnsi="Arial" w:cs="Arial"/>
                <w:b w:val="0"/>
                <w:bCs w:val="0"/>
                <w:color w:val="0000FF"/>
                <w:sz w:val="24"/>
                <w:shd w:val="clear" w:fill="FFFFFF"/>
                <w:lang w:eastAsia="zh-CN"/>
              </w:rPr>
              <w:t>，</w:t>
            </w:r>
            <w:r>
              <w:rPr>
                <w:rFonts w:hint="eastAsia" w:ascii="Arial" w:hAnsi="Arial" w:cs="Arial"/>
                <w:b w:val="0"/>
                <w:bCs w:val="0"/>
                <w:color w:val="0000FF"/>
                <w:sz w:val="24"/>
                <w:shd w:val="clear" w:fill="FFFFFF"/>
                <w:lang w:val="en-US" w:eastAsia="zh-CN"/>
              </w:rPr>
              <w:t>得到粗产品。</w:t>
            </w:r>
          </w:p>
          <w:p w14:paraId="6907EA6E">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textAlignment w:val="auto"/>
              <w:rPr>
                <w:rFonts w:hint="eastAsia"/>
                <w:b w:val="0"/>
                <w:bCs w:val="0"/>
                <w:color w:val="0000FF"/>
                <w:sz w:val="24"/>
                <w:highlight w:val="none"/>
                <w:lang w:val="en-US" w:eastAsia="zh-CN"/>
              </w:rPr>
            </w:pPr>
            <w:r>
              <w:rPr>
                <w:rFonts w:hint="eastAsia" w:cs="Times New Roman"/>
                <w:b/>
                <w:bCs/>
                <w:strike w:val="0"/>
                <w:color w:val="0000FF"/>
                <w:kern w:val="2"/>
                <w:sz w:val="24"/>
                <w:szCs w:val="24"/>
                <w:highlight w:val="none"/>
                <w:lang w:val="en-US" w:eastAsia="zh-CN" w:bidi="ar-SA"/>
              </w:rPr>
              <w:t>结晶：</w:t>
            </w:r>
            <w:r>
              <w:rPr>
                <w:rFonts w:hint="eastAsia" w:cs="Times New Roman"/>
                <w:b w:val="0"/>
                <w:bCs w:val="0"/>
                <w:strike w:val="0"/>
                <w:color w:val="0000FF"/>
                <w:kern w:val="2"/>
                <w:sz w:val="24"/>
                <w:szCs w:val="24"/>
                <w:highlight w:val="none"/>
                <w:lang w:val="en-US" w:eastAsia="zh-CN" w:bidi="ar-SA"/>
              </w:rPr>
              <w:t>中间体（液态）</w:t>
            </w:r>
            <w:r>
              <w:rPr>
                <w:rFonts w:hint="eastAsia"/>
                <w:b w:val="0"/>
                <w:bCs w:val="0"/>
                <w:color w:val="0000FF"/>
                <w:sz w:val="24"/>
                <w:highlight w:val="none"/>
              </w:rPr>
              <w:t>主要通过改变温度</w:t>
            </w:r>
            <w:r>
              <w:rPr>
                <w:rFonts w:hint="eastAsia"/>
                <w:b w:val="0"/>
                <w:bCs w:val="0"/>
                <w:color w:val="0000FF"/>
                <w:sz w:val="24"/>
                <w:highlight w:val="none"/>
                <w:lang w:eastAsia="zh-CN"/>
              </w:rPr>
              <w:t>（</w:t>
            </w:r>
            <w:r>
              <w:rPr>
                <w:rFonts w:hint="eastAsia"/>
                <w:b w:val="0"/>
                <w:bCs w:val="0"/>
                <w:color w:val="0000FF"/>
                <w:sz w:val="24"/>
                <w:highlight w:val="none"/>
                <w:lang w:val="en-US" w:eastAsia="zh-CN"/>
              </w:rPr>
              <w:t>降温或升温</w:t>
            </w:r>
            <w:r>
              <w:rPr>
                <w:rFonts w:hint="eastAsia"/>
                <w:b w:val="0"/>
                <w:bCs w:val="0"/>
                <w:color w:val="0000FF"/>
                <w:sz w:val="24"/>
                <w:highlight w:val="none"/>
                <w:lang w:eastAsia="zh-CN"/>
              </w:rPr>
              <w:t>）</w:t>
            </w:r>
            <w:r>
              <w:rPr>
                <w:rFonts w:hint="eastAsia"/>
                <w:b w:val="0"/>
                <w:bCs w:val="0"/>
                <w:color w:val="0000FF"/>
                <w:sz w:val="24"/>
                <w:highlight w:val="none"/>
              </w:rPr>
              <w:t>使溶液达到过饱和状态，从而促使晶体形成</w:t>
            </w:r>
            <w:r>
              <w:rPr>
                <w:rFonts w:hint="eastAsia"/>
                <w:b w:val="0"/>
                <w:bCs w:val="0"/>
                <w:color w:val="0000FF"/>
                <w:sz w:val="24"/>
                <w:highlight w:val="none"/>
                <w:lang w:eastAsia="zh-CN"/>
              </w:rPr>
              <w:t>，</w:t>
            </w:r>
            <w:r>
              <w:rPr>
                <w:rFonts w:hint="eastAsia"/>
                <w:b w:val="0"/>
                <w:bCs w:val="0"/>
                <w:color w:val="0000FF"/>
                <w:sz w:val="24"/>
                <w:highlight w:val="none"/>
                <w:lang w:val="en-US" w:eastAsia="zh-CN"/>
              </w:rPr>
              <w:t>得到粗产品。</w:t>
            </w:r>
          </w:p>
          <w:p w14:paraId="0EDC95C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eastAsia" w:cs="Times New Roman"/>
                <w:b/>
                <w:bCs/>
                <w:strike w:val="0"/>
                <w:color w:val="0000FF"/>
                <w:kern w:val="2"/>
                <w:sz w:val="24"/>
                <w:szCs w:val="24"/>
                <w:highlight w:val="none"/>
                <w:lang w:val="en-US" w:eastAsia="zh-CN" w:bidi="ar-SA"/>
              </w:rPr>
            </w:pPr>
            <w:r>
              <w:rPr>
                <w:rFonts w:hint="eastAsia" w:ascii="Arial" w:hAnsi="Arial" w:cs="Arial"/>
                <w:b w:val="0"/>
                <w:bCs w:val="0"/>
                <w:color w:val="0000FF"/>
                <w:sz w:val="24"/>
                <w:shd w:val="clear" w:fill="FFFFFF"/>
                <w:lang w:val="en-US" w:eastAsia="zh-CN"/>
              </w:rPr>
              <w:t>以上浓缩、萃取、结晶过程</w:t>
            </w:r>
            <w:r>
              <w:rPr>
                <w:rFonts w:hint="eastAsia" w:cs="Times New Roman"/>
                <w:b w:val="0"/>
                <w:bCs w:val="0"/>
                <w:strike w:val="0"/>
                <w:color w:val="0000FF"/>
                <w:kern w:val="2"/>
                <w:sz w:val="24"/>
                <w:szCs w:val="24"/>
                <w:highlight w:val="none"/>
                <w:lang w:val="en-US" w:eastAsia="zh-CN" w:bidi="ar-SA"/>
              </w:rPr>
              <w:t>产生气体G1、酸性气体G2、</w:t>
            </w:r>
            <w:r>
              <w:rPr>
                <w:rFonts w:hint="eastAsia" w:ascii="Arial" w:hAnsi="Arial" w:cs="Arial"/>
                <w:b w:val="0"/>
                <w:bCs w:val="0"/>
                <w:color w:val="0000FF"/>
                <w:sz w:val="24"/>
                <w:shd w:val="clear" w:fill="FFFFFF"/>
                <w:lang w:val="en-US" w:eastAsia="zh-CN"/>
              </w:rPr>
              <w:t>实验废液S1。</w:t>
            </w:r>
          </w:p>
          <w:p w14:paraId="1CBC4DA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Arial" w:hAnsi="Arial" w:eastAsia="宋体" w:cs="Arial"/>
                <w:color w:val="0000FF"/>
                <w:sz w:val="24"/>
                <w:shd w:val="clear" w:fill="FFFFFF"/>
                <w:lang w:val="en-US" w:eastAsia="zh-CN"/>
              </w:rPr>
            </w:pPr>
            <w:r>
              <w:rPr>
                <w:rFonts w:hint="eastAsia" w:ascii="Arial" w:hAnsi="Arial" w:cs="Arial"/>
                <w:b/>
                <w:bCs/>
                <w:color w:val="0000FF"/>
                <w:sz w:val="24"/>
                <w:shd w:val="clear" w:fill="FFFFFF"/>
                <w:lang w:val="en-US" w:eastAsia="zh-CN"/>
              </w:rPr>
              <w:t>清洗</w:t>
            </w:r>
            <w:r>
              <w:rPr>
                <w:rFonts w:hint="eastAsia" w:ascii="Arial" w:hAnsi="Arial" w:cs="Arial"/>
                <w:color w:val="0000FF"/>
                <w:sz w:val="24"/>
                <w:shd w:val="clear" w:fill="FFFFFF"/>
                <w:lang w:val="en-US" w:eastAsia="zh-CN"/>
              </w:rPr>
              <w:t>：用有机溶剂得将得到的固体产物进行清洗，洗去固体产物多余的试剂，得到较纯产物，可重复清洗。该过程产生会产生废有机溶剂S3。</w:t>
            </w:r>
          </w:p>
          <w:p w14:paraId="766F7B3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b w:val="0"/>
                <w:bCs w:val="0"/>
                <w:strike w:val="0"/>
                <w:color w:val="0000FF"/>
                <w:kern w:val="2"/>
                <w:sz w:val="24"/>
                <w:szCs w:val="24"/>
                <w:highlight w:val="none"/>
                <w:lang w:val="en-US" w:eastAsia="zh-CN" w:bidi="ar-SA"/>
              </w:rPr>
            </w:pPr>
            <w:r>
              <w:rPr>
                <w:rFonts w:hint="eastAsia" w:cs="Times New Roman"/>
                <w:b/>
                <w:bCs/>
                <w:strike w:val="0"/>
                <w:color w:val="0000FF"/>
                <w:kern w:val="2"/>
                <w:sz w:val="24"/>
                <w:szCs w:val="24"/>
                <w:highlight w:val="none"/>
                <w:lang w:val="en-US" w:eastAsia="zh-CN" w:bidi="ar-SA"/>
              </w:rPr>
              <w:t>干燥</w:t>
            </w:r>
            <w:r>
              <w:rPr>
                <w:rFonts w:hint="eastAsia" w:cs="Times New Roman"/>
                <w:b w:val="0"/>
                <w:bCs w:val="0"/>
                <w:strike w:val="0"/>
                <w:color w:val="0000FF"/>
                <w:kern w:val="2"/>
                <w:sz w:val="24"/>
                <w:szCs w:val="24"/>
                <w:highlight w:val="none"/>
                <w:lang w:val="en-US" w:eastAsia="zh-CN" w:bidi="ar-SA"/>
              </w:rPr>
              <w:t>：将清洗得到的产品通过干燥箱进行干燥得到纯产品。</w:t>
            </w:r>
          </w:p>
          <w:p w14:paraId="063F5D1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strike w:val="0"/>
                <w:color w:val="auto"/>
                <w:kern w:val="2"/>
                <w:sz w:val="24"/>
                <w:szCs w:val="24"/>
                <w:highlight w:val="none"/>
                <w:lang w:val="en-US" w:eastAsia="zh-CN" w:bidi="ar-SA"/>
              </w:rPr>
            </w:pPr>
            <w:r>
              <w:rPr>
                <w:rFonts w:hint="eastAsia" w:cs="Times New Roman"/>
                <w:b/>
                <w:bCs/>
                <w:strike w:val="0"/>
                <w:color w:val="auto"/>
                <w:kern w:val="2"/>
                <w:sz w:val="24"/>
                <w:szCs w:val="24"/>
                <w:highlight w:val="none"/>
                <w:lang w:val="en-US" w:eastAsia="zh-CN" w:bidi="ar-SA"/>
              </w:rPr>
              <w:t>（2）分析检测工艺流程</w:t>
            </w:r>
          </w:p>
          <w:p w14:paraId="635F2B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strike w:val="0"/>
                <w:color w:val="auto"/>
                <w:kern w:val="2"/>
                <w:sz w:val="24"/>
                <w:szCs w:val="24"/>
                <w:highlight w:val="none"/>
                <w:lang w:val="en-US" w:eastAsia="zh-CN" w:bidi="ar-SA"/>
              </w:rPr>
            </w:pPr>
            <w:r>
              <w:rPr>
                <w:color w:val="auto"/>
                <w:sz w:val="24"/>
                <w:szCs w:val="24"/>
                <w:highlight w:val="none"/>
                <w:lang w:val="en-US" w:eastAsia="zh-CN"/>
              </w:rPr>
              <w:object>
                <v:shape id="_x0000_i1029" o:spt="75" type="#_x0000_t75" style="height:297.8pt;width:333.8pt;" o:ole="t" filled="f" o:preferrelative="t" stroked="f" coordsize="21600,21600">
                  <v:path/>
                  <v:fill on="f" focussize="0,0"/>
                  <v:stroke on="f"/>
                  <v:imagedata r:id="rId19" o:title=""/>
                  <o:lock v:ext="edit" aspectratio="f"/>
                  <w10:wrap type="none"/>
                  <w10:anchorlock/>
                </v:shape>
                <o:OLEObject Type="Embed" ProgID="Visio.Drawing.11" ShapeID="_x0000_i1029" DrawAspect="Content" ObjectID="_1468075729" r:id="rId18">
                  <o:LockedField>false</o:LockedField>
                </o:OLEObject>
              </w:object>
            </w:r>
          </w:p>
          <w:p w14:paraId="53CF38D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b/>
                <w:bCs/>
                <w:strike w:val="0"/>
                <w:color w:val="auto"/>
                <w:kern w:val="2"/>
                <w:sz w:val="24"/>
                <w:szCs w:val="24"/>
                <w:highlight w:val="none"/>
                <w:lang w:val="en-US" w:eastAsia="zh-CN" w:bidi="ar-SA"/>
              </w:rPr>
            </w:pPr>
            <w:r>
              <w:rPr>
                <w:rFonts w:hint="eastAsia" w:cs="Times New Roman"/>
                <w:b/>
                <w:bCs/>
                <w:strike w:val="0"/>
                <w:color w:val="auto"/>
                <w:kern w:val="2"/>
                <w:sz w:val="24"/>
                <w:szCs w:val="24"/>
                <w:highlight w:val="none"/>
                <w:lang w:val="en-US" w:eastAsia="zh-CN" w:bidi="ar-SA"/>
              </w:rPr>
              <w:t>图2-5 分析检测实验过程及产污图</w:t>
            </w:r>
          </w:p>
          <w:p w14:paraId="5FE18D5C">
            <w:pPr>
              <w:pStyle w:val="10"/>
              <w:adjustRightInd w:val="0"/>
              <w:spacing w:before="0" w:after="0" w:line="360" w:lineRule="auto"/>
              <w:ind w:right="0" w:firstLine="482" w:firstLineChars="200"/>
              <w:rPr>
                <w:rFonts w:hint="eastAsia"/>
                <w:color w:val="0000FF"/>
                <w:sz w:val="24"/>
                <w:szCs w:val="24"/>
                <w:highlight w:val="none"/>
                <w:lang w:val="en-US" w:eastAsia="zh-CN"/>
              </w:rPr>
            </w:pPr>
            <w:r>
              <w:rPr>
                <w:rFonts w:hint="eastAsia"/>
                <w:b/>
                <w:bCs/>
                <w:color w:val="0000FF"/>
                <w:sz w:val="24"/>
                <w:szCs w:val="24"/>
                <w:highlight w:val="none"/>
                <w:lang w:val="en-US" w:eastAsia="zh-CN"/>
              </w:rPr>
              <w:t>待测样品：</w:t>
            </w:r>
            <w:r>
              <w:rPr>
                <w:rFonts w:hint="eastAsia"/>
                <w:color w:val="0000FF"/>
                <w:sz w:val="24"/>
                <w:szCs w:val="24"/>
                <w:highlight w:val="none"/>
                <w:lang w:val="en-US" w:eastAsia="zh-CN"/>
              </w:rPr>
              <w:t>将合成或制剂所得的中间体、样品取出；</w:t>
            </w:r>
          </w:p>
          <w:p w14:paraId="223CC2BE">
            <w:pPr>
              <w:pStyle w:val="10"/>
              <w:adjustRightInd w:val="0"/>
              <w:spacing w:before="0" w:after="0" w:line="360" w:lineRule="auto"/>
              <w:ind w:right="0" w:firstLine="482" w:firstLineChars="200"/>
              <w:rPr>
                <w:rFonts w:hint="eastAsia"/>
                <w:color w:val="0000FF"/>
                <w:sz w:val="24"/>
                <w:szCs w:val="24"/>
                <w:highlight w:val="none"/>
                <w:lang w:val="en-US" w:eastAsia="zh-CN"/>
              </w:rPr>
            </w:pPr>
            <w:r>
              <w:rPr>
                <w:rFonts w:hint="eastAsia"/>
                <w:b/>
                <w:bCs/>
                <w:color w:val="0000FF"/>
                <w:sz w:val="24"/>
                <w:szCs w:val="24"/>
                <w:highlight w:val="none"/>
                <w:lang w:val="en-US" w:eastAsia="zh-CN"/>
              </w:rPr>
              <w:t>样品前处理：</w:t>
            </w:r>
            <w:r>
              <w:rPr>
                <w:rFonts w:hint="eastAsia"/>
                <w:color w:val="0000FF"/>
                <w:sz w:val="24"/>
                <w:szCs w:val="24"/>
                <w:highlight w:val="none"/>
                <w:lang w:val="en-US" w:eastAsia="zh-CN"/>
              </w:rPr>
              <w:t>根据检测要求对待检测样品选择溶解法进行处理，方便检测。该工序会产生噪声N、非甲烷总烃G2、酸性废气G2、实验废液S5；</w:t>
            </w:r>
          </w:p>
          <w:p w14:paraId="10604C48">
            <w:pPr>
              <w:pStyle w:val="10"/>
              <w:adjustRightInd w:val="0"/>
              <w:spacing w:before="0" w:after="0" w:line="360" w:lineRule="auto"/>
              <w:ind w:right="0" w:firstLine="482" w:firstLineChars="200"/>
              <w:rPr>
                <w:rFonts w:hint="eastAsia" w:ascii="Times New Roman" w:hAnsi="Times New Roman" w:eastAsia="宋体" w:cs="Times New Roman"/>
                <w:color w:val="0000FF"/>
                <w:kern w:val="0"/>
                <w:sz w:val="24"/>
                <w:szCs w:val="24"/>
                <w:highlight w:val="none"/>
                <w:lang w:val="en-US" w:eastAsia="zh-CN"/>
              </w:rPr>
            </w:pPr>
            <w:r>
              <w:rPr>
                <w:rFonts w:hint="eastAsia" w:ascii="Times New Roman" w:hAnsi="Times New Roman" w:eastAsia="宋体" w:cs="Times New Roman"/>
                <w:b/>
                <w:bCs/>
                <w:color w:val="0000FF"/>
                <w:kern w:val="0"/>
                <w:sz w:val="24"/>
                <w:szCs w:val="24"/>
                <w:highlight w:val="none"/>
                <w:lang w:val="en-US" w:eastAsia="zh-CN"/>
              </w:rPr>
              <w:t>样品的稳定性实验</w:t>
            </w:r>
            <w:r>
              <w:rPr>
                <w:rFonts w:hint="eastAsia" w:ascii="Times New Roman" w:hAnsi="Times New Roman" w:eastAsia="宋体" w:cs="Times New Roman"/>
                <w:color w:val="0000FF"/>
                <w:kern w:val="0"/>
                <w:sz w:val="24"/>
                <w:szCs w:val="24"/>
                <w:highlight w:val="none"/>
                <w:lang w:val="en-US" w:eastAsia="zh-CN"/>
              </w:rPr>
              <w:t>：是考察在贮藏过程中易发生变化的，可能影响制剂质量、安全性和/或有效性的项目，将研发样品放置在一定条件下一段时间（1~2年），对样品的变化情况进行观察并分析，该实验过程产生非甲烷总烃G1、</w:t>
            </w:r>
            <w:r>
              <w:rPr>
                <w:rFonts w:hint="eastAsia" w:ascii="Times New Roman" w:eastAsia="宋体"/>
                <w:color w:val="0000FF"/>
                <w:sz w:val="24"/>
                <w:highlight w:val="none"/>
              </w:rPr>
              <w:t>废样品</w:t>
            </w:r>
            <w:r>
              <w:rPr>
                <w:rFonts w:hint="eastAsia" w:ascii="Times New Roman" w:eastAsia="宋体"/>
                <w:color w:val="0000FF"/>
                <w:sz w:val="24"/>
                <w:highlight w:val="none"/>
                <w:lang w:bidi="ar"/>
              </w:rPr>
              <w:t>S</w:t>
            </w:r>
            <w:r>
              <w:rPr>
                <w:rFonts w:hint="eastAsia" w:ascii="Times New Roman" w:eastAsia="宋体"/>
                <w:color w:val="0000FF"/>
                <w:sz w:val="24"/>
                <w:highlight w:val="none"/>
                <w:lang w:val="en-US" w:eastAsia="zh-CN" w:bidi="ar"/>
              </w:rPr>
              <w:t>4</w:t>
            </w:r>
            <w:r>
              <w:rPr>
                <w:rFonts w:hint="eastAsia" w:ascii="Times New Roman" w:eastAsia="宋体"/>
                <w:color w:val="0000FF"/>
                <w:sz w:val="24"/>
                <w:highlight w:val="none"/>
                <w:lang w:eastAsia="zh-CN" w:bidi="ar"/>
              </w:rPr>
              <w:t>。</w:t>
            </w:r>
          </w:p>
          <w:p w14:paraId="7B0F5259">
            <w:pPr>
              <w:pStyle w:val="10"/>
              <w:adjustRightInd w:val="0"/>
              <w:spacing w:before="0" w:after="0" w:line="360" w:lineRule="auto"/>
              <w:ind w:right="0" w:firstLine="482" w:firstLineChars="200"/>
              <w:rPr>
                <w:rFonts w:hint="eastAsia"/>
                <w:color w:val="0000FF"/>
                <w:sz w:val="24"/>
                <w:szCs w:val="24"/>
                <w:highlight w:val="none"/>
                <w:lang w:val="en-US" w:eastAsia="zh-CN"/>
              </w:rPr>
            </w:pPr>
            <w:r>
              <w:rPr>
                <w:rFonts w:hint="eastAsia"/>
                <w:b/>
                <w:bCs/>
                <w:color w:val="0000FF"/>
                <w:sz w:val="24"/>
                <w:szCs w:val="24"/>
                <w:highlight w:val="none"/>
                <w:lang w:val="en-US" w:eastAsia="zh-CN"/>
              </w:rPr>
              <w:t>实验分析：</w:t>
            </w:r>
            <w:r>
              <w:rPr>
                <w:rFonts w:hint="eastAsia"/>
                <w:color w:val="0000FF"/>
                <w:sz w:val="24"/>
                <w:szCs w:val="24"/>
                <w:highlight w:val="none"/>
                <w:lang w:val="en-US" w:eastAsia="zh-CN"/>
              </w:rPr>
              <w:t>使用气相、液相、红外色谱仪等仪器对样品的理化性质进行检测，该工序会产生非甲烷总烃G1、酸性废气G2、实验废液S6、废样品S7等。</w:t>
            </w:r>
          </w:p>
          <w:p w14:paraId="2258D30C">
            <w:pPr>
              <w:pStyle w:val="10"/>
              <w:adjustRightInd w:val="0"/>
              <w:spacing w:before="0" w:after="0" w:line="360" w:lineRule="auto"/>
              <w:ind w:right="0" w:firstLine="482" w:firstLineChars="200"/>
              <w:rPr>
                <w:rFonts w:hint="default"/>
                <w:b w:val="0"/>
                <w:bCs w:val="0"/>
                <w:color w:val="0000FF"/>
                <w:sz w:val="24"/>
                <w:szCs w:val="24"/>
                <w:highlight w:val="none"/>
                <w:lang w:val="en-US" w:eastAsia="zh-CN"/>
              </w:rPr>
            </w:pPr>
            <w:r>
              <w:rPr>
                <w:rFonts w:hint="eastAsia"/>
                <w:b/>
                <w:bCs/>
                <w:color w:val="0000FF"/>
                <w:sz w:val="24"/>
                <w:szCs w:val="24"/>
                <w:highlight w:val="none"/>
                <w:lang w:val="en-US" w:eastAsia="zh-CN"/>
              </w:rPr>
              <w:t>清洗器皿：</w:t>
            </w:r>
            <w:r>
              <w:rPr>
                <w:rFonts w:hint="eastAsia"/>
                <w:b w:val="0"/>
                <w:bCs w:val="0"/>
                <w:color w:val="0000FF"/>
                <w:sz w:val="24"/>
                <w:szCs w:val="24"/>
                <w:highlight w:val="none"/>
                <w:lang w:val="en-US" w:eastAsia="zh-CN"/>
              </w:rPr>
              <w:t>用有机试剂清洗器皿产生清洗废液S8以及器皿第一、二次自来水清洗废液S9。</w:t>
            </w:r>
          </w:p>
          <w:p w14:paraId="1E9298C3">
            <w:pPr>
              <w:pStyle w:val="10"/>
              <w:adjustRightInd w:val="0"/>
              <w:spacing w:before="0" w:after="0" w:line="360" w:lineRule="auto"/>
              <w:ind w:right="0" w:firstLine="482" w:firstLineChars="200"/>
              <w:rPr>
                <w:rFonts w:hint="eastAsia"/>
                <w:color w:val="0000FF"/>
                <w:sz w:val="24"/>
                <w:szCs w:val="24"/>
                <w:highlight w:val="none"/>
                <w:lang w:val="en-US" w:eastAsia="zh-CN"/>
              </w:rPr>
            </w:pPr>
            <w:r>
              <w:rPr>
                <w:rFonts w:hint="eastAsia"/>
                <w:b/>
                <w:bCs/>
                <w:color w:val="0000FF"/>
                <w:sz w:val="24"/>
                <w:szCs w:val="24"/>
                <w:highlight w:val="none"/>
                <w:lang w:val="en-US" w:eastAsia="zh-CN"/>
              </w:rPr>
              <w:t>数据整理：</w:t>
            </w:r>
            <w:r>
              <w:rPr>
                <w:rFonts w:hint="eastAsia"/>
                <w:color w:val="0000FF"/>
                <w:sz w:val="24"/>
                <w:szCs w:val="24"/>
                <w:highlight w:val="none"/>
                <w:lang w:val="en-US" w:eastAsia="zh-CN"/>
              </w:rPr>
              <w:t>根据样品检测的结果进行数据分析对比，判定样品的理化性质。</w:t>
            </w:r>
          </w:p>
          <w:p w14:paraId="46877D7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422" w:firstLineChars="175"/>
              <w:jc w:val="center"/>
              <w:textAlignment w:val="auto"/>
              <w:rPr>
                <w:rFonts w:hint="eastAsia" w:ascii="Times New Roman" w:hAnsi="Times New Roman" w:eastAsia="宋体" w:cs="Times New Roman"/>
                <w:b/>
                <w:bCs/>
                <w:color w:val="auto"/>
                <w:szCs w:val="24"/>
                <w:highlight w:val="none"/>
                <w:lang w:val="en-US" w:eastAsia="zh-CN"/>
              </w:rPr>
            </w:pPr>
            <w:r>
              <w:rPr>
                <w:rFonts w:hint="eastAsia" w:ascii="Times New Roman" w:hAnsi="Times New Roman" w:eastAsia="宋体" w:cs="Times New Roman"/>
                <w:b/>
                <w:bCs/>
                <w:color w:val="auto"/>
                <w:szCs w:val="24"/>
                <w:highlight w:val="none"/>
                <w:lang w:val="en-US" w:eastAsia="zh-CN"/>
              </w:rPr>
              <w:t>表2</w:t>
            </w:r>
            <w:r>
              <w:rPr>
                <w:rFonts w:hint="eastAsia" w:cs="Times New Roman"/>
                <w:b/>
                <w:bCs/>
                <w:color w:val="auto"/>
                <w:szCs w:val="24"/>
                <w:highlight w:val="none"/>
                <w:lang w:val="en-US" w:eastAsia="zh-CN"/>
              </w:rPr>
              <w:t>-10</w:t>
            </w:r>
            <w:r>
              <w:rPr>
                <w:rFonts w:hint="eastAsia" w:ascii="Times New Roman" w:hAnsi="Times New Roman" w:eastAsia="宋体" w:cs="Times New Roman"/>
                <w:b/>
                <w:bCs/>
                <w:color w:val="auto"/>
                <w:szCs w:val="24"/>
                <w:highlight w:val="none"/>
                <w:lang w:val="en-US" w:eastAsia="zh-CN"/>
              </w:rPr>
              <w:t xml:space="preserve"> 运营期主要污染工序一览表</w:t>
            </w:r>
          </w:p>
          <w:tbl>
            <w:tblPr>
              <w:tblStyle w:val="31"/>
              <w:tblW w:w="77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095"/>
              <w:gridCol w:w="1274"/>
              <w:gridCol w:w="2260"/>
              <w:gridCol w:w="2717"/>
            </w:tblGrid>
            <w:tr w14:paraId="48669C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506" w:type="dxa"/>
                  <w:gridSpan w:val="2"/>
                  <w:tcBorders>
                    <w:tl2br w:val="nil"/>
                    <w:tr2bl w:val="nil"/>
                  </w:tcBorders>
                  <w:noWrap w:val="0"/>
                  <w:vAlign w:val="center"/>
                </w:tcPr>
                <w:p w14:paraId="0B397E3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类别</w:t>
                  </w:r>
                </w:p>
              </w:tc>
              <w:tc>
                <w:tcPr>
                  <w:tcW w:w="1274" w:type="dxa"/>
                  <w:tcBorders>
                    <w:tl2br w:val="nil"/>
                    <w:tr2bl w:val="nil"/>
                  </w:tcBorders>
                  <w:noWrap w:val="0"/>
                  <w:vAlign w:val="center"/>
                </w:tcPr>
                <w:p w14:paraId="79730AD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主要污染源</w:t>
                  </w:r>
                </w:p>
              </w:tc>
              <w:tc>
                <w:tcPr>
                  <w:tcW w:w="2260" w:type="dxa"/>
                  <w:tcBorders>
                    <w:tl2br w:val="nil"/>
                    <w:tr2bl w:val="nil"/>
                  </w:tcBorders>
                  <w:noWrap w:val="0"/>
                  <w:vAlign w:val="center"/>
                </w:tcPr>
                <w:p w14:paraId="7688324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主要</w:t>
                  </w:r>
                  <w:r>
                    <w:rPr>
                      <w:rFonts w:hint="eastAsia" w:ascii="Times New Roman" w:hAnsi="Times New Roman" w:eastAsia="宋体" w:cs="Times New Roman"/>
                      <w:b/>
                      <w:bCs/>
                      <w:color w:val="auto"/>
                      <w:sz w:val="21"/>
                      <w:szCs w:val="21"/>
                      <w:highlight w:val="none"/>
                      <w:vertAlign w:val="baseline"/>
                      <w:lang w:val="en-US" w:eastAsia="zh-CN"/>
                    </w:rPr>
                    <w:t>来源</w:t>
                  </w:r>
                </w:p>
              </w:tc>
              <w:tc>
                <w:tcPr>
                  <w:tcW w:w="2717" w:type="dxa"/>
                  <w:tcBorders>
                    <w:tl2br w:val="nil"/>
                    <w:tr2bl w:val="nil"/>
                  </w:tcBorders>
                  <w:noWrap w:val="0"/>
                  <w:vAlign w:val="center"/>
                </w:tcPr>
                <w:p w14:paraId="440504C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主要污染物</w:t>
                  </w:r>
                </w:p>
              </w:tc>
            </w:tr>
            <w:tr w14:paraId="27496F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06" w:type="dxa"/>
                  <w:gridSpan w:val="2"/>
                  <w:vMerge w:val="restart"/>
                  <w:tcBorders>
                    <w:tl2br w:val="nil"/>
                    <w:tr2bl w:val="nil"/>
                  </w:tcBorders>
                  <w:noWrap w:val="0"/>
                  <w:vAlign w:val="center"/>
                </w:tcPr>
                <w:p w14:paraId="31B7B5D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废气</w:t>
                  </w:r>
                </w:p>
              </w:tc>
              <w:tc>
                <w:tcPr>
                  <w:tcW w:w="1274" w:type="dxa"/>
                  <w:tcBorders>
                    <w:tl2br w:val="nil"/>
                    <w:tr2bl w:val="nil"/>
                  </w:tcBorders>
                  <w:noWrap w:val="0"/>
                  <w:vAlign w:val="center"/>
                </w:tcPr>
                <w:p w14:paraId="54B44C5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有机废气</w:t>
                  </w:r>
                </w:p>
              </w:tc>
              <w:tc>
                <w:tcPr>
                  <w:tcW w:w="2260" w:type="dxa"/>
                  <w:tcBorders>
                    <w:tl2br w:val="nil"/>
                    <w:tr2bl w:val="nil"/>
                  </w:tcBorders>
                  <w:noWrap w:val="0"/>
                  <w:vAlign w:val="center"/>
                </w:tcPr>
                <w:p w14:paraId="5EB4679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小试实验、探试实验室中、分析实验室过程等</w:t>
                  </w:r>
                </w:p>
              </w:tc>
              <w:tc>
                <w:tcPr>
                  <w:tcW w:w="2717" w:type="dxa"/>
                  <w:tcBorders>
                    <w:tl2br w:val="nil"/>
                    <w:tr2bl w:val="nil"/>
                  </w:tcBorders>
                  <w:noWrap w:val="0"/>
                  <w:vAlign w:val="center"/>
                </w:tcPr>
                <w:p w14:paraId="50DEDF7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非甲烷总烃</w:t>
                  </w:r>
                </w:p>
              </w:tc>
            </w:tr>
            <w:tr w14:paraId="3CD1B6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06" w:type="dxa"/>
                  <w:gridSpan w:val="2"/>
                  <w:vMerge w:val="continue"/>
                  <w:tcBorders>
                    <w:tl2br w:val="nil"/>
                    <w:tr2bl w:val="nil"/>
                  </w:tcBorders>
                  <w:noWrap w:val="0"/>
                  <w:vAlign w:val="center"/>
                </w:tcPr>
                <w:p w14:paraId="0BDE22CC">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11E7310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无机废气</w:t>
                  </w:r>
                </w:p>
              </w:tc>
              <w:tc>
                <w:tcPr>
                  <w:tcW w:w="2260" w:type="dxa"/>
                  <w:tcBorders>
                    <w:tl2br w:val="nil"/>
                    <w:tr2bl w:val="nil"/>
                  </w:tcBorders>
                  <w:noWrap w:val="0"/>
                  <w:vAlign w:val="center"/>
                </w:tcPr>
                <w:p w14:paraId="577D374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小试实验、探试实验室中、分析实验室过程等</w:t>
                  </w:r>
                </w:p>
              </w:tc>
              <w:tc>
                <w:tcPr>
                  <w:tcW w:w="2717" w:type="dxa"/>
                  <w:tcBorders>
                    <w:tl2br w:val="nil"/>
                    <w:tr2bl w:val="nil"/>
                  </w:tcBorders>
                  <w:noWrap w:val="0"/>
                  <w:vAlign w:val="center"/>
                </w:tcPr>
                <w:p w14:paraId="3377DFA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subscript"/>
                      <w:lang w:val="en-US" w:eastAsia="zh-CN"/>
                    </w:rPr>
                  </w:pPr>
                  <w:r>
                    <w:rPr>
                      <w:rFonts w:hint="eastAsia" w:cs="Times New Roman"/>
                      <w:b w:val="0"/>
                      <w:bCs w:val="0"/>
                      <w:color w:val="auto"/>
                      <w:sz w:val="21"/>
                      <w:szCs w:val="21"/>
                      <w:highlight w:val="none"/>
                      <w:vertAlign w:val="baseline"/>
                      <w:lang w:val="en-US" w:eastAsia="zh-CN"/>
                    </w:rPr>
                    <w:t>HCl、NO</w:t>
                  </w:r>
                  <w:r>
                    <w:rPr>
                      <w:rFonts w:hint="eastAsia" w:cs="Times New Roman"/>
                      <w:b w:val="0"/>
                      <w:bCs w:val="0"/>
                      <w:color w:val="auto"/>
                      <w:sz w:val="21"/>
                      <w:szCs w:val="21"/>
                      <w:highlight w:val="none"/>
                      <w:vertAlign w:val="subscript"/>
                      <w:lang w:val="en-US" w:eastAsia="zh-CN"/>
                    </w:rPr>
                    <w:t>X</w:t>
                  </w:r>
                </w:p>
              </w:tc>
            </w:tr>
            <w:tr w14:paraId="4F36EC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506" w:type="dxa"/>
                  <w:gridSpan w:val="2"/>
                  <w:vMerge w:val="restart"/>
                  <w:tcBorders>
                    <w:tl2br w:val="nil"/>
                    <w:tr2bl w:val="nil"/>
                  </w:tcBorders>
                  <w:noWrap w:val="0"/>
                  <w:vAlign w:val="center"/>
                </w:tcPr>
                <w:p w14:paraId="099B6A4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废水</w:t>
                  </w:r>
                </w:p>
              </w:tc>
              <w:tc>
                <w:tcPr>
                  <w:tcW w:w="1274" w:type="dxa"/>
                  <w:tcBorders>
                    <w:tl2br w:val="nil"/>
                    <w:tr2bl w:val="nil"/>
                  </w:tcBorders>
                  <w:noWrap w:val="0"/>
                  <w:vAlign w:val="center"/>
                </w:tcPr>
                <w:p w14:paraId="394AD6D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实验</w:t>
                  </w:r>
                  <w:r>
                    <w:rPr>
                      <w:rFonts w:hint="eastAsia" w:ascii="Times New Roman" w:hAnsi="Times New Roman" w:eastAsia="宋体" w:cs="Times New Roman"/>
                      <w:b w:val="0"/>
                      <w:bCs w:val="0"/>
                      <w:color w:val="auto"/>
                      <w:sz w:val="21"/>
                      <w:szCs w:val="21"/>
                      <w:highlight w:val="none"/>
                      <w:vertAlign w:val="baseline"/>
                      <w:lang w:val="en-US" w:eastAsia="zh-CN"/>
                    </w:rPr>
                    <w:t>清洗</w:t>
                  </w:r>
                </w:p>
                <w:p w14:paraId="42E084A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废水</w:t>
                  </w:r>
                </w:p>
              </w:tc>
              <w:tc>
                <w:tcPr>
                  <w:tcW w:w="2260" w:type="dxa"/>
                  <w:tcBorders>
                    <w:tl2br w:val="nil"/>
                    <w:tr2bl w:val="nil"/>
                  </w:tcBorders>
                  <w:noWrap w:val="0"/>
                  <w:vAlign w:val="center"/>
                </w:tcPr>
                <w:p w14:paraId="09E238C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实验器具第</w:t>
                  </w:r>
                  <w:r>
                    <w:rPr>
                      <w:rFonts w:hint="eastAsia" w:cs="Times New Roman"/>
                      <w:b w:val="0"/>
                      <w:bCs w:val="0"/>
                      <w:color w:val="auto"/>
                      <w:sz w:val="21"/>
                      <w:szCs w:val="21"/>
                      <w:highlight w:val="none"/>
                      <w:vertAlign w:val="baseline"/>
                      <w:lang w:val="en-US" w:eastAsia="zh-CN"/>
                    </w:rPr>
                    <w:t>五、六</w:t>
                  </w:r>
                  <w:r>
                    <w:rPr>
                      <w:rFonts w:hint="eastAsia" w:ascii="Times New Roman" w:hAnsi="Times New Roman" w:eastAsia="宋体" w:cs="Times New Roman"/>
                      <w:b w:val="0"/>
                      <w:bCs w:val="0"/>
                      <w:color w:val="auto"/>
                      <w:sz w:val="21"/>
                      <w:szCs w:val="21"/>
                      <w:highlight w:val="none"/>
                      <w:vertAlign w:val="baseline"/>
                      <w:lang w:val="en-US" w:eastAsia="zh-CN"/>
                    </w:rPr>
                    <w:t>次清洗</w:t>
                  </w:r>
                  <w:r>
                    <w:rPr>
                      <w:rFonts w:hint="eastAsia"/>
                      <w:color w:val="auto"/>
                      <w:highlight w:val="none"/>
                      <w:lang w:eastAsia="zh-CN"/>
                    </w:rPr>
                    <w:t>、</w:t>
                  </w:r>
                  <w:r>
                    <w:rPr>
                      <w:rFonts w:hint="eastAsia"/>
                      <w:color w:val="auto"/>
                      <w:sz w:val="21"/>
                      <w:szCs w:val="21"/>
                      <w:highlight w:val="none"/>
                      <w:lang w:val="en-US" w:eastAsia="zh-CN"/>
                    </w:rPr>
                    <w:t>清洗台面、地面用水</w:t>
                  </w:r>
                </w:p>
              </w:tc>
              <w:tc>
                <w:tcPr>
                  <w:tcW w:w="2717" w:type="dxa"/>
                  <w:tcBorders>
                    <w:tl2br w:val="nil"/>
                    <w:tr2bl w:val="nil"/>
                  </w:tcBorders>
                  <w:noWrap w:val="0"/>
                  <w:vAlign w:val="center"/>
                </w:tcPr>
                <w:p w14:paraId="45CA152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COD、BOD</w:t>
                  </w:r>
                  <w:r>
                    <w:rPr>
                      <w:rFonts w:hint="eastAsia" w:ascii="Times New Roman" w:hAnsi="Times New Roman" w:eastAsia="宋体" w:cs="Times New Roman"/>
                      <w:b w:val="0"/>
                      <w:bCs w:val="0"/>
                      <w:color w:val="auto"/>
                      <w:sz w:val="21"/>
                      <w:szCs w:val="21"/>
                      <w:highlight w:val="none"/>
                      <w:vertAlign w:val="subscript"/>
                      <w:lang w:val="en-US" w:eastAsia="zh-CN"/>
                    </w:rPr>
                    <w:t>5</w:t>
                  </w:r>
                  <w:r>
                    <w:rPr>
                      <w:rFonts w:hint="eastAsia" w:ascii="Times New Roman" w:hAnsi="Times New Roman" w:eastAsia="宋体" w:cs="Times New Roman"/>
                      <w:b w:val="0"/>
                      <w:bCs w:val="0"/>
                      <w:color w:val="auto"/>
                      <w:sz w:val="21"/>
                      <w:szCs w:val="21"/>
                      <w:highlight w:val="none"/>
                      <w:vertAlign w:val="baseline"/>
                      <w:lang w:val="en-US" w:eastAsia="zh-CN"/>
                    </w:rPr>
                    <w:t>、SS、</w:t>
                  </w:r>
                  <w:r>
                    <w:rPr>
                      <w:rFonts w:hint="eastAsia" w:cs="Times New Roman"/>
                      <w:b w:val="0"/>
                      <w:bCs w:val="0"/>
                      <w:color w:val="auto"/>
                      <w:sz w:val="21"/>
                      <w:szCs w:val="21"/>
                      <w:highlight w:val="none"/>
                      <w:vertAlign w:val="baseline"/>
                      <w:lang w:val="en-US" w:eastAsia="zh-CN"/>
                    </w:rPr>
                    <w:t>p</w:t>
                  </w:r>
                  <w:r>
                    <w:rPr>
                      <w:rFonts w:hint="eastAsia" w:ascii="Times New Roman" w:hAnsi="Times New Roman" w:eastAsia="宋体" w:cs="Times New Roman"/>
                      <w:b w:val="0"/>
                      <w:bCs w:val="0"/>
                      <w:color w:val="auto"/>
                      <w:sz w:val="21"/>
                      <w:szCs w:val="21"/>
                      <w:highlight w:val="none"/>
                      <w:vertAlign w:val="baseline"/>
                      <w:lang w:val="en-US" w:eastAsia="zh-CN"/>
                    </w:rPr>
                    <w:t>H、NH</w:t>
                  </w:r>
                  <w:r>
                    <w:rPr>
                      <w:rFonts w:hint="eastAsia" w:ascii="Times New Roman" w:hAnsi="Times New Roman" w:eastAsia="宋体" w:cs="Times New Roman"/>
                      <w:b w:val="0"/>
                      <w:bCs w:val="0"/>
                      <w:color w:val="auto"/>
                      <w:sz w:val="21"/>
                      <w:szCs w:val="21"/>
                      <w:highlight w:val="none"/>
                      <w:vertAlign w:val="subscript"/>
                      <w:lang w:val="en-US" w:eastAsia="zh-CN"/>
                    </w:rPr>
                    <w:t>3</w:t>
                  </w:r>
                  <w:r>
                    <w:rPr>
                      <w:rFonts w:hint="eastAsia" w:ascii="Times New Roman" w:hAnsi="Times New Roman" w:eastAsia="宋体" w:cs="Times New Roman"/>
                      <w:b w:val="0"/>
                      <w:bCs w:val="0"/>
                      <w:color w:val="auto"/>
                      <w:sz w:val="21"/>
                      <w:szCs w:val="21"/>
                      <w:highlight w:val="none"/>
                      <w:vertAlign w:val="baseline"/>
                      <w:lang w:val="en-US" w:eastAsia="zh-CN"/>
                    </w:rPr>
                    <w:t>-N</w:t>
                  </w:r>
                </w:p>
              </w:tc>
            </w:tr>
            <w:tr w14:paraId="39D6CB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06" w:type="dxa"/>
                  <w:gridSpan w:val="2"/>
                  <w:vMerge w:val="continue"/>
                  <w:tcBorders>
                    <w:tl2br w:val="nil"/>
                    <w:tr2bl w:val="nil"/>
                  </w:tcBorders>
                  <w:noWrap w:val="0"/>
                  <w:vAlign w:val="center"/>
                </w:tcPr>
                <w:p w14:paraId="56C7E82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4A32B9A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cs="Times New Roman"/>
                      <w:b w:val="0"/>
                      <w:bCs w:val="0"/>
                      <w:color w:val="auto"/>
                      <w:sz w:val="21"/>
                      <w:szCs w:val="21"/>
                      <w:highlight w:val="none"/>
                      <w:vertAlign w:val="baseline"/>
                      <w:lang w:val="en-US" w:eastAsia="zh-CN"/>
                    </w:rPr>
                  </w:pPr>
                  <w:r>
                    <w:rPr>
                      <w:rFonts w:hint="eastAsia"/>
                      <w:color w:val="auto"/>
                      <w:sz w:val="21"/>
                      <w:szCs w:val="21"/>
                      <w:highlight w:val="none"/>
                      <w:lang w:val="en-US" w:eastAsia="zh-CN"/>
                    </w:rPr>
                    <w:t>循环冷却废水</w:t>
                  </w:r>
                </w:p>
              </w:tc>
              <w:tc>
                <w:tcPr>
                  <w:tcW w:w="2260" w:type="dxa"/>
                  <w:tcBorders>
                    <w:tl2br w:val="nil"/>
                    <w:tr2bl w:val="nil"/>
                  </w:tcBorders>
                  <w:noWrap w:val="0"/>
                  <w:vAlign w:val="center"/>
                </w:tcPr>
                <w:p w14:paraId="4EA89118">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实验仪器间接冷却用水</w:t>
                  </w:r>
                </w:p>
              </w:tc>
              <w:tc>
                <w:tcPr>
                  <w:tcW w:w="2717" w:type="dxa"/>
                  <w:tcBorders>
                    <w:tl2br w:val="nil"/>
                    <w:tr2bl w:val="nil"/>
                  </w:tcBorders>
                  <w:noWrap w:val="0"/>
                  <w:vAlign w:val="center"/>
                </w:tcPr>
                <w:p w14:paraId="047694EC">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COD、SS</w:t>
                  </w:r>
                </w:p>
              </w:tc>
            </w:tr>
            <w:tr w14:paraId="0B3F3C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06" w:type="dxa"/>
                  <w:gridSpan w:val="2"/>
                  <w:vMerge w:val="continue"/>
                  <w:tcBorders>
                    <w:tl2br w:val="nil"/>
                    <w:tr2bl w:val="nil"/>
                  </w:tcBorders>
                  <w:noWrap w:val="0"/>
                  <w:vAlign w:val="center"/>
                </w:tcPr>
                <w:p w14:paraId="73B7457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1274" w:type="dxa"/>
                  <w:tcBorders>
                    <w:tl2br w:val="nil"/>
                    <w:tr2bl w:val="nil"/>
                  </w:tcBorders>
                  <w:noWrap w:val="0"/>
                  <w:vAlign w:val="center"/>
                </w:tcPr>
                <w:p w14:paraId="2532145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生活污水</w:t>
                  </w:r>
                </w:p>
              </w:tc>
              <w:tc>
                <w:tcPr>
                  <w:tcW w:w="2260" w:type="dxa"/>
                  <w:tcBorders>
                    <w:tl2br w:val="nil"/>
                    <w:tr2bl w:val="nil"/>
                  </w:tcBorders>
                  <w:noWrap w:val="0"/>
                  <w:vAlign w:val="center"/>
                </w:tcPr>
                <w:p w14:paraId="72E16F7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员工生活办公</w:t>
                  </w:r>
                </w:p>
              </w:tc>
              <w:tc>
                <w:tcPr>
                  <w:tcW w:w="2717" w:type="dxa"/>
                  <w:tcBorders>
                    <w:tl2br w:val="nil"/>
                    <w:tr2bl w:val="nil"/>
                  </w:tcBorders>
                  <w:noWrap w:val="0"/>
                  <w:vAlign w:val="center"/>
                </w:tcPr>
                <w:p w14:paraId="25D6949B">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COD、BOD</w:t>
                  </w:r>
                  <w:r>
                    <w:rPr>
                      <w:rFonts w:hint="eastAsia" w:ascii="Times New Roman" w:hAnsi="Times New Roman" w:eastAsia="宋体" w:cs="Times New Roman"/>
                      <w:b w:val="0"/>
                      <w:bCs w:val="0"/>
                      <w:color w:val="auto"/>
                      <w:sz w:val="21"/>
                      <w:szCs w:val="21"/>
                      <w:highlight w:val="none"/>
                      <w:vertAlign w:val="subscript"/>
                      <w:lang w:val="en-US" w:eastAsia="zh-CN"/>
                    </w:rPr>
                    <w:t>5</w:t>
                  </w:r>
                  <w:r>
                    <w:rPr>
                      <w:rFonts w:hint="eastAsia" w:ascii="Times New Roman" w:hAnsi="Times New Roman" w:eastAsia="宋体" w:cs="Times New Roman"/>
                      <w:b w:val="0"/>
                      <w:bCs w:val="0"/>
                      <w:color w:val="auto"/>
                      <w:sz w:val="21"/>
                      <w:szCs w:val="21"/>
                      <w:highlight w:val="none"/>
                      <w:vertAlign w:val="baseline"/>
                      <w:lang w:val="en-US" w:eastAsia="zh-CN"/>
                    </w:rPr>
                    <w:t>、SS、</w:t>
                  </w:r>
                  <w:r>
                    <w:rPr>
                      <w:rFonts w:hint="eastAsia" w:cs="Times New Roman"/>
                      <w:b w:val="0"/>
                      <w:bCs w:val="0"/>
                      <w:color w:val="auto"/>
                      <w:sz w:val="21"/>
                      <w:szCs w:val="21"/>
                      <w:highlight w:val="none"/>
                      <w:vertAlign w:val="baseline"/>
                      <w:lang w:val="en-US" w:eastAsia="zh-CN"/>
                    </w:rPr>
                    <w:t>p</w:t>
                  </w:r>
                  <w:r>
                    <w:rPr>
                      <w:rFonts w:hint="eastAsia" w:ascii="Times New Roman" w:hAnsi="Times New Roman" w:eastAsia="宋体" w:cs="Times New Roman"/>
                      <w:b w:val="0"/>
                      <w:bCs w:val="0"/>
                      <w:color w:val="auto"/>
                      <w:sz w:val="21"/>
                      <w:szCs w:val="21"/>
                      <w:highlight w:val="none"/>
                      <w:vertAlign w:val="baseline"/>
                      <w:lang w:val="en-US" w:eastAsia="zh-CN"/>
                    </w:rPr>
                    <w:t>H、NH</w:t>
                  </w:r>
                  <w:r>
                    <w:rPr>
                      <w:rFonts w:hint="eastAsia" w:ascii="Times New Roman" w:hAnsi="Times New Roman" w:eastAsia="宋体" w:cs="Times New Roman"/>
                      <w:b w:val="0"/>
                      <w:bCs w:val="0"/>
                      <w:color w:val="auto"/>
                      <w:sz w:val="21"/>
                      <w:szCs w:val="21"/>
                      <w:highlight w:val="none"/>
                      <w:vertAlign w:val="subscript"/>
                      <w:lang w:val="en-US" w:eastAsia="zh-CN"/>
                    </w:rPr>
                    <w:t>3</w:t>
                  </w:r>
                  <w:r>
                    <w:rPr>
                      <w:rFonts w:hint="eastAsia" w:ascii="Times New Roman" w:hAnsi="Times New Roman" w:eastAsia="宋体" w:cs="Times New Roman"/>
                      <w:b w:val="0"/>
                      <w:bCs w:val="0"/>
                      <w:color w:val="auto"/>
                      <w:sz w:val="21"/>
                      <w:szCs w:val="21"/>
                      <w:highlight w:val="none"/>
                      <w:vertAlign w:val="baseline"/>
                      <w:lang w:val="en-US" w:eastAsia="zh-CN"/>
                    </w:rPr>
                    <w:t>-N</w:t>
                  </w:r>
                  <w:r>
                    <w:rPr>
                      <w:rFonts w:hint="eastAsia" w:cs="Times New Roman"/>
                      <w:b w:val="0"/>
                      <w:bCs w:val="0"/>
                      <w:color w:val="auto"/>
                      <w:sz w:val="21"/>
                      <w:szCs w:val="21"/>
                      <w:highlight w:val="none"/>
                      <w:vertAlign w:val="baseline"/>
                      <w:lang w:val="en-US" w:eastAsia="zh-CN"/>
                    </w:rPr>
                    <w:t>、TN、TP</w:t>
                  </w:r>
                </w:p>
              </w:tc>
            </w:tr>
            <w:tr w14:paraId="79EF90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506" w:type="dxa"/>
                  <w:gridSpan w:val="2"/>
                  <w:vMerge w:val="continue"/>
                  <w:tcBorders>
                    <w:tl2br w:val="nil"/>
                    <w:tr2bl w:val="nil"/>
                  </w:tcBorders>
                  <w:noWrap w:val="0"/>
                  <w:vAlign w:val="center"/>
                </w:tcPr>
                <w:p w14:paraId="4A61E8F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p>
              </w:tc>
              <w:tc>
                <w:tcPr>
                  <w:tcW w:w="1274" w:type="dxa"/>
                  <w:tcBorders>
                    <w:tl2br w:val="nil"/>
                    <w:tr2bl w:val="nil"/>
                  </w:tcBorders>
                  <w:noWrap w:val="0"/>
                  <w:vAlign w:val="center"/>
                </w:tcPr>
                <w:p w14:paraId="589E5C5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纯水机尾水</w:t>
                  </w:r>
                </w:p>
              </w:tc>
              <w:tc>
                <w:tcPr>
                  <w:tcW w:w="2260" w:type="dxa"/>
                  <w:tcBorders>
                    <w:tl2br w:val="nil"/>
                    <w:tr2bl w:val="nil"/>
                  </w:tcBorders>
                  <w:noWrap w:val="0"/>
                  <w:vAlign w:val="center"/>
                </w:tcPr>
                <w:p w14:paraId="5B0B1D5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纯水制备</w:t>
                  </w:r>
                </w:p>
              </w:tc>
              <w:tc>
                <w:tcPr>
                  <w:tcW w:w="2717" w:type="dxa"/>
                  <w:tcBorders>
                    <w:tl2br w:val="nil"/>
                    <w:tr2bl w:val="nil"/>
                  </w:tcBorders>
                  <w:noWrap w:val="0"/>
                  <w:vAlign w:val="center"/>
                </w:tcPr>
                <w:p w14:paraId="10A9EF8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COD、SS</w:t>
                  </w:r>
                </w:p>
              </w:tc>
            </w:tr>
            <w:tr w14:paraId="378BD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780" w:type="dxa"/>
                  <w:gridSpan w:val="3"/>
                  <w:tcBorders>
                    <w:tl2br w:val="nil"/>
                    <w:tr2bl w:val="nil"/>
                  </w:tcBorders>
                  <w:noWrap w:val="0"/>
                  <w:vAlign w:val="center"/>
                </w:tcPr>
                <w:p w14:paraId="13908F95">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噪声</w:t>
                  </w:r>
                </w:p>
              </w:tc>
              <w:tc>
                <w:tcPr>
                  <w:tcW w:w="2260" w:type="dxa"/>
                  <w:tcBorders>
                    <w:tl2br w:val="nil"/>
                    <w:tr2bl w:val="nil"/>
                  </w:tcBorders>
                  <w:noWrap w:val="0"/>
                  <w:vAlign w:val="center"/>
                </w:tcPr>
                <w:p w14:paraId="546A3F7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循环水泵、冷却泵、</w:t>
                  </w:r>
                  <w:r>
                    <w:rPr>
                      <w:rFonts w:hint="eastAsia" w:cs="Times New Roman"/>
                      <w:b w:val="0"/>
                      <w:bCs w:val="0"/>
                      <w:color w:val="auto"/>
                      <w:sz w:val="21"/>
                      <w:szCs w:val="21"/>
                      <w:highlight w:val="none"/>
                      <w:vertAlign w:val="baseline"/>
                      <w:lang w:val="en-US" w:eastAsia="zh-CN"/>
                    </w:rPr>
                    <w:t>风机</w:t>
                  </w:r>
                  <w:r>
                    <w:rPr>
                      <w:rFonts w:hint="eastAsia" w:ascii="Times New Roman" w:hAnsi="Times New Roman" w:eastAsia="宋体" w:cs="Times New Roman"/>
                      <w:b w:val="0"/>
                      <w:bCs w:val="0"/>
                      <w:color w:val="auto"/>
                      <w:sz w:val="21"/>
                      <w:szCs w:val="21"/>
                      <w:highlight w:val="none"/>
                      <w:vertAlign w:val="baseline"/>
                      <w:lang w:val="en-US" w:eastAsia="zh-CN"/>
                    </w:rPr>
                    <w:t>等</w:t>
                  </w:r>
                </w:p>
              </w:tc>
              <w:tc>
                <w:tcPr>
                  <w:tcW w:w="2717" w:type="dxa"/>
                  <w:tcBorders>
                    <w:tl2br w:val="nil"/>
                    <w:tr2bl w:val="nil"/>
                  </w:tcBorders>
                  <w:noWrap w:val="0"/>
                  <w:vAlign w:val="center"/>
                </w:tcPr>
                <w:p w14:paraId="0F009C6B">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设备运转</w:t>
                  </w:r>
                  <w:r>
                    <w:rPr>
                      <w:rFonts w:hint="eastAsia" w:ascii="Times New Roman" w:hAnsi="Times New Roman" w:eastAsia="宋体" w:cs="Times New Roman"/>
                      <w:b w:val="0"/>
                      <w:bCs w:val="0"/>
                      <w:color w:val="auto"/>
                      <w:sz w:val="21"/>
                      <w:szCs w:val="21"/>
                      <w:highlight w:val="none"/>
                      <w:vertAlign w:val="baseline"/>
                      <w:lang w:val="en-US" w:eastAsia="zh-CN"/>
                    </w:rPr>
                    <w:t>噪声</w:t>
                  </w:r>
                </w:p>
              </w:tc>
            </w:tr>
            <w:tr w14:paraId="25C645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411" w:type="dxa"/>
                  <w:vMerge w:val="restart"/>
                  <w:tcBorders>
                    <w:tl2br w:val="nil"/>
                    <w:tr2bl w:val="nil"/>
                  </w:tcBorders>
                  <w:noWrap w:val="0"/>
                  <w:vAlign w:val="center"/>
                </w:tcPr>
                <w:p w14:paraId="12C1C27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固废</w:t>
                  </w:r>
                </w:p>
              </w:tc>
              <w:tc>
                <w:tcPr>
                  <w:tcW w:w="1095" w:type="dxa"/>
                  <w:vMerge w:val="restart"/>
                  <w:tcBorders>
                    <w:tl2br w:val="nil"/>
                    <w:tr2bl w:val="nil"/>
                  </w:tcBorders>
                  <w:noWrap w:val="0"/>
                  <w:vAlign w:val="center"/>
                </w:tcPr>
                <w:p w14:paraId="3544796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危险废物</w:t>
                  </w:r>
                </w:p>
              </w:tc>
              <w:tc>
                <w:tcPr>
                  <w:tcW w:w="1274" w:type="dxa"/>
                  <w:tcBorders>
                    <w:tl2br w:val="nil"/>
                    <w:tr2bl w:val="nil"/>
                  </w:tcBorders>
                  <w:noWrap w:val="0"/>
                  <w:vAlign w:val="center"/>
                </w:tcPr>
                <w:p w14:paraId="4CE4A7E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实验废液</w:t>
                  </w:r>
                </w:p>
              </w:tc>
              <w:tc>
                <w:tcPr>
                  <w:tcW w:w="2260" w:type="dxa"/>
                  <w:tcBorders>
                    <w:tl2br w:val="nil"/>
                    <w:tr2bl w:val="nil"/>
                  </w:tcBorders>
                  <w:noWrap w:val="0"/>
                  <w:vAlign w:val="center"/>
                </w:tcPr>
                <w:p w14:paraId="2DE75D2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实验研发过程</w:t>
                  </w:r>
                </w:p>
              </w:tc>
              <w:tc>
                <w:tcPr>
                  <w:tcW w:w="2717" w:type="dxa"/>
                  <w:tcBorders>
                    <w:tl2br w:val="nil"/>
                    <w:tr2bl w:val="nil"/>
                  </w:tcBorders>
                  <w:noWrap w:val="0"/>
                  <w:vAlign w:val="center"/>
                </w:tcPr>
                <w:p w14:paraId="0E0C246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color w:val="auto"/>
                      <w:sz w:val="21"/>
                      <w:szCs w:val="21"/>
                      <w:highlight w:val="none"/>
                    </w:rPr>
                    <w:t>进入研发物料产生的废液、辅助反应（溶解、清洗、萃取等）等产生废试剂等以及实验器皿第一、二、三、四次清洗废液</w:t>
                  </w:r>
                </w:p>
              </w:tc>
            </w:tr>
            <w:tr w14:paraId="2B72C2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11" w:type="dxa"/>
                  <w:vMerge w:val="continue"/>
                  <w:tcBorders>
                    <w:tl2br w:val="nil"/>
                    <w:tr2bl w:val="nil"/>
                  </w:tcBorders>
                  <w:noWrap w:val="0"/>
                  <w:vAlign w:val="center"/>
                </w:tcPr>
                <w:p w14:paraId="4A7ACE9C">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cs="Times New Roman"/>
                      <w:b/>
                      <w:bCs/>
                      <w:color w:val="auto"/>
                      <w:sz w:val="21"/>
                      <w:szCs w:val="21"/>
                      <w:highlight w:val="none"/>
                      <w:vertAlign w:val="baseline"/>
                      <w:lang w:val="en-US" w:eastAsia="zh-CN"/>
                    </w:rPr>
                  </w:pPr>
                </w:p>
              </w:tc>
              <w:tc>
                <w:tcPr>
                  <w:tcW w:w="1095" w:type="dxa"/>
                  <w:vMerge w:val="continue"/>
                  <w:tcBorders>
                    <w:tl2br w:val="nil"/>
                    <w:tr2bl w:val="nil"/>
                  </w:tcBorders>
                  <w:noWrap w:val="0"/>
                  <w:vAlign w:val="center"/>
                </w:tcPr>
                <w:p w14:paraId="1079EB7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40517BC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废实验产物</w:t>
                  </w:r>
                </w:p>
              </w:tc>
              <w:tc>
                <w:tcPr>
                  <w:tcW w:w="2260" w:type="dxa"/>
                  <w:tcBorders>
                    <w:tl2br w:val="nil"/>
                    <w:tr2bl w:val="nil"/>
                  </w:tcBorders>
                  <w:noWrap w:val="0"/>
                  <w:vAlign w:val="center"/>
                </w:tcPr>
                <w:p w14:paraId="1F3E42D8">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实验研发过程</w:t>
                  </w:r>
                </w:p>
              </w:tc>
              <w:tc>
                <w:tcPr>
                  <w:tcW w:w="2717" w:type="dxa"/>
                  <w:tcBorders>
                    <w:tl2br w:val="nil"/>
                    <w:tr2bl w:val="nil"/>
                  </w:tcBorders>
                  <w:noWrap w:val="0"/>
                  <w:vAlign w:val="center"/>
                </w:tcPr>
                <w:p w14:paraId="05BD2BB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含重金属、有毒有害有机废液</w:t>
                  </w:r>
                </w:p>
              </w:tc>
            </w:tr>
            <w:tr w14:paraId="01FFF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411" w:type="dxa"/>
                  <w:vMerge w:val="continue"/>
                  <w:tcBorders>
                    <w:tl2br w:val="nil"/>
                    <w:tr2bl w:val="nil"/>
                  </w:tcBorders>
                  <w:noWrap w:val="0"/>
                  <w:vAlign w:val="center"/>
                </w:tcPr>
                <w:p w14:paraId="59FA5580">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095" w:type="dxa"/>
                  <w:vMerge w:val="continue"/>
                  <w:tcBorders>
                    <w:tl2br w:val="nil"/>
                    <w:tr2bl w:val="nil"/>
                  </w:tcBorders>
                  <w:noWrap w:val="0"/>
                  <w:vAlign w:val="center"/>
                </w:tcPr>
                <w:p w14:paraId="50C9C63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66C0D47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沾染化学试剂的一次性实验物品等</w:t>
                  </w:r>
                </w:p>
              </w:tc>
              <w:tc>
                <w:tcPr>
                  <w:tcW w:w="2260" w:type="dxa"/>
                  <w:tcBorders>
                    <w:tl2br w:val="nil"/>
                    <w:tr2bl w:val="nil"/>
                  </w:tcBorders>
                  <w:noWrap w:val="0"/>
                  <w:vAlign w:val="center"/>
                </w:tcPr>
                <w:p w14:paraId="6D0F6DC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实验研发过程</w:t>
                  </w:r>
                </w:p>
              </w:tc>
              <w:tc>
                <w:tcPr>
                  <w:tcW w:w="2717" w:type="dxa"/>
                  <w:tcBorders>
                    <w:tl2br w:val="nil"/>
                    <w:tr2bl w:val="nil"/>
                  </w:tcBorders>
                  <w:noWrap w:val="0"/>
                  <w:vAlign w:val="center"/>
                </w:tcPr>
                <w:p w14:paraId="04F05A4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sz w:val="21"/>
                      <w:szCs w:val="21"/>
                      <w:highlight w:val="none"/>
                      <w:vertAlign w:val="baseline"/>
                      <w:lang w:val="en-US" w:eastAsia="zh-CN"/>
                    </w:rPr>
                    <w:t>沾染</w:t>
                  </w:r>
                  <w:r>
                    <w:rPr>
                      <w:rFonts w:hint="eastAsia" w:cs="Times New Roman"/>
                      <w:b w:val="0"/>
                      <w:bCs w:val="0"/>
                      <w:color w:val="auto"/>
                      <w:sz w:val="21"/>
                      <w:szCs w:val="21"/>
                      <w:highlight w:val="none"/>
                      <w:vertAlign w:val="baseline"/>
                      <w:lang w:val="en-US" w:eastAsia="zh-CN"/>
                    </w:rPr>
                    <w:t>有机</w:t>
                  </w:r>
                  <w:r>
                    <w:rPr>
                      <w:rFonts w:hint="eastAsia" w:ascii="Times New Roman" w:hAnsi="Times New Roman" w:eastAsia="宋体" w:cs="Times New Roman"/>
                      <w:b w:val="0"/>
                      <w:bCs w:val="0"/>
                      <w:color w:val="auto"/>
                      <w:sz w:val="21"/>
                      <w:szCs w:val="21"/>
                      <w:highlight w:val="none"/>
                      <w:vertAlign w:val="baseline"/>
                      <w:lang w:val="en-US" w:eastAsia="zh-CN"/>
                    </w:rPr>
                    <w:t>溶剂</w:t>
                  </w:r>
                  <w:r>
                    <w:rPr>
                      <w:rFonts w:hint="eastAsia" w:cs="Times New Roman"/>
                      <w:b w:val="0"/>
                      <w:bCs w:val="0"/>
                      <w:color w:val="auto"/>
                      <w:sz w:val="21"/>
                      <w:szCs w:val="21"/>
                      <w:highlight w:val="none"/>
                      <w:vertAlign w:val="baseline"/>
                      <w:lang w:val="en-US" w:eastAsia="zh-CN"/>
                    </w:rPr>
                    <w:t>、矿物油、废酸、废碱，具有危险特性的残留样品的</w:t>
                  </w:r>
                  <w:r>
                    <w:rPr>
                      <w:rFonts w:hint="eastAsia" w:ascii="Times New Roman" w:hAnsi="Times New Roman" w:eastAsia="宋体" w:cs="Times New Roman"/>
                      <w:b w:val="0"/>
                      <w:bCs w:val="0"/>
                      <w:color w:val="auto"/>
                      <w:sz w:val="21"/>
                      <w:szCs w:val="21"/>
                      <w:highlight w:val="none"/>
                      <w:vertAlign w:val="baseline"/>
                      <w:lang w:val="en-US" w:eastAsia="zh-CN"/>
                    </w:rPr>
                    <w:t>一次性实验用品、包装物和过滤吸附介质</w:t>
                  </w:r>
                </w:p>
              </w:tc>
            </w:tr>
            <w:tr w14:paraId="7A3C76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11" w:type="dxa"/>
                  <w:vMerge w:val="continue"/>
                  <w:tcBorders>
                    <w:tl2br w:val="nil"/>
                    <w:tr2bl w:val="nil"/>
                  </w:tcBorders>
                  <w:noWrap w:val="0"/>
                  <w:vAlign w:val="center"/>
                </w:tcPr>
                <w:p w14:paraId="3527D336">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095" w:type="dxa"/>
                  <w:vMerge w:val="continue"/>
                  <w:tcBorders>
                    <w:tl2br w:val="nil"/>
                    <w:tr2bl w:val="nil"/>
                  </w:tcBorders>
                  <w:noWrap w:val="0"/>
                  <w:vAlign w:val="center"/>
                </w:tcPr>
                <w:p w14:paraId="583C846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0E9CDC07">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废活性炭</w:t>
                  </w:r>
                </w:p>
              </w:tc>
              <w:tc>
                <w:tcPr>
                  <w:tcW w:w="2260" w:type="dxa"/>
                  <w:tcBorders>
                    <w:tl2br w:val="nil"/>
                    <w:tr2bl w:val="nil"/>
                  </w:tcBorders>
                  <w:noWrap w:val="0"/>
                  <w:vAlign w:val="center"/>
                </w:tcPr>
                <w:p w14:paraId="6936F328">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有机废气处理</w:t>
                  </w:r>
                </w:p>
              </w:tc>
              <w:tc>
                <w:tcPr>
                  <w:tcW w:w="2717" w:type="dxa"/>
                  <w:tcBorders>
                    <w:tl2br w:val="nil"/>
                    <w:tr2bl w:val="nil"/>
                  </w:tcBorders>
                  <w:noWrap w:val="0"/>
                  <w:vAlign w:val="center"/>
                </w:tcPr>
                <w:p w14:paraId="7AFF4BBA">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VOCs治理过程产生的废活性炭</w:t>
                  </w:r>
                </w:p>
              </w:tc>
            </w:tr>
            <w:tr w14:paraId="1D1FE4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11" w:type="dxa"/>
                  <w:vMerge w:val="continue"/>
                  <w:tcBorders>
                    <w:tl2br w:val="nil"/>
                    <w:tr2bl w:val="nil"/>
                  </w:tcBorders>
                  <w:noWrap w:val="0"/>
                  <w:vAlign w:val="center"/>
                </w:tcPr>
                <w:p w14:paraId="758D2B1E">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095" w:type="dxa"/>
                  <w:vMerge w:val="continue"/>
                  <w:tcBorders>
                    <w:tl2br w:val="nil"/>
                    <w:tr2bl w:val="nil"/>
                  </w:tcBorders>
                  <w:noWrap w:val="0"/>
                  <w:vAlign w:val="center"/>
                </w:tcPr>
                <w:p w14:paraId="771C747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7231EB43">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废SDG</w:t>
                  </w:r>
                </w:p>
              </w:tc>
              <w:tc>
                <w:tcPr>
                  <w:tcW w:w="2260" w:type="dxa"/>
                  <w:tcBorders>
                    <w:tl2br w:val="nil"/>
                    <w:tr2bl w:val="nil"/>
                  </w:tcBorders>
                  <w:noWrap w:val="0"/>
                  <w:vAlign w:val="center"/>
                </w:tcPr>
                <w:p w14:paraId="38F134A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无机废气处理</w:t>
                  </w:r>
                </w:p>
              </w:tc>
              <w:tc>
                <w:tcPr>
                  <w:tcW w:w="2717" w:type="dxa"/>
                  <w:tcBorders>
                    <w:tl2br w:val="nil"/>
                    <w:tr2bl w:val="nil"/>
                  </w:tcBorders>
                  <w:noWrap w:val="0"/>
                  <w:vAlign w:val="center"/>
                </w:tcPr>
                <w:p w14:paraId="36F6FFA5">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HCl、NO</w:t>
                  </w:r>
                  <w:r>
                    <w:rPr>
                      <w:rFonts w:hint="eastAsia" w:cs="Times New Roman"/>
                      <w:b w:val="0"/>
                      <w:bCs w:val="0"/>
                      <w:color w:val="auto"/>
                      <w:sz w:val="21"/>
                      <w:szCs w:val="21"/>
                      <w:highlight w:val="none"/>
                      <w:vertAlign w:val="subscript"/>
                      <w:lang w:val="en-US" w:eastAsia="zh-CN"/>
                    </w:rPr>
                    <w:t>X</w:t>
                  </w:r>
                  <w:r>
                    <w:rPr>
                      <w:rFonts w:hint="eastAsia" w:cs="Times New Roman"/>
                      <w:b w:val="0"/>
                      <w:bCs w:val="0"/>
                      <w:color w:val="auto"/>
                      <w:sz w:val="21"/>
                      <w:szCs w:val="21"/>
                      <w:highlight w:val="none"/>
                      <w:vertAlign w:val="baseline"/>
                      <w:lang w:val="en-US" w:eastAsia="zh-CN"/>
                    </w:rPr>
                    <w:t>治理过程产生的废SDG吸附剂</w:t>
                  </w:r>
                </w:p>
              </w:tc>
            </w:tr>
            <w:tr w14:paraId="1DF1B4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11" w:type="dxa"/>
                  <w:vMerge w:val="continue"/>
                  <w:tcBorders>
                    <w:tl2br w:val="nil"/>
                    <w:tr2bl w:val="nil"/>
                  </w:tcBorders>
                  <w:noWrap w:val="0"/>
                  <w:vAlign w:val="center"/>
                </w:tcPr>
                <w:p w14:paraId="1D45407C">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095" w:type="dxa"/>
                  <w:vMerge w:val="continue"/>
                  <w:tcBorders>
                    <w:tl2br w:val="nil"/>
                    <w:tr2bl w:val="nil"/>
                  </w:tcBorders>
                  <w:noWrap w:val="0"/>
                  <w:vAlign w:val="center"/>
                </w:tcPr>
                <w:p w14:paraId="0F5159D2">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274" w:type="dxa"/>
                  <w:tcBorders>
                    <w:tl2br w:val="nil"/>
                    <w:tr2bl w:val="nil"/>
                  </w:tcBorders>
                  <w:noWrap w:val="0"/>
                  <w:vAlign w:val="center"/>
                </w:tcPr>
                <w:p w14:paraId="25ECABC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废水处理污泥</w:t>
                  </w:r>
                </w:p>
              </w:tc>
              <w:tc>
                <w:tcPr>
                  <w:tcW w:w="2260" w:type="dxa"/>
                  <w:tcBorders>
                    <w:tl2br w:val="nil"/>
                    <w:tr2bl w:val="nil"/>
                  </w:tcBorders>
                  <w:noWrap w:val="0"/>
                  <w:vAlign w:val="center"/>
                </w:tcPr>
                <w:p w14:paraId="690C3430">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污水处理</w:t>
                  </w:r>
                </w:p>
              </w:tc>
              <w:tc>
                <w:tcPr>
                  <w:tcW w:w="2717" w:type="dxa"/>
                  <w:tcBorders>
                    <w:tl2br w:val="nil"/>
                    <w:tr2bl w:val="nil"/>
                  </w:tcBorders>
                  <w:noWrap w:val="0"/>
                  <w:vAlign w:val="center"/>
                </w:tcPr>
                <w:p w14:paraId="590214B6">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废水处理设施产生的污泥</w:t>
                  </w:r>
                </w:p>
              </w:tc>
            </w:tr>
            <w:tr w14:paraId="56000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11" w:type="dxa"/>
                  <w:vMerge w:val="continue"/>
                  <w:tcBorders>
                    <w:tl2br w:val="nil"/>
                    <w:tr2bl w:val="nil"/>
                  </w:tcBorders>
                  <w:noWrap w:val="0"/>
                  <w:vAlign w:val="center"/>
                </w:tcPr>
                <w:p w14:paraId="3A5BC336">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095" w:type="dxa"/>
                  <w:tcBorders>
                    <w:tl2br w:val="nil"/>
                    <w:tr2bl w:val="nil"/>
                  </w:tcBorders>
                  <w:noWrap w:val="0"/>
                  <w:vAlign w:val="center"/>
                </w:tcPr>
                <w:p w14:paraId="245CE399">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生活垃圾</w:t>
                  </w:r>
                </w:p>
              </w:tc>
              <w:tc>
                <w:tcPr>
                  <w:tcW w:w="1274" w:type="dxa"/>
                  <w:tcBorders>
                    <w:tl2br w:val="nil"/>
                    <w:tr2bl w:val="nil"/>
                  </w:tcBorders>
                  <w:noWrap w:val="0"/>
                  <w:vAlign w:val="center"/>
                </w:tcPr>
                <w:p w14:paraId="78C962C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生活垃圾</w:t>
                  </w:r>
                </w:p>
              </w:tc>
              <w:tc>
                <w:tcPr>
                  <w:tcW w:w="2260" w:type="dxa"/>
                  <w:tcBorders>
                    <w:tl2br w:val="nil"/>
                    <w:tr2bl w:val="nil"/>
                  </w:tcBorders>
                  <w:noWrap w:val="0"/>
                  <w:vAlign w:val="center"/>
                </w:tcPr>
                <w:p w14:paraId="1C71188F">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员工生活办公</w:t>
                  </w:r>
                </w:p>
              </w:tc>
              <w:tc>
                <w:tcPr>
                  <w:tcW w:w="2717" w:type="dxa"/>
                  <w:tcBorders>
                    <w:tl2br w:val="nil"/>
                    <w:tr2bl w:val="nil"/>
                  </w:tcBorders>
                  <w:noWrap w:val="0"/>
                  <w:vAlign w:val="center"/>
                </w:tcPr>
                <w:p w14:paraId="3A11878D">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生活垃圾</w:t>
                  </w:r>
                </w:p>
              </w:tc>
            </w:tr>
            <w:tr w14:paraId="65D09C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411" w:type="dxa"/>
                  <w:vMerge w:val="continue"/>
                  <w:tcBorders>
                    <w:tl2br w:val="nil"/>
                    <w:tr2bl w:val="nil"/>
                  </w:tcBorders>
                  <w:noWrap w:val="0"/>
                  <w:vAlign w:val="center"/>
                </w:tcPr>
                <w:p w14:paraId="770B9499">
                  <w:pPr>
                    <w:pStyle w:val="73"/>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p>
              </w:tc>
              <w:tc>
                <w:tcPr>
                  <w:tcW w:w="1095" w:type="dxa"/>
                  <w:tcBorders>
                    <w:tl2br w:val="nil"/>
                    <w:tr2bl w:val="nil"/>
                  </w:tcBorders>
                  <w:noWrap w:val="0"/>
                  <w:vAlign w:val="center"/>
                </w:tcPr>
                <w:p w14:paraId="6755BA0E">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cs="Times New Roman"/>
                      <w:b/>
                      <w:bCs/>
                      <w:color w:val="auto"/>
                      <w:sz w:val="21"/>
                      <w:szCs w:val="21"/>
                      <w:highlight w:val="none"/>
                      <w:vertAlign w:val="baseline"/>
                      <w:lang w:val="en-US" w:eastAsia="zh-CN"/>
                    </w:rPr>
                    <w:t>一般固废</w:t>
                  </w:r>
                </w:p>
              </w:tc>
              <w:tc>
                <w:tcPr>
                  <w:tcW w:w="1274" w:type="dxa"/>
                  <w:tcBorders>
                    <w:tl2br w:val="nil"/>
                    <w:tr2bl w:val="nil"/>
                  </w:tcBorders>
                  <w:noWrap w:val="0"/>
                  <w:vAlign w:val="center"/>
                </w:tcPr>
                <w:p w14:paraId="6C70FA9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废包装材料</w:t>
                  </w:r>
                </w:p>
              </w:tc>
              <w:tc>
                <w:tcPr>
                  <w:tcW w:w="2260" w:type="dxa"/>
                  <w:tcBorders>
                    <w:tl2br w:val="nil"/>
                    <w:tr2bl w:val="nil"/>
                  </w:tcBorders>
                  <w:noWrap w:val="0"/>
                  <w:vAlign w:val="center"/>
                </w:tcPr>
                <w:p w14:paraId="24602E74">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员工生活办公、试剂外包装材料</w:t>
                  </w:r>
                </w:p>
              </w:tc>
              <w:tc>
                <w:tcPr>
                  <w:tcW w:w="2717" w:type="dxa"/>
                  <w:tcBorders>
                    <w:tl2br w:val="nil"/>
                    <w:tr2bl w:val="nil"/>
                  </w:tcBorders>
                  <w:noWrap w:val="0"/>
                  <w:vAlign w:val="center"/>
                </w:tcPr>
                <w:p w14:paraId="2A595851">
                  <w:pPr>
                    <w:pStyle w:val="73"/>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办公废包装材料与试剂外包装材料</w:t>
                  </w:r>
                </w:p>
              </w:tc>
            </w:tr>
          </w:tbl>
          <w:p w14:paraId="51C258A9">
            <w:pPr>
              <w:bidi w:val="0"/>
              <w:jc w:val="left"/>
              <w:rPr>
                <w:rFonts w:hint="default"/>
                <w:color w:val="auto"/>
                <w:highlight w:val="none"/>
                <w:lang w:val="en-US" w:eastAsia="zh-CN"/>
              </w:rPr>
            </w:pPr>
          </w:p>
        </w:tc>
      </w:tr>
      <w:tr w14:paraId="69A554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85" w:hRule="atLeast"/>
          <w:jc w:val="center"/>
        </w:trPr>
        <w:tc>
          <w:tcPr>
            <w:tcW w:w="713" w:type="dxa"/>
            <w:noWrap w:val="0"/>
            <w:vAlign w:val="center"/>
          </w:tcPr>
          <w:p w14:paraId="2E712E6A">
            <w:pPr>
              <w:bidi w:val="0"/>
              <w:rPr>
                <w:rFonts w:hint="default" w:ascii="Times New Roman" w:hAnsi="Times New Roman" w:cs="Times New Roman"/>
                <w:color w:val="auto"/>
                <w:szCs w:val="24"/>
                <w:highlight w:val="none"/>
                <w:lang w:val="en-US" w:eastAsia="zh-CN"/>
              </w:rPr>
            </w:pPr>
            <w:r>
              <w:rPr>
                <w:rFonts w:hint="default"/>
                <w:b/>
                <w:bCs/>
                <w:color w:val="auto"/>
                <w:sz w:val="24"/>
                <w:szCs w:val="32"/>
                <w:highlight w:val="none"/>
                <w:lang w:val="en-US" w:eastAsia="zh-CN"/>
              </w:rPr>
              <w:t>与项目有关的原有环境污染问题</w:t>
            </w:r>
          </w:p>
        </w:tc>
        <w:tc>
          <w:tcPr>
            <w:tcW w:w="8137" w:type="dxa"/>
            <w:noWrap w:val="0"/>
            <w:vAlign w:val="center"/>
          </w:tcPr>
          <w:p w14:paraId="399E353B">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0" w:firstLineChars="0"/>
              <w:jc w:val="left"/>
              <w:textAlignment w:val="auto"/>
              <w:rPr>
                <w:rFonts w:hint="default"/>
                <w:b/>
                <w:bCs/>
                <w:color w:val="auto"/>
                <w:sz w:val="24"/>
                <w:highlight w:val="none"/>
              </w:rPr>
            </w:pPr>
            <w:r>
              <w:rPr>
                <w:rFonts w:hint="eastAsia"/>
                <w:b/>
                <w:bCs/>
                <w:color w:val="auto"/>
                <w:sz w:val="24"/>
                <w:highlight w:val="none"/>
                <w:lang w:val="en-US" w:eastAsia="zh-CN"/>
              </w:rPr>
              <w:t>1、</w:t>
            </w:r>
            <w:r>
              <w:rPr>
                <w:rFonts w:hint="default"/>
                <w:b/>
                <w:bCs/>
                <w:color w:val="auto"/>
                <w:sz w:val="24"/>
                <w:highlight w:val="none"/>
              </w:rPr>
              <w:t>现有工程环保手续履行情况</w:t>
            </w:r>
          </w:p>
          <w:p w14:paraId="4D9294D5">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default"/>
                <w:color w:val="auto"/>
                <w:sz w:val="24"/>
                <w:highlight w:val="none"/>
              </w:rPr>
            </w:pPr>
            <w:r>
              <w:rPr>
                <w:rFonts w:hint="default"/>
                <w:color w:val="auto"/>
                <w:sz w:val="24"/>
                <w:highlight w:val="none"/>
              </w:rPr>
              <w:t>陕西君境迈德生物医药科技有限公司</w:t>
            </w:r>
            <w:r>
              <w:rPr>
                <w:rFonts w:hint="eastAsia"/>
                <w:color w:val="auto"/>
                <w:sz w:val="24"/>
                <w:highlight w:val="none"/>
                <w:lang w:val="en-US" w:eastAsia="zh-CN"/>
              </w:rPr>
              <w:t>于2022年投资1000万于</w:t>
            </w:r>
            <w:r>
              <w:rPr>
                <w:rFonts w:hint="eastAsia" w:ascii="Times New Roman" w:hAnsi="Times New Roman" w:eastAsia="宋体" w:cs="Times New Roman"/>
                <w:b w:val="0"/>
                <w:bCs w:val="0"/>
                <w:color w:val="auto"/>
                <w:sz w:val="24"/>
                <w:highlight w:val="none"/>
                <w:lang w:val="en-US" w:eastAsia="zh-CN"/>
              </w:rPr>
              <w:t>西咸新区沣东新城石化大道西段106号伟合沣东科技产业园36#厂房10601、10602户，租赁</w:t>
            </w:r>
            <w:r>
              <w:rPr>
                <w:rFonts w:hint="eastAsia" w:cs="Times New Roman"/>
                <w:b w:val="0"/>
                <w:bCs w:val="0"/>
                <w:color w:val="auto"/>
                <w:sz w:val="24"/>
                <w:highlight w:val="none"/>
                <w:lang w:val="en-US" w:eastAsia="zh-CN"/>
              </w:rPr>
              <w:t>空置厂房建设研发实验室项目，于2022年取得</w:t>
            </w:r>
            <w:r>
              <w:rPr>
                <w:rFonts w:hint="eastAsia"/>
                <w:color w:val="auto"/>
                <w:sz w:val="24"/>
                <w:highlight w:val="none"/>
              </w:rPr>
              <w:t>《陕西君境迈德生物医药科技有限公司研发实验室项目》</w:t>
            </w:r>
            <w:r>
              <w:rPr>
                <w:rFonts w:hint="eastAsia"/>
                <w:color w:val="auto"/>
                <w:sz w:val="24"/>
                <w:highlight w:val="none"/>
                <w:lang w:val="en-US" w:eastAsia="zh-CN"/>
              </w:rPr>
              <w:t>环评批复（</w:t>
            </w:r>
            <w:r>
              <w:rPr>
                <w:rFonts w:hint="eastAsia"/>
                <w:color w:val="auto"/>
                <w:sz w:val="24"/>
                <w:highlight w:val="none"/>
              </w:rPr>
              <w:t>西咸沣东审准﹝2022﹞007号</w:t>
            </w:r>
            <w:r>
              <w:rPr>
                <w:rFonts w:hint="eastAsia"/>
                <w:color w:val="auto"/>
                <w:sz w:val="24"/>
                <w:highlight w:val="none"/>
                <w:lang w:val="en-US" w:eastAsia="zh-CN"/>
              </w:rPr>
              <w:t>）。</w:t>
            </w:r>
            <w:r>
              <w:rPr>
                <w:rFonts w:hint="default"/>
                <w:color w:val="auto"/>
                <w:sz w:val="24"/>
                <w:highlight w:val="none"/>
              </w:rPr>
              <w:t>2022年</w:t>
            </w:r>
            <w:r>
              <w:rPr>
                <w:rFonts w:hint="eastAsia"/>
                <w:color w:val="auto"/>
                <w:sz w:val="24"/>
                <w:highlight w:val="none"/>
                <w:lang w:eastAsia="zh-CN"/>
              </w:rPr>
              <w:t>1</w:t>
            </w:r>
            <w:r>
              <w:rPr>
                <w:rFonts w:hint="eastAsia"/>
                <w:color w:val="auto"/>
                <w:sz w:val="24"/>
                <w:highlight w:val="none"/>
                <w:lang w:val="en-US" w:eastAsia="zh-CN"/>
              </w:rPr>
              <w:t>1</w:t>
            </w:r>
            <w:r>
              <w:rPr>
                <w:rFonts w:hint="default"/>
                <w:color w:val="auto"/>
                <w:sz w:val="24"/>
                <w:highlight w:val="none"/>
              </w:rPr>
              <w:t>月1</w:t>
            </w:r>
            <w:r>
              <w:rPr>
                <w:rFonts w:hint="eastAsia"/>
                <w:color w:val="auto"/>
                <w:sz w:val="24"/>
                <w:highlight w:val="none"/>
                <w:lang w:eastAsia="zh-CN"/>
              </w:rPr>
              <w:t>0</w:t>
            </w:r>
            <w:r>
              <w:rPr>
                <w:rFonts w:hint="default"/>
                <w:color w:val="auto"/>
                <w:sz w:val="24"/>
                <w:highlight w:val="none"/>
              </w:rPr>
              <w:t>日取得了固定污染源排污登记回执，登记编号为：91611105MAB2RX1G3Q001W</w:t>
            </w:r>
            <w:r>
              <w:rPr>
                <w:rFonts w:hint="eastAsia"/>
                <w:color w:val="auto"/>
                <w:sz w:val="24"/>
                <w:highlight w:val="none"/>
                <w:lang w:eastAsia="zh-CN"/>
              </w:rPr>
              <w:t>，</w:t>
            </w:r>
            <w:r>
              <w:rPr>
                <w:rFonts w:hint="eastAsia"/>
                <w:color w:val="auto"/>
                <w:sz w:val="24"/>
                <w:highlight w:val="none"/>
                <w:lang w:val="en-US" w:eastAsia="zh-CN"/>
              </w:rPr>
              <w:t>并在2024年3月25日进行变更</w:t>
            </w:r>
            <w:r>
              <w:rPr>
                <w:rFonts w:hint="eastAsia"/>
                <w:color w:val="auto"/>
                <w:sz w:val="24"/>
                <w:highlight w:val="none"/>
                <w:lang w:eastAsia="zh-CN"/>
              </w:rPr>
              <w:t>；</w:t>
            </w:r>
            <w:r>
              <w:rPr>
                <w:rFonts w:hint="default"/>
                <w:color w:val="auto"/>
                <w:sz w:val="24"/>
                <w:highlight w:val="none"/>
              </w:rPr>
              <w:t>2022年11月15日于完成了突发环境事件应急预案</w:t>
            </w:r>
            <w:r>
              <w:rPr>
                <w:rFonts w:hint="eastAsia"/>
                <w:color w:val="auto"/>
                <w:sz w:val="24"/>
                <w:highlight w:val="none"/>
                <w:lang w:eastAsia="zh-CN"/>
              </w:rPr>
              <w:t>；</w:t>
            </w:r>
            <w:r>
              <w:rPr>
                <w:rFonts w:hint="default"/>
                <w:color w:val="auto"/>
                <w:sz w:val="24"/>
                <w:highlight w:val="none"/>
              </w:rPr>
              <w:t>202</w:t>
            </w:r>
            <w:r>
              <w:rPr>
                <w:rFonts w:hint="eastAsia"/>
                <w:color w:val="auto"/>
                <w:sz w:val="24"/>
                <w:highlight w:val="none"/>
                <w:lang w:eastAsia="zh-CN"/>
              </w:rPr>
              <w:t>3</w:t>
            </w:r>
            <w:r>
              <w:rPr>
                <w:rFonts w:hint="default"/>
                <w:color w:val="auto"/>
                <w:sz w:val="24"/>
                <w:highlight w:val="none"/>
              </w:rPr>
              <w:t>年</w:t>
            </w:r>
            <w:r>
              <w:rPr>
                <w:rFonts w:hint="eastAsia"/>
                <w:color w:val="auto"/>
                <w:sz w:val="24"/>
                <w:highlight w:val="none"/>
                <w:lang w:eastAsia="zh-CN"/>
              </w:rPr>
              <w:t>2</w:t>
            </w:r>
            <w:r>
              <w:rPr>
                <w:rFonts w:hint="default"/>
                <w:color w:val="auto"/>
                <w:sz w:val="24"/>
                <w:highlight w:val="none"/>
              </w:rPr>
              <w:t>月</w:t>
            </w:r>
            <w:r>
              <w:rPr>
                <w:rFonts w:hint="eastAsia"/>
                <w:color w:val="auto"/>
                <w:sz w:val="24"/>
                <w:highlight w:val="none"/>
                <w:lang w:eastAsia="zh-CN"/>
              </w:rPr>
              <w:t>2</w:t>
            </w:r>
            <w:r>
              <w:rPr>
                <w:rFonts w:hint="eastAsia"/>
                <w:color w:val="auto"/>
                <w:sz w:val="24"/>
                <w:highlight w:val="none"/>
                <w:lang w:val="en-US" w:eastAsia="zh-CN"/>
              </w:rPr>
              <w:t>2</w:t>
            </w:r>
            <w:r>
              <w:rPr>
                <w:rFonts w:hint="default"/>
                <w:color w:val="auto"/>
                <w:sz w:val="24"/>
                <w:highlight w:val="none"/>
              </w:rPr>
              <w:t>日完成建设项目竣工环境保护自主验收工作。</w:t>
            </w:r>
          </w:p>
          <w:p w14:paraId="6E9B7704">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center"/>
              <w:textAlignment w:val="auto"/>
              <w:rPr>
                <w:rFonts w:hint="default" w:eastAsia="宋体"/>
                <w:b/>
                <w:bCs/>
                <w:color w:val="auto"/>
                <w:sz w:val="24"/>
                <w:highlight w:val="none"/>
                <w:lang w:val="en-US" w:eastAsia="zh-CN"/>
              </w:rPr>
            </w:pPr>
            <w:r>
              <w:rPr>
                <w:rFonts w:hint="eastAsia"/>
                <w:b/>
                <w:bCs/>
                <w:color w:val="auto"/>
                <w:sz w:val="24"/>
                <w:highlight w:val="none"/>
                <w:lang w:val="en-US" w:eastAsia="zh-CN"/>
              </w:rPr>
              <w:t xml:space="preserve">表2-11 </w:t>
            </w:r>
            <w:r>
              <w:rPr>
                <w:rFonts w:hint="eastAsia"/>
                <w:b/>
                <w:bCs/>
                <w:color w:val="auto"/>
                <w:sz w:val="24"/>
                <w:highlight w:val="none"/>
              </w:rPr>
              <w:t>现有工程环保手续履行情况一览表</w:t>
            </w:r>
          </w:p>
          <w:tbl>
            <w:tblPr>
              <w:tblStyle w:val="30"/>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845"/>
              <w:gridCol w:w="4914"/>
            </w:tblGrid>
            <w:tr w14:paraId="72125B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01" w:hRule="atLeast"/>
                <w:jc w:val="center"/>
              </w:trPr>
              <w:tc>
                <w:tcPr>
                  <w:tcW w:w="2845" w:type="dxa"/>
                  <w:tcBorders>
                    <w:tl2br w:val="nil"/>
                    <w:tr2bl w:val="nil"/>
                  </w:tcBorders>
                  <w:shd w:val="clear" w:color="auto" w:fill="auto"/>
                  <w:vAlign w:val="center"/>
                </w:tcPr>
                <w:p w14:paraId="3CCF0C2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项目名称</w:t>
                  </w:r>
                </w:p>
              </w:tc>
              <w:tc>
                <w:tcPr>
                  <w:tcW w:w="4914" w:type="dxa"/>
                  <w:tcBorders>
                    <w:tl2br w:val="nil"/>
                    <w:tr2bl w:val="nil"/>
                  </w:tcBorders>
                  <w:shd w:val="clear" w:color="auto" w:fill="auto"/>
                  <w:vAlign w:val="center"/>
                </w:tcPr>
                <w:p w14:paraId="158A4D4F">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《陕西君境迈德生物医药科技有限公司研发实验室项目》</w:t>
                  </w:r>
                </w:p>
              </w:tc>
            </w:tr>
            <w:tr w14:paraId="650FFD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113B9772">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环评报告编制单位</w:t>
                  </w:r>
                </w:p>
              </w:tc>
              <w:tc>
                <w:tcPr>
                  <w:tcW w:w="4914" w:type="dxa"/>
                  <w:tcBorders>
                    <w:tl2br w:val="nil"/>
                    <w:tr2bl w:val="nil"/>
                  </w:tcBorders>
                  <w:shd w:val="clear" w:color="auto" w:fill="auto"/>
                  <w:vAlign w:val="center"/>
                </w:tcPr>
                <w:p w14:paraId="14811FE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河北燕博咨询有限公司</w:t>
                  </w:r>
                </w:p>
              </w:tc>
            </w:tr>
            <w:tr w14:paraId="27D149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00DF656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环评报告类型</w:t>
                  </w:r>
                </w:p>
              </w:tc>
              <w:tc>
                <w:tcPr>
                  <w:tcW w:w="4914" w:type="dxa"/>
                  <w:tcBorders>
                    <w:tl2br w:val="nil"/>
                    <w:tr2bl w:val="nil"/>
                  </w:tcBorders>
                  <w:shd w:val="clear" w:color="auto" w:fill="auto"/>
                  <w:vAlign w:val="center"/>
                </w:tcPr>
                <w:p w14:paraId="7BAE84E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报告表</w:t>
                  </w:r>
                </w:p>
              </w:tc>
            </w:tr>
            <w:tr w14:paraId="250F5E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30C30D22">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环评批复部门</w:t>
                  </w:r>
                </w:p>
              </w:tc>
              <w:tc>
                <w:tcPr>
                  <w:tcW w:w="4914" w:type="dxa"/>
                  <w:tcBorders>
                    <w:tl2br w:val="nil"/>
                    <w:tr2bl w:val="nil"/>
                  </w:tcBorders>
                  <w:shd w:val="clear" w:color="auto" w:fill="auto"/>
                  <w:vAlign w:val="center"/>
                </w:tcPr>
                <w:p w14:paraId="62584D2B">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陕西省西咸新区沣东新城管理委员会</w:t>
                  </w:r>
                </w:p>
              </w:tc>
            </w:tr>
            <w:tr w14:paraId="6F2DD09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7197DC68">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环评批复时间</w:t>
                  </w:r>
                </w:p>
              </w:tc>
              <w:tc>
                <w:tcPr>
                  <w:tcW w:w="4914" w:type="dxa"/>
                  <w:tcBorders>
                    <w:tl2br w:val="nil"/>
                    <w:tr2bl w:val="nil"/>
                  </w:tcBorders>
                  <w:shd w:val="clear" w:color="auto" w:fill="auto"/>
                  <w:vAlign w:val="center"/>
                </w:tcPr>
                <w:p w14:paraId="4BFF7B3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2022 </w:t>
                  </w:r>
                  <w:r>
                    <w:rPr>
                      <w:rFonts w:hint="eastAsia" w:ascii="宋体" w:hAnsi="宋体" w:eastAsia="宋体" w:cs="宋体"/>
                      <w:i w:val="0"/>
                      <w:iCs w:val="0"/>
                      <w:color w:val="auto"/>
                      <w:kern w:val="0"/>
                      <w:sz w:val="21"/>
                      <w:szCs w:val="21"/>
                      <w:highlight w:val="none"/>
                      <w:u w:val="none"/>
                      <w:lang w:val="en-US" w:eastAsia="zh-CN" w:bidi="ar"/>
                    </w:rPr>
                    <w:t xml:space="preserve">年 </w:t>
                  </w:r>
                  <w:r>
                    <w:rPr>
                      <w:rFonts w:hint="default" w:ascii="Times New Roman" w:hAnsi="Times New Roman" w:eastAsia="宋体" w:cs="Times New Roman"/>
                      <w:i w:val="0"/>
                      <w:iCs w:val="0"/>
                      <w:color w:val="auto"/>
                      <w:kern w:val="0"/>
                      <w:sz w:val="21"/>
                      <w:szCs w:val="21"/>
                      <w:highlight w:val="none"/>
                      <w:u w:val="none"/>
                      <w:lang w:val="en-US" w:eastAsia="zh-CN" w:bidi="ar"/>
                    </w:rPr>
                    <w:t xml:space="preserve">2 </w:t>
                  </w:r>
                  <w:r>
                    <w:rPr>
                      <w:rFonts w:hint="eastAsia" w:ascii="宋体" w:hAnsi="宋体" w:eastAsia="宋体" w:cs="宋体"/>
                      <w:i w:val="0"/>
                      <w:iCs w:val="0"/>
                      <w:color w:val="auto"/>
                      <w:kern w:val="0"/>
                      <w:sz w:val="21"/>
                      <w:szCs w:val="21"/>
                      <w:highlight w:val="none"/>
                      <w:u w:val="none"/>
                      <w:lang w:val="en-US" w:eastAsia="zh-CN" w:bidi="ar"/>
                    </w:rPr>
                    <w:t xml:space="preserve">月 </w:t>
                  </w:r>
                  <w:r>
                    <w:rPr>
                      <w:rFonts w:hint="default" w:ascii="Times New Roman" w:hAnsi="Times New Roman" w:eastAsia="宋体" w:cs="Times New Roman"/>
                      <w:i w:val="0"/>
                      <w:iCs w:val="0"/>
                      <w:color w:val="auto"/>
                      <w:kern w:val="0"/>
                      <w:sz w:val="21"/>
                      <w:szCs w:val="21"/>
                      <w:highlight w:val="none"/>
                      <w:u w:val="none"/>
                      <w:lang w:val="en-US" w:eastAsia="zh-CN" w:bidi="ar"/>
                    </w:rPr>
                    <w:t xml:space="preserve">17  </w:t>
                  </w:r>
                  <w:r>
                    <w:rPr>
                      <w:rFonts w:hint="eastAsia" w:ascii="宋体" w:hAnsi="宋体" w:eastAsia="宋体" w:cs="宋体"/>
                      <w:i w:val="0"/>
                      <w:iCs w:val="0"/>
                      <w:color w:val="auto"/>
                      <w:kern w:val="0"/>
                      <w:sz w:val="21"/>
                      <w:szCs w:val="21"/>
                      <w:highlight w:val="none"/>
                      <w:u w:val="none"/>
                      <w:lang w:val="en-US" w:eastAsia="zh-CN" w:bidi="ar"/>
                    </w:rPr>
                    <w:t>日</w:t>
                  </w:r>
                </w:p>
              </w:tc>
            </w:tr>
            <w:tr w14:paraId="561B30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496F4D0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环评批复文号</w:t>
                  </w:r>
                </w:p>
              </w:tc>
              <w:tc>
                <w:tcPr>
                  <w:tcW w:w="4914" w:type="dxa"/>
                  <w:tcBorders>
                    <w:tl2br w:val="nil"/>
                    <w:tr2bl w:val="nil"/>
                  </w:tcBorders>
                  <w:shd w:val="clear" w:color="auto" w:fill="auto"/>
                  <w:vAlign w:val="center"/>
                </w:tcPr>
                <w:p w14:paraId="19F421B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西咸沣东审准﹝</w:t>
                  </w:r>
                  <w:r>
                    <w:rPr>
                      <w:rFonts w:hint="default" w:ascii="Times New Roman" w:hAnsi="Times New Roman" w:eastAsia="宋体" w:cs="Times New Roman"/>
                      <w:i w:val="0"/>
                      <w:iCs w:val="0"/>
                      <w:color w:val="auto"/>
                      <w:kern w:val="0"/>
                      <w:sz w:val="21"/>
                      <w:szCs w:val="21"/>
                      <w:highlight w:val="none"/>
                      <w:u w:val="none"/>
                      <w:lang w:val="en-US" w:eastAsia="zh-CN" w:bidi="ar"/>
                    </w:rPr>
                    <w:t>2022</w:t>
                  </w:r>
                  <w:r>
                    <w:rPr>
                      <w:rFonts w:hint="eastAsia" w:ascii="宋体" w:hAnsi="宋体" w:eastAsia="宋体" w:cs="宋体"/>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007</w:t>
                  </w:r>
                  <w:r>
                    <w:rPr>
                      <w:rFonts w:hint="eastAsia" w:ascii="宋体" w:hAnsi="宋体" w:eastAsia="宋体" w:cs="宋体"/>
                      <w:i w:val="0"/>
                      <w:iCs w:val="0"/>
                      <w:color w:val="auto"/>
                      <w:kern w:val="0"/>
                      <w:sz w:val="21"/>
                      <w:szCs w:val="21"/>
                      <w:highlight w:val="none"/>
                      <w:u w:val="none"/>
                      <w:lang w:val="en-US" w:eastAsia="zh-CN" w:bidi="ar"/>
                    </w:rPr>
                    <w:t>号</w:t>
                  </w:r>
                </w:p>
              </w:tc>
            </w:tr>
            <w:tr w14:paraId="25BFB9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845" w:type="dxa"/>
                  <w:tcBorders>
                    <w:tl2br w:val="nil"/>
                    <w:tr2bl w:val="nil"/>
                  </w:tcBorders>
                  <w:shd w:val="clear" w:color="auto" w:fill="auto"/>
                  <w:vAlign w:val="center"/>
                </w:tcPr>
                <w:p w14:paraId="59CAB3E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排污许可登记时间</w:t>
                  </w:r>
                </w:p>
              </w:tc>
              <w:tc>
                <w:tcPr>
                  <w:tcW w:w="4914" w:type="dxa"/>
                  <w:tcBorders>
                    <w:tl2br w:val="nil"/>
                    <w:tr2bl w:val="nil"/>
                  </w:tcBorders>
                  <w:shd w:val="clear" w:color="auto" w:fill="auto"/>
                  <w:vAlign w:val="center"/>
                </w:tcPr>
                <w:p w14:paraId="3E37676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2022 </w:t>
                  </w:r>
                  <w:r>
                    <w:rPr>
                      <w:rFonts w:hint="eastAsia" w:ascii="宋体" w:hAnsi="宋体" w:eastAsia="宋体" w:cs="宋体"/>
                      <w:i w:val="0"/>
                      <w:iCs w:val="0"/>
                      <w:color w:val="auto"/>
                      <w:kern w:val="0"/>
                      <w:sz w:val="21"/>
                      <w:szCs w:val="21"/>
                      <w:highlight w:val="none"/>
                      <w:u w:val="none"/>
                      <w:lang w:val="en-US" w:eastAsia="zh-CN" w:bidi="ar"/>
                    </w:rPr>
                    <w:t>年</w:t>
                  </w:r>
                  <w:r>
                    <w:rPr>
                      <w:rFonts w:hint="default" w:ascii="Times New Roman" w:hAnsi="Times New Roman" w:eastAsia="宋体" w:cs="Times New Roman"/>
                      <w:i w:val="0"/>
                      <w:iCs w:val="0"/>
                      <w:color w:val="auto"/>
                      <w:kern w:val="0"/>
                      <w:sz w:val="21"/>
                      <w:szCs w:val="21"/>
                      <w:highlight w:val="none"/>
                      <w:u w:val="none"/>
                      <w:lang w:val="en-US" w:eastAsia="zh-CN" w:bidi="ar"/>
                    </w:rPr>
                    <w:t xml:space="preserve">11 </w:t>
                  </w:r>
                  <w:r>
                    <w:rPr>
                      <w:rFonts w:hint="eastAsia" w:ascii="宋体" w:hAnsi="宋体" w:eastAsia="宋体" w:cs="宋体"/>
                      <w:i w:val="0"/>
                      <w:iCs w:val="0"/>
                      <w:color w:val="auto"/>
                      <w:kern w:val="0"/>
                      <w:sz w:val="21"/>
                      <w:szCs w:val="21"/>
                      <w:highlight w:val="none"/>
                      <w:u w:val="none"/>
                      <w:lang w:val="en-US" w:eastAsia="zh-CN" w:bidi="ar"/>
                    </w:rPr>
                    <w:t xml:space="preserve">月 </w:t>
                  </w:r>
                  <w:r>
                    <w:rPr>
                      <w:rFonts w:hint="default" w:ascii="Times New Roman" w:hAnsi="Times New Roman" w:eastAsia="宋体" w:cs="Times New Roman"/>
                      <w:i w:val="0"/>
                      <w:iCs w:val="0"/>
                      <w:color w:val="auto"/>
                      <w:kern w:val="0"/>
                      <w:sz w:val="21"/>
                      <w:szCs w:val="21"/>
                      <w:highlight w:val="none"/>
                      <w:u w:val="none"/>
                      <w:lang w:val="en-US" w:eastAsia="zh-CN" w:bidi="ar"/>
                    </w:rPr>
                    <w:t xml:space="preserve">10 </w:t>
                  </w:r>
                  <w:r>
                    <w:rPr>
                      <w:rFonts w:hint="eastAsia" w:ascii="宋体" w:hAnsi="宋体" w:eastAsia="宋体" w:cs="宋体"/>
                      <w:i w:val="0"/>
                      <w:iCs w:val="0"/>
                      <w:color w:val="auto"/>
                      <w:kern w:val="0"/>
                      <w:sz w:val="21"/>
                      <w:szCs w:val="21"/>
                      <w:highlight w:val="none"/>
                      <w:u w:val="none"/>
                      <w:lang w:val="en-US" w:eastAsia="zh-CN" w:bidi="ar"/>
                    </w:rPr>
                    <w:t>日</w:t>
                  </w:r>
                </w:p>
              </w:tc>
            </w:tr>
            <w:tr w14:paraId="1AD4CA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456E6B8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排污许可登记编号</w:t>
                  </w:r>
                </w:p>
              </w:tc>
              <w:tc>
                <w:tcPr>
                  <w:tcW w:w="4914" w:type="dxa"/>
                  <w:tcBorders>
                    <w:tl2br w:val="nil"/>
                    <w:tr2bl w:val="nil"/>
                  </w:tcBorders>
                  <w:shd w:val="clear" w:color="auto" w:fill="auto"/>
                  <w:vAlign w:val="center"/>
                </w:tcPr>
                <w:p w14:paraId="665110EB">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u w:val="none"/>
                      <w:lang w:bidi="ar"/>
                    </w:rPr>
                  </w:pPr>
                  <w:r>
                    <w:rPr>
                      <w:rFonts w:hint="default"/>
                      <w:color w:val="auto"/>
                      <w:kern w:val="0"/>
                      <w:szCs w:val="21"/>
                      <w:highlight w:val="none"/>
                      <w:u w:val="none"/>
                      <w:lang w:bidi="ar"/>
                    </w:rPr>
                    <w:t>91611105MAB2RX1G3Q001W</w:t>
                  </w:r>
                </w:p>
                <w:p w14:paraId="2A8645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bidi="ar"/>
                    </w:rPr>
                  </w:pPr>
                </w:p>
              </w:tc>
            </w:tr>
            <w:tr w14:paraId="353EF1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2845" w:type="dxa"/>
                  <w:tcBorders>
                    <w:tl2br w:val="nil"/>
                    <w:tr2bl w:val="nil"/>
                  </w:tcBorders>
                  <w:shd w:val="clear" w:color="auto" w:fill="auto"/>
                  <w:vAlign w:val="center"/>
                </w:tcPr>
                <w:p w14:paraId="1A490202">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排污许可登记变更</w:t>
                  </w:r>
                </w:p>
              </w:tc>
              <w:tc>
                <w:tcPr>
                  <w:tcW w:w="4914" w:type="dxa"/>
                  <w:tcBorders>
                    <w:tl2br w:val="nil"/>
                    <w:tr2bl w:val="nil"/>
                  </w:tcBorders>
                  <w:shd w:val="clear" w:color="auto" w:fill="auto"/>
                  <w:vAlign w:val="center"/>
                </w:tcPr>
                <w:p w14:paraId="2AF845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2024年3月25日</w:t>
                  </w:r>
                </w:p>
              </w:tc>
            </w:tr>
            <w:tr w14:paraId="43D645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9" w:hRule="atLeast"/>
                <w:jc w:val="center"/>
              </w:trPr>
              <w:tc>
                <w:tcPr>
                  <w:tcW w:w="2845" w:type="dxa"/>
                  <w:tcBorders>
                    <w:tl2br w:val="nil"/>
                    <w:tr2bl w:val="nil"/>
                  </w:tcBorders>
                  <w:shd w:val="clear" w:color="auto" w:fill="auto"/>
                  <w:vAlign w:val="center"/>
                </w:tcPr>
                <w:p w14:paraId="3B7A86E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color w:val="auto"/>
                      <w:kern w:val="0"/>
                      <w:sz w:val="21"/>
                      <w:szCs w:val="21"/>
                      <w:highlight w:val="none"/>
                      <w:u w:val="none"/>
                      <w:lang w:bidi="ar"/>
                    </w:rPr>
                    <w:t>突发环境事件应急预案</w:t>
                  </w:r>
                  <w:r>
                    <w:rPr>
                      <w:rFonts w:hint="eastAsia" w:ascii="宋体" w:hAnsi="宋体" w:cs="宋体"/>
                      <w:b/>
                      <w:bCs/>
                      <w:color w:val="auto"/>
                      <w:kern w:val="0"/>
                      <w:sz w:val="21"/>
                      <w:szCs w:val="21"/>
                      <w:highlight w:val="none"/>
                      <w:u w:val="none"/>
                      <w:lang w:val="en-US" w:eastAsia="zh-CN" w:bidi="ar"/>
                    </w:rPr>
                    <w:t>备案时间</w:t>
                  </w:r>
                </w:p>
              </w:tc>
              <w:tc>
                <w:tcPr>
                  <w:tcW w:w="4914" w:type="dxa"/>
                  <w:tcBorders>
                    <w:tl2br w:val="nil"/>
                    <w:tr2bl w:val="nil"/>
                  </w:tcBorders>
                  <w:shd w:val="clear" w:color="auto" w:fill="auto"/>
                  <w:vAlign w:val="center"/>
                </w:tcPr>
                <w:p w14:paraId="3C2EDC4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2022年11月15日</w:t>
                  </w:r>
                </w:p>
              </w:tc>
            </w:tr>
            <w:tr w14:paraId="4DF773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2" w:hRule="atLeast"/>
                <w:jc w:val="center"/>
              </w:trPr>
              <w:tc>
                <w:tcPr>
                  <w:tcW w:w="2845" w:type="dxa"/>
                  <w:tcBorders>
                    <w:tl2br w:val="nil"/>
                    <w:tr2bl w:val="nil"/>
                  </w:tcBorders>
                  <w:shd w:val="clear" w:color="auto" w:fill="auto"/>
                  <w:vAlign w:val="center"/>
                </w:tcPr>
                <w:p w14:paraId="6F9EE2DA">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验收时间</w:t>
                  </w:r>
                </w:p>
              </w:tc>
              <w:tc>
                <w:tcPr>
                  <w:tcW w:w="4914" w:type="dxa"/>
                  <w:tcBorders>
                    <w:tl2br w:val="nil"/>
                    <w:tr2bl w:val="nil"/>
                  </w:tcBorders>
                  <w:shd w:val="clear" w:color="auto" w:fill="auto"/>
                  <w:vAlign w:val="center"/>
                </w:tcPr>
                <w:p w14:paraId="5D8B032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2023 </w:t>
                  </w:r>
                  <w:r>
                    <w:rPr>
                      <w:rFonts w:hint="eastAsia" w:ascii="宋体" w:hAnsi="宋体" w:eastAsia="宋体" w:cs="宋体"/>
                      <w:i w:val="0"/>
                      <w:iCs w:val="0"/>
                      <w:color w:val="auto"/>
                      <w:kern w:val="0"/>
                      <w:sz w:val="21"/>
                      <w:szCs w:val="21"/>
                      <w:highlight w:val="none"/>
                      <w:u w:val="none"/>
                      <w:lang w:val="en-US" w:eastAsia="zh-CN" w:bidi="ar"/>
                    </w:rPr>
                    <w:t>年</w:t>
                  </w: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月22日</w:t>
                  </w:r>
                </w:p>
              </w:tc>
            </w:tr>
            <w:tr w14:paraId="44AE1EF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0" w:hRule="atLeast"/>
                <w:jc w:val="center"/>
              </w:trPr>
              <w:tc>
                <w:tcPr>
                  <w:tcW w:w="2845" w:type="dxa"/>
                  <w:tcBorders>
                    <w:tl2br w:val="nil"/>
                    <w:tr2bl w:val="nil"/>
                  </w:tcBorders>
                  <w:shd w:val="clear" w:color="auto" w:fill="auto"/>
                  <w:vAlign w:val="center"/>
                </w:tcPr>
                <w:p w14:paraId="3D779884">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验收单位</w:t>
                  </w:r>
                </w:p>
              </w:tc>
              <w:tc>
                <w:tcPr>
                  <w:tcW w:w="4914" w:type="dxa"/>
                  <w:tcBorders>
                    <w:tl2br w:val="nil"/>
                    <w:tr2bl w:val="nil"/>
                  </w:tcBorders>
                  <w:shd w:val="clear" w:color="auto" w:fill="auto"/>
                  <w:vAlign w:val="center"/>
                </w:tcPr>
                <w:p w14:paraId="7A2B89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自主验收</w:t>
                  </w:r>
                </w:p>
              </w:tc>
            </w:tr>
          </w:tbl>
          <w:p w14:paraId="67C48D73">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0" w:firstLineChars="0"/>
              <w:jc w:val="left"/>
              <w:textAlignment w:val="auto"/>
              <w:rPr>
                <w:rFonts w:hint="default"/>
                <w:b/>
                <w:bCs/>
                <w:color w:val="auto"/>
                <w:sz w:val="24"/>
                <w:highlight w:val="none"/>
              </w:rPr>
            </w:pPr>
            <w:r>
              <w:rPr>
                <w:rFonts w:hint="eastAsia"/>
                <w:b/>
                <w:bCs/>
                <w:color w:val="auto"/>
                <w:sz w:val="24"/>
                <w:highlight w:val="none"/>
                <w:lang w:val="en-US" w:eastAsia="zh-CN"/>
              </w:rPr>
              <w:t>2</w:t>
            </w:r>
            <w:r>
              <w:rPr>
                <w:rFonts w:hint="default"/>
                <w:b/>
                <w:bCs/>
                <w:color w:val="auto"/>
                <w:sz w:val="24"/>
                <w:highlight w:val="none"/>
              </w:rPr>
              <w:t xml:space="preserve"> 、现有</w:t>
            </w:r>
            <w:r>
              <w:rPr>
                <w:rFonts w:hint="eastAsia"/>
                <w:b/>
                <w:bCs/>
                <w:color w:val="auto"/>
                <w:sz w:val="24"/>
                <w:highlight w:val="none"/>
                <w:lang w:val="en-US" w:eastAsia="zh-CN"/>
              </w:rPr>
              <w:t>项目</w:t>
            </w:r>
            <w:r>
              <w:rPr>
                <w:rFonts w:hint="default"/>
                <w:b/>
                <w:bCs/>
                <w:color w:val="auto"/>
                <w:sz w:val="24"/>
                <w:highlight w:val="none"/>
              </w:rPr>
              <w:t>污染物达标排放情况</w:t>
            </w:r>
          </w:p>
          <w:p w14:paraId="3D9C4A09">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default"/>
                <w:color w:val="auto"/>
                <w:sz w:val="24"/>
                <w:highlight w:val="none"/>
              </w:rPr>
            </w:pPr>
            <w:r>
              <w:rPr>
                <w:rFonts w:hint="default"/>
                <w:color w:val="auto"/>
                <w:sz w:val="24"/>
                <w:highlight w:val="none"/>
              </w:rPr>
              <w:t>根据现有</w:t>
            </w:r>
            <w:r>
              <w:rPr>
                <w:rFonts w:hint="eastAsia"/>
                <w:color w:val="auto"/>
                <w:sz w:val="24"/>
                <w:highlight w:val="none"/>
                <w:lang w:val="en-US" w:eastAsia="zh-CN"/>
              </w:rPr>
              <w:t>项目</w:t>
            </w:r>
            <w:r>
              <w:rPr>
                <w:rFonts w:hint="default"/>
                <w:color w:val="auto"/>
                <w:sz w:val="24"/>
                <w:highlight w:val="none"/>
              </w:rPr>
              <w:t>环境影响报告表、竣工环境保护验收监测报告，并结合例行监测数据分析现有工程污染物排放达标情况及污染物排放量。</w:t>
            </w:r>
          </w:p>
          <w:p w14:paraId="716F3B18">
            <w:pPr>
              <w:keepNext w:val="0"/>
              <w:keepLines w:val="0"/>
              <w:pageBreakBefore w:val="0"/>
              <w:widowControl w:val="0"/>
              <w:numPr>
                <w:ilvl w:val="0"/>
                <w:numId w:val="6"/>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left"/>
              <w:textAlignment w:val="auto"/>
              <w:rPr>
                <w:rFonts w:hint="default"/>
                <w:b/>
                <w:bCs/>
                <w:color w:val="auto"/>
                <w:sz w:val="24"/>
                <w:highlight w:val="none"/>
                <w:lang w:val="en-US" w:eastAsia="zh-CN"/>
              </w:rPr>
            </w:pPr>
            <w:r>
              <w:rPr>
                <w:rFonts w:hint="default"/>
                <w:b/>
                <w:bCs/>
                <w:color w:val="auto"/>
                <w:sz w:val="24"/>
                <w:highlight w:val="none"/>
              </w:rPr>
              <w:t>废气达标排放情况</w:t>
            </w:r>
          </w:p>
          <w:p w14:paraId="7DF4053E">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left"/>
              <w:textAlignment w:val="auto"/>
              <w:rPr>
                <w:rFonts w:hint="eastAsia"/>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①</w:t>
            </w:r>
            <w:r>
              <w:rPr>
                <w:rFonts w:hint="eastAsia"/>
                <w:b/>
                <w:bCs/>
                <w:color w:val="auto"/>
                <w:sz w:val="24"/>
                <w:highlight w:val="none"/>
                <w:lang w:val="en-US" w:eastAsia="zh-CN"/>
              </w:rPr>
              <w:t>有组织废气</w:t>
            </w:r>
          </w:p>
          <w:p w14:paraId="61B9823C">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eastAsia"/>
                <w:color w:val="auto"/>
                <w:sz w:val="24"/>
                <w:highlight w:val="yellow"/>
                <w:lang w:val="en-US" w:eastAsia="zh-CN"/>
              </w:rPr>
            </w:pPr>
            <w:r>
              <w:rPr>
                <w:rFonts w:hint="eastAsia"/>
                <w:color w:val="auto"/>
                <w:sz w:val="24"/>
                <w:highlight w:val="none"/>
                <w:lang w:val="en-US" w:eastAsia="zh-CN"/>
              </w:rPr>
              <w:t>现有</w:t>
            </w:r>
            <w:r>
              <w:rPr>
                <w:rFonts w:hint="default"/>
                <w:color w:val="auto"/>
                <w:sz w:val="24"/>
                <w:highlight w:val="none"/>
              </w:rPr>
              <w:t>项目为研发类项目，</w:t>
            </w:r>
            <w:r>
              <w:rPr>
                <w:rFonts w:hint="eastAsia"/>
                <w:color w:val="auto"/>
                <w:sz w:val="24"/>
                <w:highlight w:val="none"/>
                <w:lang w:val="en-US" w:eastAsia="zh-CN"/>
              </w:rPr>
              <w:t>废气主要</w:t>
            </w:r>
            <w:r>
              <w:rPr>
                <w:rFonts w:hint="default"/>
                <w:color w:val="auto"/>
                <w:sz w:val="24"/>
                <w:highlight w:val="none"/>
              </w:rPr>
              <w:t>在</w:t>
            </w:r>
            <w:r>
              <w:rPr>
                <w:rFonts w:hint="eastAsia"/>
                <w:color w:val="auto"/>
                <w:sz w:val="24"/>
                <w:highlight w:val="none"/>
                <w:lang w:val="en-US" w:eastAsia="zh-CN"/>
              </w:rPr>
              <w:t>探试实验过程</w:t>
            </w:r>
            <w:r>
              <w:rPr>
                <w:rFonts w:hint="default"/>
                <w:color w:val="auto"/>
                <w:sz w:val="24"/>
                <w:highlight w:val="none"/>
              </w:rPr>
              <w:t>、小试实验过程、分析测试过程会产生。</w:t>
            </w:r>
            <w:r>
              <w:rPr>
                <w:rFonts w:hint="eastAsia"/>
                <w:color w:val="auto"/>
                <w:sz w:val="24"/>
                <w:highlight w:val="none"/>
                <w:lang w:val="en-US" w:eastAsia="zh-CN"/>
              </w:rPr>
              <w:t>现有</w:t>
            </w:r>
            <w:r>
              <w:rPr>
                <w:rFonts w:hint="eastAsia"/>
                <w:color w:val="auto"/>
                <w:sz w:val="24"/>
                <w:highlight w:val="none"/>
                <w:lang w:eastAsia="zh-CN"/>
              </w:rPr>
              <w:t>3</w:t>
            </w:r>
            <w:r>
              <w:rPr>
                <w:rFonts w:hint="default"/>
                <w:color w:val="auto"/>
                <w:sz w:val="24"/>
                <w:highlight w:val="none"/>
              </w:rPr>
              <w:t>个</w:t>
            </w:r>
            <w:r>
              <w:rPr>
                <w:rFonts w:hint="eastAsia"/>
                <w:color w:val="auto"/>
                <w:sz w:val="24"/>
                <w:highlight w:val="none"/>
                <w:lang w:val="en-US" w:eastAsia="zh-CN"/>
              </w:rPr>
              <w:t>探试</w:t>
            </w:r>
            <w:r>
              <w:rPr>
                <w:rFonts w:hint="default"/>
                <w:color w:val="auto"/>
                <w:sz w:val="24"/>
                <w:highlight w:val="none"/>
              </w:rPr>
              <w:t>实验室，</w:t>
            </w:r>
            <w:r>
              <w:rPr>
                <w:rFonts w:hint="eastAsia"/>
                <w:color w:val="auto"/>
                <w:sz w:val="24"/>
                <w:highlight w:val="none"/>
                <w:lang w:val="en-US" w:eastAsia="zh-CN"/>
              </w:rPr>
              <w:t>1</w:t>
            </w:r>
            <w:r>
              <w:rPr>
                <w:rFonts w:hint="default"/>
                <w:color w:val="auto"/>
                <w:sz w:val="24"/>
                <w:highlight w:val="none"/>
              </w:rPr>
              <w:t>个小试实验室，1个分析测试室，每个实验室均采用通风柜的方式收集有机废气，将产生的有机废气一并引至活性炭吸附装置进行处理</w:t>
            </w:r>
            <w:r>
              <w:rPr>
                <w:rFonts w:hint="eastAsia"/>
                <w:color w:val="auto"/>
                <w:sz w:val="24"/>
                <w:highlight w:val="none"/>
                <w:lang w:eastAsia="zh-CN"/>
              </w:rPr>
              <w:t>，</w:t>
            </w:r>
            <w:r>
              <w:rPr>
                <w:rFonts w:hint="eastAsia"/>
                <w:color w:val="auto"/>
                <w:sz w:val="24"/>
                <w:highlight w:val="none"/>
                <w:lang w:val="en-US" w:eastAsia="zh-CN"/>
              </w:rPr>
              <w:t>其中3个探试</w:t>
            </w:r>
            <w:r>
              <w:rPr>
                <w:rFonts w:hint="default"/>
                <w:color w:val="auto"/>
                <w:sz w:val="24"/>
                <w:highlight w:val="none"/>
              </w:rPr>
              <w:t>实验室产生的有机废气经管道</w:t>
            </w:r>
            <w:r>
              <w:rPr>
                <w:rFonts w:hint="eastAsia"/>
                <w:color w:val="auto"/>
                <w:sz w:val="24"/>
                <w:highlight w:val="none"/>
                <w:lang w:val="en-US" w:eastAsia="zh-CN"/>
              </w:rPr>
              <w:t>分别由</w:t>
            </w:r>
            <w:r>
              <w:rPr>
                <w:rFonts w:hint="default"/>
                <w:color w:val="auto"/>
                <w:sz w:val="24"/>
                <w:highlight w:val="none"/>
              </w:rPr>
              <w:t>3套活性炭吸附装置</w:t>
            </w:r>
            <w:r>
              <w:rPr>
                <w:rFonts w:hint="eastAsia"/>
                <w:color w:val="auto"/>
                <w:sz w:val="24"/>
                <w:highlight w:val="none"/>
                <w:lang w:eastAsia="zh-CN"/>
              </w:rPr>
              <w:t>（</w:t>
            </w:r>
            <w:r>
              <w:rPr>
                <w:rFonts w:hint="default" w:ascii="Times New Roman" w:hAnsi="Times New Roman" w:eastAsia="宋体" w:cs="Times New Roman"/>
                <w:b w:val="0"/>
                <w:bCs w:val="0"/>
                <w:color w:val="auto"/>
                <w:kern w:val="2"/>
                <w:sz w:val="24"/>
                <w:szCs w:val="24"/>
                <w:highlight w:val="none"/>
                <w:lang w:val="en-US" w:eastAsia="zh-CN" w:bidi="ar-SA"/>
              </w:rPr>
              <w:t>TA001</w:t>
            </w:r>
            <w:r>
              <w:rPr>
                <w:rFonts w:hint="eastAsia" w:cs="Times New Roman"/>
                <w:b w:val="0"/>
                <w:bCs w:val="0"/>
                <w:color w:val="auto"/>
                <w:kern w:val="2"/>
                <w:sz w:val="24"/>
                <w:szCs w:val="24"/>
                <w:highlight w:val="none"/>
                <w:lang w:val="en-US" w:eastAsia="zh-CN" w:bidi="ar-SA"/>
              </w:rPr>
              <w:t>，TA002，TA003）</w:t>
            </w:r>
            <w:r>
              <w:rPr>
                <w:rFonts w:hint="default"/>
                <w:color w:val="auto"/>
                <w:sz w:val="24"/>
                <w:highlight w:val="none"/>
              </w:rPr>
              <w:t>处理后</w:t>
            </w:r>
            <w:r>
              <w:rPr>
                <w:rFonts w:hint="eastAsia"/>
                <w:color w:val="auto"/>
                <w:sz w:val="24"/>
                <w:highlight w:val="none"/>
                <w:lang w:val="en-US" w:eastAsia="zh-CN"/>
              </w:rPr>
              <w:t>合并</w:t>
            </w:r>
            <w:r>
              <w:rPr>
                <w:rFonts w:hint="default"/>
                <w:color w:val="auto"/>
                <w:sz w:val="24"/>
                <w:highlight w:val="none"/>
              </w:rPr>
              <w:t>通过排气筒DA002排放，</w:t>
            </w:r>
            <w:r>
              <w:rPr>
                <w:rFonts w:hint="eastAsia"/>
                <w:color w:val="auto"/>
                <w:sz w:val="24"/>
                <w:highlight w:val="none"/>
                <w:lang w:val="en-US" w:eastAsia="zh-CN"/>
              </w:rPr>
              <w:t>2个小试实验室</w:t>
            </w:r>
            <w:r>
              <w:rPr>
                <w:rFonts w:hint="default"/>
                <w:color w:val="auto"/>
                <w:sz w:val="24"/>
                <w:highlight w:val="none"/>
              </w:rPr>
              <w:t>产生的有机废气经管道</w:t>
            </w:r>
            <w:r>
              <w:rPr>
                <w:rFonts w:hint="eastAsia"/>
                <w:color w:val="auto"/>
                <w:sz w:val="24"/>
                <w:highlight w:val="none"/>
                <w:lang w:val="en-US" w:eastAsia="zh-CN"/>
              </w:rPr>
              <w:t>分别由</w:t>
            </w:r>
            <w:r>
              <w:rPr>
                <w:rFonts w:hint="eastAsia"/>
                <w:color w:val="auto"/>
                <w:sz w:val="24"/>
                <w:highlight w:val="none"/>
                <w:lang w:eastAsia="zh-CN"/>
              </w:rPr>
              <w:t>2</w:t>
            </w:r>
            <w:r>
              <w:rPr>
                <w:rFonts w:hint="default"/>
                <w:color w:val="auto"/>
                <w:sz w:val="24"/>
                <w:highlight w:val="none"/>
              </w:rPr>
              <w:t>套活性炭吸附装置</w:t>
            </w:r>
            <w:r>
              <w:rPr>
                <w:rFonts w:hint="eastAsia"/>
                <w:color w:val="auto"/>
                <w:sz w:val="24"/>
                <w:highlight w:val="none"/>
                <w:lang w:eastAsia="zh-CN"/>
              </w:rPr>
              <w:t>（</w:t>
            </w:r>
            <w:r>
              <w:rPr>
                <w:rFonts w:hint="eastAsia"/>
                <w:color w:val="auto"/>
                <w:sz w:val="24"/>
                <w:highlight w:val="none"/>
                <w:lang w:val="en-US" w:eastAsia="zh-CN"/>
              </w:rPr>
              <w:t>TA004、TA005）</w:t>
            </w:r>
            <w:r>
              <w:rPr>
                <w:rFonts w:hint="default"/>
                <w:color w:val="auto"/>
                <w:sz w:val="24"/>
                <w:highlight w:val="none"/>
              </w:rPr>
              <w:t>处理后</w:t>
            </w:r>
            <w:r>
              <w:rPr>
                <w:rFonts w:hint="eastAsia"/>
                <w:color w:val="auto"/>
                <w:sz w:val="24"/>
                <w:highlight w:val="none"/>
                <w:lang w:val="en-US" w:eastAsia="zh-CN"/>
              </w:rPr>
              <w:t>合并</w:t>
            </w:r>
            <w:r>
              <w:rPr>
                <w:rFonts w:hint="default"/>
                <w:color w:val="auto"/>
                <w:sz w:val="24"/>
                <w:highlight w:val="none"/>
              </w:rPr>
              <w:t>通过排气筒DA001排放，分析测试室产生的有机废气经管道</w:t>
            </w:r>
            <w:r>
              <w:rPr>
                <w:rFonts w:hint="eastAsia"/>
                <w:color w:val="auto"/>
                <w:sz w:val="24"/>
                <w:highlight w:val="none"/>
                <w:lang w:val="en-US" w:eastAsia="zh-CN"/>
              </w:rPr>
              <w:t>经过</w:t>
            </w:r>
            <w:r>
              <w:rPr>
                <w:rFonts w:hint="default"/>
                <w:color w:val="auto"/>
                <w:sz w:val="24"/>
                <w:highlight w:val="none"/>
              </w:rPr>
              <w:t>1套活性炭吸附装置</w:t>
            </w:r>
            <w:r>
              <w:rPr>
                <w:rFonts w:hint="eastAsia"/>
                <w:color w:val="auto"/>
                <w:sz w:val="24"/>
                <w:highlight w:val="none"/>
                <w:lang w:eastAsia="zh-CN"/>
              </w:rPr>
              <w:t>（</w:t>
            </w:r>
            <w:r>
              <w:rPr>
                <w:rFonts w:hint="eastAsia"/>
                <w:color w:val="auto"/>
                <w:sz w:val="24"/>
                <w:highlight w:val="none"/>
                <w:lang w:val="en-US" w:eastAsia="zh-CN"/>
              </w:rPr>
              <w:t>TA006）</w:t>
            </w:r>
            <w:r>
              <w:rPr>
                <w:rFonts w:hint="default"/>
                <w:color w:val="auto"/>
                <w:sz w:val="24"/>
                <w:highlight w:val="none"/>
              </w:rPr>
              <w:t>处理后通过排气筒DA003排放</w:t>
            </w:r>
            <w:r>
              <w:rPr>
                <w:rFonts w:hint="eastAsia"/>
                <w:color w:val="auto"/>
                <w:sz w:val="24"/>
                <w:highlight w:val="none"/>
                <w:lang w:eastAsia="zh-CN"/>
              </w:rPr>
              <w:t>。</w:t>
            </w:r>
            <w:r>
              <w:rPr>
                <w:rFonts w:hint="eastAsia"/>
                <w:color w:val="auto"/>
                <w:sz w:val="24"/>
                <w:highlight w:val="none"/>
                <w:lang w:val="en-US" w:eastAsia="zh-CN"/>
              </w:rPr>
              <w:t>排气筒高度约为28m。</w:t>
            </w:r>
          </w:p>
          <w:p w14:paraId="3285DD21">
            <w:pPr>
              <w:keepNext w:val="0"/>
              <w:keepLines w:val="0"/>
              <w:pageBreakBefore w:val="0"/>
              <w:widowControl/>
              <w:numPr>
                <w:ilvl w:val="-1"/>
                <w:numId w:val="0"/>
              </w:numPr>
              <w:kinsoku/>
              <w:wordWrap/>
              <w:overflowPunct/>
              <w:topLinePunct w:val="0"/>
              <w:autoSpaceDE/>
              <w:autoSpaceDN/>
              <w:bidi w:val="0"/>
              <w:adjustRightInd/>
              <w:snapToGrid/>
              <w:spacing w:before="0" w:beforeLines="-2147483648" w:line="360" w:lineRule="auto"/>
              <w:ind w:left="0" w:leftChars="0" w:firstLine="480" w:firstLineChars="200"/>
              <w:jc w:val="left"/>
              <w:textAlignment w:val="auto"/>
              <w:rPr>
                <w:rFonts w:hint="default"/>
                <w:color w:val="auto"/>
                <w:sz w:val="24"/>
                <w:highlight w:val="none"/>
              </w:rPr>
            </w:pPr>
            <w:r>
              <w:rPr>
                <w:rFonts w:hint="eastAsia"/>
                <w:color w:val="auto"/>
                <w:sz w:val="24"/>
                <w:highlight w:val="none"/>
                <w:lang w:val="en-US" w:eastAsia="zh-CN"/>
              </w:rPr>
              <w:t>根据建设单位提供的环保验收监测报告（详见附件6）</w:t>
            </w:r>
            <w:r>
              <w:rPr>
                <w:rFonts w:hint="default"/>
                <w:color w:val="auto"/>
                <w:sz w:val="24"/>
                <w:highlight w:val="none"/>
              </w:rPr>
              <w:t>。</w:t>
            </w:r>
            <w:r>
              <w:rPr>
                <w:rFonts w:hint="eastAsia" w:ascii="宋体" w:hAnsi="宋体" w:eastAsia="宋体" w:cs="宋体"/>
                <w:color w:val="auto"/>
                <w:kern w:val="0"/>
                <w:sz w:val="24"/>
                <w:szCs w:val="24"/>
                <w:highlight w:val="none"/>
                <w:lang w:val="en-US" w:eastAsia="zh-CN" w:bidi="ar"/>
              </w:rPr>
              <w:t>有组织废气监测结果见表</w:t>
            </w:r>
            <w:r>
              <w:rPr>
                <w:rFonts w:hint="default" w:ascii="Times New Roman" w:hAnsi="Times New Roman" w:eastAsia="宋体" w:cs="Times New Roman"/>
                <w:color w:val="auto"/>
                <w:kern w:val="0"/>
                <w:sz w:val="24"/>
                <w:szCs w:val="24"/>
                <w:highlight w:val="none"/>
                <w:lang w:val="en-US" w:eastAsia="zh-CN" w:bidi="ar"/>
              </w:rPr>
              <w:t>2-</w:t>
            </w:r>
            <w:r>
              <w:rPr>
                <w:rFonts w:hint="eastAsia" w:ascii="Times New Roman" w:hAnsi="Times New Roman" w:eastAsia="宋体" w:cs="Times New Roman"/>
                <w:color w:val="auto"/>
                <w:kern w:val="0"/>
                <w:sz w:val="24"/>
                <w:szCs w:val="24"/>
                <w:highlight w:val="none"/>
                <w:lang w:val="en-US" w:eastAsia="zh-CN" w:bidi="ar"/>
              </w:rPr>
              <w:t>1</w:t>
            </w:r>
            <w:r>
              <w:rPr>
                <w:rFonts w:hint="eastAsia" w:cs="Times New Roman"/>
                <w:color w:val="auto"/>
                <w:kern w:val="0"/>
                <w:sz w:val="24"/>
                <w:szCs w:val="24"/>
                <w:highlight w:val="none"/>
                <w:lang w:val="en-US" w:eastAsia="zh-CN" w:bidi="ar"/>
              </w:rPr>
              <w:t>2</w:t>
            </w:r>
            <w:r>
              <w:rPr>
                <w:rFonts w:hint="eastAsia" w:ascii="Times New Roman" w:hAnsi="Times New Roman" w:eastAsia="宋体" w:cs="Times New Roman"/>
                <w:color w:val="auto"/>
                <w:kern w:val="0"/>
                <w:sz w:val="24"/>
                <w:szCs w:val="24"/>
                <w:highlight w:val="none"/>
                <w:lang w:val="en-US" w:eastAsia="zh-CN" w:bidi="ar"/>
              </w:rPr>
              <w:t>，</w:t>
            </w:r>
            <w:r>
              <w:rPr>
                <w:rFonts w:hint="default"/>
                <w:color w:val="auto"/>
                <w:sz w:val="24"/>
                <w:highlight w:val="none"/>
              </w:rPr>
              <w:t>在监测期间，项目各项生产设施正常运行，配套的环保设施运行正常。</w:t>
            </w:r>
          </w:p>
          <w:p w14:paraId="38318E3D">
            <w:pPr>
              <w:pStyle w:val="83"/>
              <w:keepNext w:val="0"/>
              <w:keepLines w:val="0"/>
              <w:pageBreakBefore w:val="0"/>
              <w:widowControl w:val="0"/>
              <w:kinsoku/>
              <w:wordWrap/>
              <w:overflowPunct/>
              <w:topLinePunct w:val="0"/>
              <w:autoSpaceDE w:val="0"/>
              <w:autoSpaceDN w:val="0"/>
              <w:bidi w:val="0"/>
              <w:adjustRightInd w:val="0"/>
              <w:snapToGrid/>
              <w:spacing w:before="34" w:beforeLines="100" w:line="212" w:lineRule="auto"/>
              <w:jc w:val="center"/>
              <w:textAlignment w:val="auto"/>
              <w:outlineLvl w:val="1"/>
              <w:rPr>
                <w:b/>
                <w:bCs/>
                <w:color w:val="auto"/>
                <w:spacing w:val="-2"/>
                <w:sz w:val="24"/>
                <w:szCs w:val="24"/>
                <w:highlight w:val="none"/>
              </w:rPr>
            </w:pPr>
            <w:r>
              <w:rPr>
                <w:b/>
                <w:bCs/>
                <w:color w:val="auto"/>
                <w:spacing w:val="-2"/>
                <w:sz w:val="24"/>
                <w:szCs w:val="24"/>
                <w:highlight w:val="none"/>
              </w:rPr>
              <w:t>表</w:t>
            </w:r>
            <w:r>
              <w:rPr>
                <w:color w:val="auto"/>
                <w:spacing w:val="-52"/>
                <w:sz w:val="24"/>
                <w:szCs w:val="24"/>
                <w:highlight w:val="none"/>
              </w:rPr>
              <w:t xml:space="preserve"> </w:t>
            </w:r>
            <w:r>
              <w:rPr>
                <w:rFonts w:ascii="Times New Roman" w:hAnsi="Times New Roman" w:eastAsia="Times New Roman" w:cs="Times New Roman"/>
                <w:b/>
                <w:bCs/>
                <w:color w:val="auto"/>
                <w:spacing w:val="-2"/>
                <w:sz w:val="24"/>
                <w:szCs w:val="24"/>
                <w:highlight w:val="none"/>
              </w:rPr>
              <w:t>2-1</w:t>
            </w:r>
            <w:r>
              <w:rPr>
                <w:rFonts w:hint="eastAsia" w:ascii="Times New Roman" w:hAnsi="Times New Roman" w:cs="Times New Roman"/>
                <w:b/>
                <w:bCs/>
                <w:color w:val="auto"/>
                <w:spacing w:val="-2"/>
                <w:sz w:val="24"/>
                <w:szCs w:val="24"/>
                <w:highlight w:val="none"/>
                <w:lang w:val="en-US" w:eastAsia="zh-CN"/>
              </w:rPr>
              <w:t>2</w:t>
            </w:r>
            <w:r>
              <w:rPr>
                <w:rFonts w:ascii="Times New Roman" w:hAnsi="Times New Roman" w:eastAsia="Times New Roman" w:cs="Times New Roman"/>
                <w:b/>
                <w:bCs/>
                <w:color w:val="auto"/>
                <w:spacing w:val="-2"/>
                <w:sz w:val="24"/>
                <w:szCs w:val="24"/>
                <w:highlight w:val="none"/>
              </w:rPr>
              <w:t xml:space="preserve"> </w:t>
            </w:r>
            <w:r>
              <w:rPr>
                <w:b/>
                <w:bCs/>
                <w:color w:val="auto"/>
                <w:spacing w:val="-2"/>
                <w:sz w:val="24"/>
                <w:szCs w:val="24"/>
                <w:highlight w:val="none"/>
              </w:rPr>
              <w:t>现有项目</w:t>
            </w:r>
            <w:r>
              <w:rPr>
                <w:rFonts w:hint="eastAsia"/>
                <w:b/>
                <w:bCs/>
                <w:color w:val="auto"/>
                <w:spacing w:val="-2"/>
                <w:sz w:val="24"/>
                <w:szCs w:val="24"/>
                <w:highlight w:val="none"/>
                <w:lang w:val="en-US" w:eastAsia="zh-CN"/>
              </w:rPr>
              <w:t>有组织废气</w:t>
            </w:r>
            <w:r>
              <w:rPr>
                <w:b/>
                <w:bCs/>
                <w:color w:val="auto"/>
                <w:spacing w:val="-2"/>
                <w:sz w:val="24"/>
                <w:szCs w:val="24"/>
                <w:highlight w:val="none"/>
              </w:rPr>
              <w:t>监测结果一览表</w:t>
            </w:r>
          </w:p>
          <w:tbl>
            <w:tblPr>
              <w:tblStyle w:val="30"/>
              <w:tblW w:w="773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74"/>
              <w:gridCol w:w="921"/>
              <w:gridCol w:w="840"/>
              <w:gridCol w:w="767"/>
              <w:gridCol w:w="776"/>
              <w:gridCol w:w="692"/>
              <w:gridCol w:w="838"/>
              <w:gridCol w:w="775"/>
              <w:gridCol w:w="780"/>
              <w:gridCol w:w="674"/>
            </w:tblGrid>
            <w:tr w14:paraId="69399E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4" w:hRule="atLeast"/>
                <w:jc w:val="center"/>
              </w:trPr>
              <w:tc>
                <w:tcPr>
                  <w:tcW w:w="674" w:type="dxa"/>
                  <w:vMerge w:val="restart"/>
                  <w:tcBorders>
                    <w:tl2br w:val="nil"/>
                    <w:tr2bl w:val="nil"/>
                  </w:tcBorders>
                  <w:shd w:val="clear" w:color="auto" w:fill="auto"/>
                  <w:vAlign w:val="center"/>
                </w:tcPr>
                <w:p w14:paraId="64D8FFDB">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监测日期</w:t>
                  </w:r>
                </w:p>
              </w:tc>
              <w:tc>
                <w:tcPr>
                  <w:tcW w:w="921" w:type="dxa"/>
                  <w:vMerge w:val="restart"/>
                  <w:tcBorders>
                    <w:tl2br w:val="nil"/>
                    <w:tr2bl w:val="nil"/>
                  </w:tcBorders>
                  <w:shd w:val="clear" w:color="auto" w:fill="auto"/>
                  <w:vAlign w:val="center"/>
                </w:tcPr>
                <w:p w14:paraId="23B6BEEC">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排气筒名称</w:t>
                  </w:r>
                </w:p>
              </w:tc>
              <w:tc>
                <w:tcPr>
                  <w:tcW w:w="1607" w:type="dxa"/>
                  <w:gridSpan w:val="2"/>
                  <w:vMerge w:val="restart"/>
                  <w:tcBorders>
                    <w:tl2br w:val="nil"/>
                    <w:tr2bl w:val="nil"/>
                  </w:tcBorders>
                  <w:shd w:val="clear" w:color="auto" w:fill="auto"/>
                  <w:vAlign w:val="center"/>
                </w:tcPr>
                <w:p w14:paraId="29DE8E2E">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特征污染物</w:t>
                  </w:r>
                </w:p>
              </w:tc>
              <w:tc>
                <w:tcPr>
                  <w:tcW w:w="776" w:type="dxa"/>
                  <w:vMerge w:val="restart"/>
                  <w:tcBorders>
                    <w:tl2br w:val="nil"/>
                    <w:tr2bl w:val="nil"/>
                  </w:tcBorders>
                  <w:shd w:val="clear" w:color="auto" w:fill="auto"/>
                  <w:vAlign w:val="center"/>
                </w:tcPr>
                <w:p w14:paraId="19A2A12F">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3085" w:type="dxa"/>
                  <w:gridSpan w:val="4"/>
                  <w:tcBorders>
                    <w:tl2br w:val="nil"/>
                    <w:tr2bl w:val="nil"/>
                  </w:tcBorders>
                  <w:shd w:val="clear" w:color="auto" w:fill="auto"/>
                  <w:noWrap/>
                  <w:vAlign w:val="center"/>
                </w:tcPr>
                <w:p w14:paraId="720391FE">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检出值</w:t>
                  </w:r>
                </w:p>
              </w:tc>
              <w:tc>
                <w:tcPr>
                  <w:tcW w:w="674" w:type="dxa"/>
                  <w:vMerge w:val="restart"/>
                  <w:tcBorders>
                    <w:tl2br w:val="nil"/>
                    <w:tr2bl w:val="nil"/>
                  </w:tcBorders>
                  <w:shd w:val="clear" w:color="auto" w:fill="auto"/>
                  <w:noWrap/>
                  <w:vAlign w:val="center"/>
                </w:tcPr>
                <w:p w14:paraId="655E9467">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标准限值</w:t>
                  </w:r>
                </w:p>
              </w:tc>
            </w:tr>
            <w:tr w14:paraId="238E09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674" w:type="dxa"/>
                  <w:vMerge w:val="continue"/>
                  <w:tcBorders>
                    <w:tl2br w:val="nil"/>
                    <w:tr2bl w:val="nil"/>
                  </w:tcBorders>
                  <w:shd w:val="clear" w:color="auto" w:fill="auto"/>
                  <w:vAlign w:val="center"/>
                </w:tcPr>
                <w:p w14:paraId="1648B99B">
                  <w:pPr>
                    <w:jc w:val="center"/>
                    <w:rPr>
                      <w:rFonts w:hint="eastAsia" w:ascii="宋体" w:hAnsi="宋体" w:eastAsia="宋体" w:cs="宋体"/>
                      <w:b/>
                      <w:bCs/>
                      <w:i w:val="0"/>
                      <w:iCs w:val="0"/>
                      <w:color w:val="auto"/>
                      <w:sz w:val="21"/>
                      <w:szCs w:val="21"/>
                      <w:u w:val="none"/>
                    </w:rPr>
                  </w:pPr>
                </w:p>
              </w:tc>
              <w:tc>
                <w:tcPr>
                  <w:tcW w:w="921" w:type="dxa"/>
                  <w:vMerge w:val="continue"/>
                  <w:tcBorders>
                    <w:tl2br w:val="nil"/>
                    <w:tr2bl w:val="nil"/>
                  </w:tcBorders>
                  <w:shd w:val="clear" w:color="auto" w:fill="auto"/>
                  <w:vAlign w:val="center"/>
                </w:tcPr>
                <w:p w14:paraId="047DCEBA">
                  <w:pPr>
                    <w:jc w:val="center"/>
                    <w:rPr>
                      <w:rFonts w:hint="eastAsia" w:ascii="宋体" w:hAnsi="宋体" w:eastAsia="宋体" w:cs="宋体"/>
                      <w:b/>
                      <w:bCs/>
                      <w:i w:val="0"/>
                      <w:iCs w:val="0"/>
                      <w:color w:val="auto"/>
                      <w:sz w:val="21"/>
                      <w:szCs w:val="21"/>
                      <w:u w:val="none"/>
                    </w:rPr>
                  </w:pPr>
                </w:p>
              </w:tc>
              <w:tc>
                <w:tcPr>
                  <w:tcW w:w="1607" w:type="dxa"/>
                  <w:gridSpan w:val="2"/>
                  <w:vMerge w:val="continue"/>
                  <w:tcBorders>
                    <w:tl2br w:val="nil"/>
                    <w:tr2bl w:val="nil"/>
                  </w:tcBorders>
                  <w:shd w:val="clear" w:color="auto" w:fill="auto"/>
                  <w:vAlign w:val="center"/>
                </w:tcPr>
                <w:p w14:paraId="2435D79D">
                  <w:pPr>
                    <w:jc w:val="center"/>
                    <w:rPr>
                      <w:rFonts w:hint="eastAsia" w:ascii="宋体" w:hAnsi="宋体" w:eastAsia="宋体" w:cs="宋体"/>
                      <w:b/>
                      <w:bCs/>
                      <w:i w:val="0"/>
                      <w:iCs w:val="0"/>
                      <w:color w:val="auto"/>
                      <w:sz w:val="21"/>
                      <w:szCs w:val="21"/>
                      <w:u w:val="none"/>
                    </w:rPr>
                  </w:pPr>
                </w:p>
              </w:tc>
              <w:tc>
                <w:tcPr>
                  <w:tcW w:w="776" w:type="dxa"/>
                  <w:vMerge w:val="continue"/>
                  <w:tcBorders>
                    <w:tl2br w:val="nil"/>
                    <w:tr2bl w:val="nil"/>
                  </w:tcBorders>
                  <w:shd w:val="clear" w:color="auto" w:fill="auto"/>
                  <w:vAlign w:val="center"/>
                </w:tcPr>
                <w:p w14:paraId="710DDEBF">
                  <w:pPr>
                    <w:jc w:val="center"/>
                    <w:rPr>
                      <w:rFonts w:hint="eastAsia" w:ascii="宋体" w:hAnsi="宋体" w:eastAsia="宋体" w:cs="宋体"/>
                      <w:b/>
                      <w:bCs/>
                      <w:i w:val="0"/>
                      <w:iCs w:val="0"/>
                      <w:color w:val="auto"/>
                      <w:sz w:val="21"/>
                      <w:szCs w:val="21"/>
                      <w:u w:val="none"/>
                    </w:rPr>
                  </w:pPr>
                </w:p>
              </w:tc>
              <w:tc>
                <w:tcPr>
                  <w:tcW w:w="692" w:type="dxa"/>
                  <w:tcBorders>
                    <w:tl2br w:val="nil"/>
                    <w:tr2bl w:val="nil"/>
                  </w:tcBorders>
                  <w:shd w:val="clear" w:color="auto" w:fill="auto"/>
                  <w:noWrap/>
                  <w:vAlign w:val="center"/>
                </w:tcPr>
                <w:p w14:paraId="18D9094E">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第一次</w:t>
                  </w:r>
                </w:p>
              </w:tc>
              <w:tc>
                <w:tcPr>
                  <w:tcW w:w="838" w:type="dxa"/>
                  <w:tcBorders>
                    <w:tl2br w:val="nil"/>
                    <w:tr2bl w:val="nil"/>
                  </w:tcBorders>
                  <w:shd w:val="clear" w:color="auto" w:fill="auto"/>
                  <w:noWrap/>
                  <w:vAlign w:val="center"/>
                </w:tcPr>
                <w:p w14:paraId="247F1B0C">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第二次</w:t>
                  </w:r>
                </w:p>
              </w:tc>
              <w:tc>
                <w:tcPr>
                  <w:tcW w:w="775" w:type="dxa"/>
                  <w:tcBorders>
                    <w:tl2br w:val="nil"/>
                    <w:tr2bl w:val="nil"/>
                  </w:tcBorders>
                  <w:shd w:val="clear" w:color="auto" w:fill="auto"/>
                  <w:noWrap/>
                  <w:vAlign w:val="center"/>
                </w:tcPr>
                <w:p w14:paraId="16EBCCAC">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第三次</w:t>
                  </w:r>
                </w:p>
              </w:tc>
              <w:tc>
                <w:tcPr>
                  <w:tcW w:w="780" w:type="dxa"/>
                  <w:tcBorders>
                    <w:tl2br w:val="nil"/>
                    <w:tr2bl w:val="nil"/>
                  </w:tcBorders>
                  <w:shd w:val="clear" w:color="auto" w:fill="auto"/>
                  <w:noWrap/>
                  <w:vAlign w:val="center"/>
                </w:tcPr>
                <w:p w14:paraId="365E4995">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平均值</w:t>
                  </w:r>
                </w:p>
              </w:tc>
              <w:tc>
                <w:tcPr>
                  <w:tcW w:w="674" w:type="dxa"/>
                  <w:vMerge w:val="continue"/>
                  <w:tcBorders>
                    <w:tl2br w:val="nil"/>
                    <w:tr2bl w:val="nil"/>
                  </w:tcBorders>
                  <w:shd w:val="clear" w:color="auto" w:fill="auto"/>
                  <w:noWrap/>
                  <w:vAlign w:val="center"/>
                </w:tcPr>
                <w:p w14:paraId="774FF622">
                  <w:pPr>
                    <w:jc w:val="center"/>
                    <w:rPr>
                      <w:rFonts w:hint="default" w:ascii="Times New Roman" w:hAnsi="Times New Roman" w:eastAsia="宋体" w:cs="Times New Roman"/>
                      <w:b/>
                      <w:bCs/>
                      <w:i w:val="0"/>
                      <w:iCs w:val="0"/>
                      <w:color w:val="auto"/>
                      <w:sz w:val="21"/>
                      <w:szCs w:val="21"/>
                      <w:u w:val="none"/>
                    </w:rPr>
                  </w:pPr>
                </w:p>
              </w:tc>
            </w:tr>
            <w:tr w14:paraId="3308B8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restart"/>
                  <w:tcBorders>
                    <w:tl2br w:val="nil"/>
                    <w:tr2bl w:val="nil"/>
                  </w:tcBorders>
                  <w:shd w:val="clear" w:color="auto" w:fill="auto"/>
                  <w:noWrap/>
                  <w:vAlign w:val="center"/>
                </w:tcPr>
                <w:p w14:paraId="0B96DED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2023.1.10</w:t>
                  </w:r>
                </w:p>
              </w:tc>
              <w:tc>
                <w:tcPr>
                  <w:tcW w:w="921" w:type="dxa"/>
                  <w:vMerge w:val="restart"/>
                  <w:tcBorders>
                    <w:tl2br w:val="nil"/>
                    <w:tr2bl w:val="nil"/>
                  </w:tcBorders>
                  <w:shd w:val="clear" w:color="auto" w:fill="auto"/>
                  <w:vAlign w:val="center"/>
                </w:tcPr>
                <w:p w14:paraId="244658F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DA001-A</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noWrap/>
                  <w:vAlign w:val="center"/>
                </w:tcPr>
                <w:p w14:paraId="59F80A8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noWrap/>
                  <w:vAlign w:val="center"/>
                </w:tcPr>
                <w:p w14:paraId="4AA2697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02B769E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1388C16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3.16</w:t>
                  </w:r>
                </w:p>
              </w:tc>
              <w:tc>
                <w:tcPr>
                  <w:tcW w:w="838" w:type="dxa"/>
                  <w:tcBorders>
                    <w:tl2br w:val="nil"/>
                    <w:tr2bl w:val="nil"/>
                  </w:tcBorders>
                  <w:shd w:val="clear" w:color="auto" w:fill="auto"/>
                  <w:noWrap/>
                  <w:vAlign w:val="center"/>
                </w:tcPr>
                <w:p w14:paraId="48EEB7D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w:t>
                  </w:r>
                </w:p>
              </w:tc>
              <w:tc>
                <w:tcPr>
                  <w:tcW w:w="775" w:type="dxa"/>
                  <w:tcBorders>
                    <w:tl2br w:val="nil"/>
                    <w:tr2bl w:val="nil"/>
                  </w:tcBorders>
                  <w:shd w:val="clear" w:color="auto" w:fill="auto"/>
                  <w:noWrap/>
                  <w:vAlign w:val="center"/>
                </w:tcPr>
                <w:p w14:paraId="7694340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1.87</w:t>
                  </w:r>
                </w:p>
              </w:tc>
              <w:tc>
                <w:tcPr>
                  <w:tcW w:w="780" w:type="dxa"/>
                  <w:tcBorders>
                    <w:tl2br w:val="nil"/>
                    <w:tr2bl w:val="nil"/>
                  </w:tcBorders>
                  <w:shd w:val="clear" w:color="auto" w:fill="auto"/>
                  <w:noWrap/>
                  <w:vAlign w:val="center"/>
                </w:tcPr>
                <w:p w14:paraId="11DC1E9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2.49 </w:t>
                  </w:r>
                </w:p>
              </w:tc>
              <w:tc>
                <w:tcPr>
                  <w:tcW w:w="674" w:type="dxa"/>
                  <w:tcBorders>
                    <w:tl2br w:val="nil"/>
                    <w:tr2bl w:val="nil"/>
                  </w:tcBorders>
                  <w:shd w:val="clear" w:color="auto" w:fill="auto"/>
                  <w:noWrap/>
                  <w:vAlign w:val="center"/>
                </w:tcPr>
                <w:p w14:paraId="0CD4F2E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0C6CFD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4973D536">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7EB9E3BA">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noWrap/>
                  <w:vAlign w:val="center"/>
                </w:tcPr>
                <w:p w14:paraId="7A111FBC">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noWrap/>
                  <w:vAlign w:val="center"/>
                </w:tcPr>
                <w:p w14:paraId="68ACE44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6C38D06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2962FDE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0.037</w:t>
                  </w:r>
                </w:p>
              </w:tc>
              <w:tc>
                <w:tcPr>
                  <w:tcW w:w="838" w:type="dxa"/>
                  <w:tcBorders>
                    <w:tl2br w:val="nil"/>
                    <w:tr2bl w:val="nil"/>
                  </w:tcBorders>
                  <w:shd w:val="clear" w:color="auto" w:fill="auto"/>
                  <w:noWrap/>
                  <w:vAlign w:val="center"/>
                </w:tcPr>
                <w:p w14:paraId="4CD1169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w:t>
                  </w:r>
                  <w:r>
                    <w:rPr>
                      <w:rFonts w:hint="eastAsia" w:ascii="Times New Roman" w:hAnsi="Times New Roman" w:eastAsia="宋体" w:cs="Times New Roman"/>
                      <w:i w:val="0"/>
                      <w:iCs w:val="0"/>
                      <w:color w:val="auto"/>
                      <w:kern w:val="0"/>
                      <w:sz w:val="21"/>
                      <w:szCs w:val="21"/>
                      <w:u w:val="none"/>
                      <w:lang w:val="en-US" w:eastAsia="zh-CN" w:bidi="ar"/>
                    </w:rPr>
                    <w:t>9</w:t>
                  </w:r>
                </w:p>
              </w:tc>
              <w:tc>
                <w:tcPr>
                  <w:tcW w:w="775" w:type="dxa"/>
                  <w:tcBorders>
                    <w:tl2br w:val="nil"/>
                    <w:tr2bl w:val="nil"/>
                  </w:tcBorders>
                  <w:shd w:val="clear" w:color="auto" w:fill="auto"/>
                  <w:noWrap/>
                  <w:vAlign w:val="center"/>
                </w:tcPr>
                <w:p w14:paraId="0CACB2A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w:t>
                  </w:r>
                  <w:r>
                    <w:rPr>
                      <w:rFonts w:hint="eastAsia" w:ascii="Times New Roman" w:hAnsi="Times New Roman" w:eastAsia="宋体" w:cs="Times New Roman"/>
                      <w:i w:val="0"/>
                      <w:iCs w:val="0"/>
                      <w:color w:val="auto"/>
                      <w:kern w:val="0"/>
                      <w:sz w:val="21"/>
                      <w:szCs w:val="21"/>
                      <w:u w:val="none"/>
                      <w:lang w:val="en-US" w:eastAsia="zh-CN" w:bidi="ar"/>
                    </w:rPr>
                    <w:t>2</w:t>
                  </w:r>
                </w:p>
              </w:tc>
              <w:tc>
                <w:tcPr>
                  <w:tcW w:w="780" w:type="dxa"/>
                  <w:tcBorders>
                    <w:tl2br w:val="nil"/>
                    <w:tr2bl w:val="nil"/>
                  </w:tcBorders>
                  <w:shd w:val="clear" w:color="auto" w:fill="auto"/>
                  <w:noWrap/>
                  <w:vAlign w:val="center"/>
                </w:tcPr>
                <w:p w14:paraId="66F7093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0.029 </w:t>
                  </w:r>
                </w:p>
              </w:tc>
              <w:tc>
                <w:tcPr>
                  <w:tcW w:w="674" w:type="dxa"/>
                  <w:tcBorders>
                    <w:tl2br w:val="nil"/>
                    <w:tr2bl w:val="nil"/>
                  </w:tcBorders>
                  <w:shd w:val="clear" w:color="auto" w:fill="auto"/>
                  <w:noWrap/>
                  <w:vAlign w:val="center"/>
                </w:tcPr>
                <w:p w14:paraId="72C95916">
                  <w:pPr>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3C65EA8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080309E3">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741F470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DA001-B</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noWrap/>
                  <w:vAlign w:val="center"/>
                </w:tcPr>
                <w:p w14:paraId="3921618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noWrap/>
                  <w:vAlign w:val="center"/>
                </w:tcPr>
                <w:p w14:paraId="67AFDEA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2E75479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52A08C7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2.42</w:t>
                  </w:r>
                </w:p>
              </w:tc>
              <w:tc>
                <w:tcPr>
                  <w:tcW w:w="838" w:type="dxa"/>
                  <w:tcBorders>
                    <w:tl2br w:val="nil"/>
                    <w:tr2bl w:val="nil"/>
                  </w:tcBorders>
                  <w:shd w:val="clear" w:color="auto" w:fill="auto"/>
                  <w:noWrap/>
                  <w:vAlign w:val="center"/>
                </w:tcPr>
                <w:p w14:paraId="07DB65C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2.22</w:t>
                  </w:r>
                </w:p>
              </w:tc>
              <w:tc>
                <w:tcPr>
                  <w:tcW w:w="775" w:type="dxa"/>
                  <w:tcBorders>
                    <w:tl2br w:val="nil"/>
                    <w:tr2bl w:val="nil"/>
                  </w:tcBorders>
                  <w:shd w:val="clear" w:color="auto" w:fill="auto"/>
                  <w:noWrap/>
                  <w:vAlign w:val="center"/>
                </w:tcPr>
                <w:p w14:paraId="766276C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2.01</w:t>
                  </w:r>
                </w:p>
              </w:tc>
              <w:tc>
                <w:tcPr>
                  <w:tcW w:w="780" w:type="dxa"/>
                  <w:tcBorders>
                    <w:tl2br w:val="nil"/>
                    <w:tr2bl w:val="nil"/>
                  </w:tcBorders>
                  <w:shd w:val="clear" w:color="auto" w:fill="auto"/>
                  <w:noWrap/>
                  <w:vAlign w:val="center"/>
                </w:tcPr>
                <w:p w14:paraId="20A684F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2.22 </w:t>
                  </w:r>
                </w:p>
              </w:tc>
              <w:tc>
                <w:tcPr>
                  <w:tcW w:w="674" w:type="dxa"/>
                  <w:tcBorders>
                    <w:tl2br w:val="nil"/>
                    <w:tr2bl w:val="nil"/>
                  </w:tcBorders>
                  <w:shd w:val="clear" w:color="auto" w:fill="auto"/>
                  <w:noWrap/>
                  <w:vAlign w:val="center"/>
                </w:tcPr>
                <w:p w14:paraId="73B8029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5AAC72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01696755">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1C53D730">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noWrap/>
                  <w:vAlign w:val="center"/>
                </w:tcPr>
                <w:p w14:paraId="50D9911D">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noWrap/>
                  <w:vAlign w:val="center"/>
                </w:tcPr>
                <w:p w14:paraId="0F6BC1A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2DCC0E8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216B303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0.019</w:t>
                  </w:r>
                </w:p>
              </w:tc>
              <w:tc>
                <w:tcPr>
                  <w:tcW w:w="838" w:type="dxa"/>
                  <w:tcBorders>
                    <w:tl2br w:val="nil"/>
                    <w:tr2bl w:val="nil"/>
                  </w:tcBorders>
                  <w:shd w:val="clear" w:color="auto" w:fill="auto"/>
                  <w:noWrap/>
                  <w:vAlign w:val="center"/>
                </w:tcPr>
                <w:p w14:paraId="0FABDA2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775" w:type="dxa"/>
                  <w:tcBorders>
                    <w:tl2br w:val="nil"/>
                    <w:tr2bl w:val="nil"/>
                  </w:tcBorders>
                  <w:shd w:val="clear" w:color="auto" w:fill="auto"/>
                  <w:noWrap/>
                  <w:vAlign w:val="center"/>
                </w:tcPr>
                <w:p w14:paraId="2F30B9E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0.016</w:t>
                  </w:r>
                </w:p>
              </w:tc>
              <w:tc>
                <w:tcPr>
                  <w:tcW w:w="780" w:type="dxa"/>
                  <w:tcBorders>
                    <w:tl2br w:val="nil"/>
                    <w:tr2bl w:val="nil"/>
                  </w:tcBorders>
                  <w:shd w:val="clear" w:color="auto" w:fill="auto"/>
                  <w:noWrap/>
                  <w:vAlign w:val="center"/>
                </w:tcPr>
                <w:p w14:paraId="6C53471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0.018 </w:t>
                  </w:r>
                </w:p>
              </w:tc>
              <w:tc>
                <w:tcPr>
                  <w:tcW w:w="674" w:type="dxa"/>
                  <w:tcBorders>
                    <w:tl2br w:val="nil"/>
                    <w:tr2bl w:val="nil"/>
                  </w:tcBorders>
                  <w:shd w:val="clear" w:color="auto" w:fill="auto"/>
                  <w:noWrap/>
                  <w:vAlign w:val="center"/>
                </w:tcPr>
                <w:p w14:paraId="6E15FEB9">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30A605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71B8CA31">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51890B5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DA002-A</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noWrap/>
                  <w:vAlign w:val="center"/>
                </w:tcPr>
                <w:p w14:paraId="17D9DE0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noWrap/>
                  <w:vAlign w:val="center"/>
                </w:tcPr>
                <w:p w14:paraId="196C315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1B1CBEC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75EDA8B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5.81</w:t>
                  </w:r>
                </w:p>
              </w:tc>
              <w:tc>
                <w:tcPr>
                  <w:tcW w:w="838" w:type="dxa"/>
                  <w:tcBorders>
                    <w:tl2br w:val="nil"/>
                    <w:tr2bl w:val="nil"/>
                  </w:tcBorders>
                  <w:shd w:val="clear" w:color="auto" w:fill="auto"/>
                  <w:noWrap/>
                  <w:vAlign w:val="center"/>
                </w:tcPr>
                <w:p w14:paraId="112D67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5.26</w:t>
                  </w:r>
                </w:p>
              </w:tc>
              <w:tc>
                <w:tcPr>
                  <w:tcW w:w="775" w:type="dxa"/>
                  <w:tcBorders>
                    <w:tl2br w:val="nil"/>
                    <w:tr2bl w:val="nil"/>
                  </w:tcBorders>
                  <w:shd w:val="clear" w:color="auto" w:fill="auto"/>
                  <w:noWrap/>
                  <w:vAlign w:val="center"/>
                </w:tcPr>
                <w:p w14:paraId="716CBC3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5.77</w:t>
                  </w:r>
                </w:p>
              </w:tc>
              <w:tc>
                <w:tcPr>
                  <w:tcW w:w="780" w:type="dxa"/>
                  <w:tcBorders>
                    <w:tl2br w:val="nil"/>
                    <w:tr2bl w:val="nil"/>
                  </w:tcBorders>
                  <w:shd w:val="clear" w:color="auto" w:fill="auto"/>
                  <w:noWrap/>
                  <w:vAlign w:val="center"/>
                </w:tcPr>
                <w:p w14:paraId="7E66C88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5.61 </w:t>
                  </w:r>
                </w:p>
              </w:tc>
              <w:tc>
                <w:tcPr>
                  <w:tcW w:w="674" w:type="dxa"/>
                  <w:tcBorders>
                    <w:tl2br w:val="nil"/>
                    <w:tr2bl w:val="nil"/>
                  </w:tcBorders>
                  <w:shd w:val="clear" w:color="auto" w:fill="auto"/>
                  <w:noWrap/>
                  <w:vAlign w:val="center"/>
                </w:tcPr>
                <w:p w14:paraId="1EC78465">
                  <w:pPr>
                    <w:jc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sz w:val="21"/>
                      <w:szCs w:val="21"/>
                      <w:u w:val="none"/>
                      <w:lang w:val="en-US" w:eastAsia="zh-CN"/>
                    </w:rPr>
                    <w:t>60</w:t>
                  </w:r>
                </w:p>
              </w:tc>
            </w:tr>
            <w:tr w14:paraId="209BA4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540595EE">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6F3719DB">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noWrap/>
                  <w:vAlign w:val="center"/>
                </w:tcPr>
                <w:p w14:paraId="7C960C50">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noWrap/>
                  <w:vAlign w:val="center"/>
                </w:tcPr>
                <w:p w14:paraId="177E287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7ED9BB2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5DF097F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0.035</w:t>
                  </w:r>
                </w:p>
              </w:tc>
              <w:tc>
                <w:tcPr>
                  <w:tcW w:w="838" w:type="dxa"/>
                  <w:tcBorders>
                    <w:tl2br w:val="nil"/>
                    <w:tr2bl w:val="nil"/>
                  </w:tcBorders>
                  <w:shd w:val="clear" w:color="auto" w:fill="auto"/>
                  <w:noWrap/>
                  <w:vAlign w:val="center"/>
                </w:tcPr>
                <w:p w14:paraId="484E327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0.039</w:t>
                  </w:r>
                </w:p>
              </w:tc>
              <w:tc>
                <w:tcPr>
                  <w:tcW w:w="775" w:type="dxa"/>
                  <w:tcBorders>
                    <w:tl2br w:val="nil"/>
                    <w:tr2bl w:val="nil"/>
                  </w:tcBorders>
                  <w:shd w:val="clear" w:color="auto" w:fill="auto"/>
                  <w:noWrap/>
                  <w:vAlign w:val="center"/>
                </w:tcPr>
                <w:p w14:paraId="7F50435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0.037</w:t>
                  </w:r>
                </w:p>
              </w:tc>
              <w:tc>
                <w:tcPr>
                  <w:tcW w:w="780" w:type="dxa"/>
                  <w:tcBorders>
                    <w:tl2br w:val="nil"/>
                    <w:tr2bl w:val="nil"/>
                  </w:tcBorders>
                  <w:shd w:val="clear" w:color="auto" w:fill="auto"/>
                  <w:noWrap/>
                  <w:vAlign w:val="center"/>
                </w:tcPr>
                <w:p w14:paraId="2F35A38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0.037 </w:t>
                  </w:r>
                </w:p>
              </w:tc>
              <w:tc>
                <w:tcPr>
                  <w:tcW w:w="674" w:type="dxa"/>
                  <w:tcBorders>
                    <w:tl2br w:val="nil"/>
                    <w:tr2bl w:val="nil"/>
                  </w:tcBorders>
                  <w:shd w:val="clear" w:color="auto" w:fill="auto"/>
                  <w:noWrap/>
                  <w:vAlign w:val="center"/>
                </w:tcPr>
                <w:p w14:paraId="4444A991">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36606B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188B932C">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791A4A1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DA002-B</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noWrap/>
                  <w:vAlign w:val="center"/>
                </w:tcPr>
                <w:p w14:paraId="4AE5391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noWrap/>
                  <w:vAlign w:val="center"/>
                </w:tcPr>
                <w:p w14:paraId="16D2255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7B24B49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7D352DB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5.04</w:t>
                  </w:r>
                </w:p>
              </w:tc>
              <w:tc>
                <w:tcPr>
                  <w:tcW w:w="838" w:type="dxa"/>
                  <w:tcBorders>
                    <w:tl2br w:val="nil"/>
                    <w:tr2bl w:val="nil"/>
                  </w:tcBorders>
                  <w:shd w:val="clear" w:color="auto" w:fill="auto"/>
                  <w:noWrap/>
                  <w:vAlign w:val="center"/>
                </w:tcPr>
                <w:p w14:paraId="04AA56C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775" w:type="dxa"/>
                  <w:tcBorders>
                    <w:tl2br w:val="nil"/>
                    <w:tr2bl w:val="nil"/>
                  </w:tcBorders>
                  <w:shd w:val="clear" w:color="auto" w:fill="auto"/>
                  <w:noWrap/>
                  <w:vAlign w:val="center"/>
                </w:tcPr>
                <w:p w14:paraId="4F7B2AF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w:t>
                  </w:r>
                </w:p>
              </w:tc>
              <w:tc>
                <w:tcPr>
                  <w:tcW w:w="780" w:type="dxa"/>
                  <w:tcBorders>
                    <w:tl2br w:val="nil"/>
                    <w:tr2bl w:val="nil"/>
                  </w:tcBorders>
                  <w:shd w:val="clear" w:color="auto" w:fill="auto"/>
                  <w:noWrap/>
                  <w:vAlign w:val="center"/>
                </w:tcPr>
                <w:p w14:paraId="198B6E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4.55 </w:t>
                  </w:r>
                </w:p>
              </w:tc>
              <w:tc>
                <w:tcPr>
                  <w:tcW w:w="674" w:type="dxa"/>
                  <w:tcBorders>
                    <w:tl2br w:val="nil"/>
                    <w:tr2bl w:val="nil"/>
                  </w:tcBorders>
                  <w:shd w:val="clear" w:color="auto" w:fill="auto"/>
                  <w:noWrap/>
                  <w:vAlign w:val="center"/>
                </w:tcPr>
                <w:p w14:paraId="1FEA027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6DDCD0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61C21E35">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1022D31A">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noWrap/>
                  <w:vAlign w:val="center"/>
                </w:tcPr>
                <w:p w14:paraId="3713F424">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noWrap/>
                  <w:vAlign w:val="center"/>
                </w:tcPr>
                <w:p w14:paraId="57E9DE5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540CCFB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7DD1191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0.040</w:t>
                  </w:r>
                </w:p>
              </w:tc>
              <w:tc>
                <w:tcPr>
                  <w:tcW w:w="838" w:type="dxa"/>
                  <w:tcBorders>
                    <w:tl2br w:val="nil"/>
                    <w:tr2bl w:val="nil"/>
                  </w:tcBorders>
                  <w:shd w:val="clear" w:color="auto" w:fill="auto"/>
                  <w:noWrap/>
                  <w:vAlign w:val="center"/>
                </w:tcPr>
                <w:p w14:paraId="68CC450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w:t>
                  </w:r>
                  <w:r>
                    <w:rPr>
                      <w:rFonts w:hint="eastAsia" w:ascii="Times New Roman" w:hAnsi="Times New Roman" w:eastAsia="宋体" w:cs="Times New Roman"/>
                      <w:i w:val="0"/>
                      <w:iCs w:val="0"/>
                      <w:color w:val="auto"/>
                      <w:kern w:val="0"/>
                      <w:sz w:val="21"/>
                      <w:szCs w:val="21"/>
                      <w:u w:val="none"/>
                      <w:lang w:val="en-US" w:eastAsia="zh-CN" w:bidi="ar"/>
                    </w:rPr>
                    <w:t>3</w:t>
                  </w:r>
                </w:p>
              </w:tc>
              <w:tc>
                <w:tcPr>
                  <w:tcW w:w="775" w:type="dxa"/>
                  <w:tcBorders>
                    <w:tl2br w:val="nil"/>
                    <w:tr2bl w:val="nil"/>
                  </w:tcBorders>
                  <w:shd w:val="clear" w:color="auto" w:fill="auto"/>
                  <w:noWrap/>
                  <w:vAlign w:val="center"/>
                </w:tcPr>
                <w:p w14:paraId="6853DFF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w:t>
                  </w:r>
                  <w:r>
                    <w:rPr>
                      <w:rFonts w:hint="eastAsia" w:ascii="Times New Roman" w:hAnsi="Times New Roman" w:eastAsia="宋体" w:cs="Times New Roman"/>
                      <w:i w:val="0"/>
                      <w:iCs w:val="0"/>
                      <w:color w:val="auto"/>
                      <w:kern w:val="0"/>
                      <w:sz w:val="21"/>
                      <w:szCs w:val="21"/>
                      <w:u w:val="none"/>
                      <w:lang w:val="en-US" w:eastAsia="zh-CN" w:bidi="ar"/>
                    </w:rPr>
                    <w:t>8</w:t>
                  </w:r>
                </w:p>
              </w:tc>
              <w:tc>
                <w:tcPr>
                  <w:tcW w:w="780" w:type="dxa"/>
                  <w:tcBorders>
                    <w:tl2br w:val="nil"/>
                    <w:tr2bl w:val="nil"/>
                  </w:tcBorders>
                  <w:shd w:val="clear" w:color="auto" w:fill="auto"/>
                  <w:noWrap/>
                  <w:vAlign w:val="center"/>
                </w:tcPr>
                <w:p w14:paraId="4786DE3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0.037 </w:t>
                  </w:r>
                </w:p>
              </w:tc>
              <w:tc>
                <w:tcPr>
                  <w:tcW w:w="674" w:type="dxa"/>
                  <w:tcBorders>
                    <w:tl2br w:val="nil"/>
                    <w:tr2bl w:val="nil"/>
                  </w:tcBorders>
                  <w:shd w:val="clear" w:color="auto" w:fill="auto"/>
                  <w:noWrap/>
                  <w:vAlign w:val="center"/>
                </w:tcPr>
                <w:p w14:paraId="24BFEC47">
                  <w:pPr>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4FF719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02CFE117">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72AC65F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DA002-C</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noWrap/>
                  <w:vAlign w:val="center"/>
                </w:tcPr>
                <w:p w14:paraId="58BFE9C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noWrap/>
                  <w:vAlign w:val="center"/>
                </w:tcPr>
                <w:p w14:paraId="5B83DAB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008D7C4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43FB87B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2.89</w:t>
                  </w:r>
                </w:p>
              </w:tc>
              <w:tc>
                <w:tcPr>
                  <w:tcW w:w="838" w:type="dxa"/>
                  <w:tcBorders>
                    <w:tl2br w:val="nil"/>
                    <w:tr2bl w:val="nil"/>
                  </w:tcBorders>
                  <w:shd w:val="clear" w:color="auto" w:fill="auto"/>
                  <w:noWrap/>
                  <w:vAlign w:val="center"/>
                </w:tcPr>
                <w:p w14:paraId="3FEE4BD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3.28</w:t>
                  </w:r>
                </w:p>
              </w:tc>
              <w:tc>
                <w:tcPr>
                  <w:tcW w:w="775" w:type="dxa"/>
                  <w:tcBorders>
                    <w:tl2br w:val="nil"/>
                    <w:tr2bl w:val="nil"/>
                  </w:tcBorders>
                  <w:shd w:val="clear" w:color="auto" w:fill="auto"/>
                  <w:noWrap/>
                  <w:vAlign w:val="center"/>
                </w:tcPr>
                <w:p w14:paraId="2DB2A33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w:t>
                  </w:r>
                </w:p>
              </w:tc>
              <w:tc>
                <w:tcPr>
                  <w:tcW w:w="780" w:type="dxa"/>
                  <w:tcBorders>
                    <w:tl2br w:val="nil"/>
                    <w:tr2bl w:val="nil"/>
                  </w:tcBorders>
                  <w:shd w:val="clear" w:color="auto" w:fill="auto"/>
                  <w:noWrap/>
                  <w:vAlign w:val="center"/>
                </w:tcPr>
                <w:p w14:paraId="016C23E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2.99</w:t>
                  </w:r>
                </w:p>
              </w:tc>
              <w:tc>
                <w:tcPr>
                  <w:tcW w:w="674" w:type="dxa"/>
                  <w:tcBorders>
                    <w:tl2br w:val="nil"/>
                    <w:tr2bl w:val="nil"/>
                  </w:tcBorders>
                  <w:shd w:val="clear" w:color="auto" w:fill="auto"/>
                  <w:noWrap/>
                  <w:vAlign w:val="center"/>
                </w:tcPr>
                <w:p w14:paraId="776E9C3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688CA0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4E936EC5">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47B4C754">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noWrap/>
                  <w:vAlign w:val="center"/>
                </w:tcPr>
                <w:p w14:paraId="07EEE39A">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noWrap/>
                  <w:vAlign w:val="center"/>
                </w:tcPr>
                <w:p w14:paraId="51DB4E2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282FB41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5F12F8D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0.021</w:t>
                  </w:r>
                </w:p>
              </w:tc>
              <w:tc>
                <w:tcPr>
                  <w:tcW w:w="838" w:type="dxa"/>
                  <w:tcBorders>
                    <w:tl2br w:val="nil"/>
                    <w:tr2bl w:val="nil"/>
                  </w:tcBorders>
                  <w:shd w:val="clear" w:color="auto" w:fill="auto"/>
                  <w:noWrap/>
                  <w:vAlign w:val="center"/>
                </w:tcPr>
                <w:p w14:paraId="2194462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775" w:type="dxa"/>
                  <w:tcBorders>
                    <w:tl2br w:val="nil"/>
                    <w:tr2bl w:val="nil"/>
                  </w:tcBorders>
                  <w:shd w:val="clear" w:color="auto" w:fill="auto"/>
                  <w:noWrap/>
                  <w:vAlign w:val="center"/>
                </w:tcPr>
                <w:p w14:paraId="7EB816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w:t>
                  </w:r>
                  <w:r>
                    <w:rPr>
                      <w:rFonts w:hint="eastAsia" w:ascii="Times New Roman" w:hAnsi="Times New Roman" w:eastAsia="宋体" w:cs="Times New Roman"/>
                      <w:i w:val="0"/>
                      <w:iCs w:val="0"/>
                      <w:color w:val="auto"/>
                      <w:kern w:val="0"/>
                      <w:sz w:val="21"/>
                      <w:szCs w:val="21"/>
                      <w:u w:val="none"/>
                      <w:lang w:val="en-US" w:eastAsia="zh-CN" w:bidi="ar"/>
                    </w:rPr>
                    <w:t>1</w:t>
                  </w:r>
                </w:p>
              </w:tc>
              <w:tc>
                <w:tcPr>
                  <w:tcW w:w="780" w:type="dxa"/>
                  <w:tcBorders>
                    <w:tl2br w:val="nil"/>
                    <w:tr2bl w:val="nil"/>
                  </w:tcBorders>
                  <w:shd w:val="clear" w:color="auto" w:fill="auto"/>
                  <w:noWrap/>
                  <w:vAlign w:val="center"/>
                </w:tcPr>
                <w:p w14:paraId="72B9B51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0.022 </w:t>
                  </w:r>
                </w:p>
              </w:tc>
              <w:tc>
                <w:tcPr>
                  <w:tcW w:w="674" w:type="dxa"/>
                  <w:tcBorders>
                    <w:tl2br w:val="nil"/>
                    <w:tr2bl w:val="nil"/>
                  </w:tcBorders>
                  <w:shd w:val="clear" w:color="auto" w:fill="auto"/>
                  <w:noWrap/>
                  <w:vAlign w:val="center"/>
                </w:tcPr>
                <w:p w14:paraId="6D1AE42B">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0A8B23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54CA7793">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5718DA5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DA003</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noWrap/>
                  <w:vAlign w:val="center"/>
                </w:tcPr>
                <w:p w14:paraId="72B8B36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noWrap/>
                  <w:vAlign w:val="center"/>
                </w:tcPr>
                <w:p w14:paraId="61CE667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03B9517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750164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1.9</w:t>
                  </w:r>
                </w:p>
              </w:tc>
              <w:tc>
                <w:tcPr>
                  <w:tcW w:w="838" w:type="dxa"/>
                  <w:tcBorders>
                    <w:tl2br w:val="nil"/>
                    <w:tr2bl w:val="nil"/>
                  </w:tcBorders>
                  <w:shd w:val="clear" w:color="auto" w:fill="auto"/>
                  <w:noWrap/>
                  <w:vAlign w:val="center"/>
                </w:tcPr>
                <w:p w14:paraId="64BCD34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2.09</w:t>
                  </w:r>
                </w:p>
              </w:tc>
              <w:tc>
                <w:tcPr>
                  <w:tcW w:w="775" w:type="dxa"/>
                  <w:tcBorders>
                    <w:tl2br w:val="nil"/>
                    <w:tr2bl w:val="nil"/>
                  </w:tcBorders>
                  <w:shd w:val="clear" w:color="auto" w:fill="auto"/>
                  <w:noWrap/>
                  <w:vAlign w:val="center"/>
                </w:tcPr>
                <w:p w14:paraId="3CC3FD4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1.53</w:t>
                  </w:r>
                </w:p>
              </w:tc>
              <w:tc>
                <w:tcPr>
                  <w:tcW w:w="780" w:type="dxa"/>
                  <w:tcBorders>
                    <w:tl2br w:val="nil"/>
                    <w:tr2bl w:val="nil"/>
                  </w:tcBorders>
                  <w:shd w:val="clear" w:color="auto" w:fill="auto"/>
                  <w:noWrap/>
                  <w:vAlign w:val="center"/>
                </w:tcPr>
                <w:p w14:paraId="0266C82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1.84</w:t>
                  </w:r>
                </w:p>
              </w:tc>
              <w:tc>
                <w:tcPr>
                  <w:tcW w:w="674" w:type="dxa"/>
                  <w:tcBorders>
                    <w:tl2br w:val="nil"/>
                    <w:tr2bl w:val="nil"/>
                  </w:tcBorders>
                  <w:shd w:val="clear" w:color="auto" w:fill="auto"/>
                  <w:noWrap/>
                  <w:vAlign w:val="center"/>
                </w:tcPr>
                <w:p w14:paraId="1EDE499B">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786E03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674" w:type="dxa"/>
                  <w:vMerge w:val="continue"/>
                  <w:tcBorders>
                    <w:tl2br w:val="nil"/>
                    <w:tr2bl w:val="nil"/>
                  </w:tcBorders>
                  <w:shd w:val="clear" w:color="auto" w:fill="auto"/>
                  <w:noWrap/>
                  <w:vAlign w:val="center"/>
                </w:tcPr>
                <w:p w14:paraId="224703E7">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6C7347EF">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noWrap/>
                  <w:vAlign w:val="center"/>
                </w:tcPr>
                <w:p w14:paraId="572CBC48">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noWrap/>
                  <w:vAlign w:val="center"/>
                </w:tcPr>
                <w:p w14:paraId="261468C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0302A93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7FE76E1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4</w:t>
                  </w:r>
                </w:p>
              </w:tc>
              <w:tc>
                <w:tcPr>
                  <w:tcW w:w="838" w:type="dxa"/>
                  <w:tcBorders>
                    <w:tl2br w:val="nil"/>
                    <w:tr2bl w:val="nil"/>
                  </w:tcBorders>
                  <w:shd w:val="clear" w:color="auto" w:fill="auto"/>
                  <w:noWrap/>
                  <w:vAlign w:val="center"/>
                </w:tcPr>
                <w:p w14:paraId="0F4748D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6</w:t>
                  </w:r>
                </w:p>
              </w:tc>
              <w:tc>
                <w:tcPr>
                  <w:tcW w:w="775" w:type="dxa"/>
                  <w:tcBorders>
                    <w:tl2br w:val="nil"/>
                    <w:tr2bl w:val="nil"/>
                  </w:tcBorders>
                  <w:shd w:val="clear" w:color="auto" w:fill="auto"/>
                  <w:noWrap/>
                  <w:vAlign w:val="center"/>
                </w:tcPr>
                <w:p w14:paraId="199EA8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1</w:t>
                  </w:r>
                </w:p>
              </w:tc>
              <w:tc>
                <w:tcPr>
                  <w:tcW w:w="780" w:type="dxa"/>
                  <w:tcBorders>
                    <w:tl2br w:val="nil"/>
                    <w:tr2bl w:val="nil"/>
                  </w:tcBorders>
                  <w:shd w:val="clear" w:color="auto" w:fill="auto"/>
                  <w:noWrap/>
                  <w:vAlign w:val="center"/>
                </w:tcPr>
                <w:p w14:paraId="082EECB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0.013 </w:t>
                  </w:r>
                </w:p>
              </w:tc>
              <w:tc>
                <w:tcPr>
                  <w:tcW w:w="674" w:type="dxa"/>
                  <w:tcBorders>
                    <w:tl2br w:val="nil"/>
                    <w:tr2bl w:val="nil"/>
                  </w:tcBorders>
                  <w:shd w:val="clear" w:color="auto" w:fill="auto"/>
                  <w:noWrap/>
                  <w:vAlign w:val="center"/>
                </w:tcPr>
                <w:p w14:paraId="75708D99">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1FE08E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restart"/>
                  <w:tcBorders>
                    <w:tl2br w:val="nil"/>
                    <w:tr2bl w:val="nil"/>
                  </w:tcBorders>
                  <w:shd w:val="clear" w:color="auto" w:fill="auto"/>
                  <w:noWrap/>
                  <w:vAlign w:val="center"/>
                </w:tcPr>
                <w:p w14:paraId="6BAA4E6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2023.1.11</w:t>
                  </w:r>
                </w:p>
              </w:tc>
              <w:tc>
                <w:tcPr>
                  <w:tcW w:w="921" w:type="dxa"/>
                  <w:vMerge w:val="restart"/>
                  <w:tcBorders>
                    <w:tl2br w:val="nil"/>
                    <w:tr2bl w:val="nil"/>
                  </w:tcBorders>
                  <w:shd w:val="clear" w:color="auto" w:fill="auto"/>
                  <w:vAlign w:val="center"/>
                </w:tcPr>
                <w:p w14:paraId="25A7CDF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DA001-A</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vAlign w:val="center"/>
                </w:tcPr>
                <w:p w14:paraId="6E9C464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vAlign w:val="center"/>
                </w:tcPr>
                <w:p w14:paraId="7654518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5E350EA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7B9A831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838" w:type="dxa"/>
                  <w:tcBorders>
                    <w:tl2br w:val="nil"/>
                    <w:tr2bl w:val="nil"/>
                  </w:tcBorders>
                  <w:shd w:val="clear" w:color="auto" w:fill="auto"/>
                  <w:noWrap/>
                  <w:vAlign w:val="center"/>
                </w:tcPr>
                <w:p w14:paraId="194F5B1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1.82</w:t>
                  </w:r>
                </w:p>
              </w:tc>
              <w:tc>
                <w:tcPr>
                  <w:tcW w:w="775" w:type="dxa"/>
                  <w:tcBorders>
                    <w:tl2br w:val="nil"/>
                    <w:tr2bl w:val="nil"/>
                  </w:tcBorders>
                  <w:shd w:val="clear" w:color="auto" w:fill="auto"/>
                  <w:noWrap/>
                  <w:vAlign w:val="center"/>
                </w:tcPr>
                <w:p w14:paraId="1E44507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2.08</w:t>
                  </w:r>
                </w:p>
              </w:tc>
              <w:tc>
                <w:tcPr>
                  <w:tcW w:w="780" w:type="dxa"/>
                  <w:tcBorders>
                    <w:tl2br w:val="nil"/>
                    <w:tr2bl w:val="nil"/>
                  </w:tcBorders>
                  <w:shd w:val="clear" w:color="auto" w:fill="auto"/>
                  <w:noWrap/>
                  <w:vAlign w:val="center"/>
                </w:tcPr>
                <w:p w14:paraId="03DE827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1.97 </w:t>
                  </w:r>
                </w:p>
              </w:tc>
              <w:tc>
                <w:tcPr>
                  <w:tcW w:w="674" w:type="dxa"/>
                  <w:tcBorders>
                    <w:tl2br w:val="nil"/>
                    <w:tr2bl w:val="nil"/>
                  </w:tcBorders>
                  <w:shd w:val="clear" w:color="auto" w:fill="auto"/>
                  <w:noWrap/>
                  <w:vAlign w:val="center"/>
                </w:tcPr>
                <w:p w14:paraId="09AFDA1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59C7A5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6B8E8AA6">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1C724C5E">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vAlign w:val="center"/>
                </w:tcPr>
                <w:p w14:paraId="4F160299">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vAlign w:val="center"/>
                </w:tcPr>
                <w:p w14:paraId="52AAAF7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4478D3E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39623EA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w:t>
                  </w:r>
                  <w:r>
                    <w:rPr>
                      <w:rFonts w:hint="eastAsia" w:ascii="Times New Roman" w:hAnsi="Times New Roman" w:eastAsia="宋体" w:cs="Times New Roman"/>
                      <w:i w:val="0"/>
                      <w:iCs w:val="0"/>
                      <w:color w:val="auto"/>
                      <w:kern w:val="0"/>
                      <w:sz w:val="21"/>
                      <w:szCs w:val="21"/>
                      <w:u w:val="none"/>
                      <w:lang w:val="en-US" w:eastAsia="zh-CN" w:bidi="ar"/>
                    </w:rPr>
                    <w:t>4</w:t>
                  </w:r>
                </w:p>
              </w:tc>
              <w:tc>
                <w:tcPr>
                  <w:tcW w:w="838" w:type="dxa"/>
                  <w:tcBorders>
                    <w:tl2br w:val="nil"/>
                    <w:tr2bl w:val="nil"/>
                  </w:tcBorders>
                  <w:shd w:val="clear" w:color="auto" w:fill="auto"/>
                  <w:noWrap/>
                  <w:vAlign w:val="center"/>
                </w:tcPr>
                <w:p w14:paraId="5A24CF0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w:t>
                  </w:r>
                  <w:r>
                    <w:rPr>
                      <w:rFonts w:hint="eastAsia" w:ascii="Times New Roman" w:hAnsi="Times New Roman" w:eastAsia="宋体" w:cs="Times New Roman"/>
                      <w:i w:val="0"/>
                      <w:iCs w:val="0"/>
                      <w:color w:val="auto"/>
                      <w:kern w:val="0"/>
                      <w:sz w:val="21"/>
                      <w:szCs w:val="21"/>
                      <w:u w:val="none"/>
                      <w:lang w:val="en-US" w:eastAsia="zh-CN" w:bidi="ar"/>
                    </w:rPr>
                    <w:t>2</w:t>
                  </w:r>
                </w:p>
              </w:tc>
              <w:tc>
                <w:tcPr>
                  <w:tcW w:w="775" w:type="dxa"/>
                  <w:tcBorders>
                    <w:tl2br w:val="nil"/>
                    <w:tr2bl w:val="nil"/>
                  </w:tcBorders>
                  <w:shd w:val="clear" w:color="auto" w:fill="auto"/>
                  <w:noWrap/>
                  <w:vAlign w:val="center"/>
                </w:tcPr>
                <w:p w14:paraId="45632F8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w:t>
                  </w:r>
                  <w:r>
                    <w:rPr>
                      <w:rFonts w:hint="eastAsia" w:ascii="Times New Roman" w:hAnsi="Times New Roman" w:eastAsia="宋体" w:cs="Times New Roman"/>
                      <w:i w:val="0"/>
                      <w:iCs w:val="0"/>
                      <w:color w:val="auto"/>
                      <w:kern w:val="0"/>
                      <w:sz w:val="21"/>
                      <w:szCs w:val="21"/>
                      <w:u w:val="none"/>
                      <w:lang w:val="en-US" w:eastAsia="zh-CN" w:bidi="ar"/>
                    </w:rPr>
                    <w:t>5</w:t>
                  </w:r>
                </w:p>
              </w:tc>
              <w:tc>
                <w:tcPr>
                  <w:tcW w:w="780" w:type="dxa"/>
                  <w:tcBorders>
                    <w:tl2br w:val="nil"/>
                    <w:tr2bl w:val="nil"/>
                  </w:tcBorders>
                  <w:shd w:val="clear" w:color="auto" w:fill="auto"/>
                  <w:noWrap/>
                  <w:vAlign w:val="center"/>
                </w:tcPr>
                <w:p w14:paraId="7535B29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0.023 </w:t>
                  </w:r>
                </w:p>
              </w:tc>
              <w:tc>
                <w:tcPr>
                  <w:tcW w:w="674" w:type="dxa"/>
                  <w:tcBorders>
                    <w:tl2br w:val="nil"/>
                    <w:tr2bl w:val="nil"/>
                  </w:tcBorders>
                  <w:shd w:val="clear" w:color="auto" w:fill="auto"/>
                  <w:noWrap/>
                  <w:vAlign w:val="center"/>
                </w:tcPr>
                <w:p w14:paraId="5D18ED9E">
                  <w:pPr>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27700A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3074A3FC">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4067DC9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DA001-B</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vAlign w:val="center"/>
                </w:tcPr>
                <w:p w14:paraId="016A9A9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vAlign w:val="center"/>
                </w:tcPr>
                <w:p w14:paraId="1B60AEE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69F348B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2760425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1.84</w:t>
                  </w:r>
                </w:p>
              </w:tc>
              <w:tc>
                <w:tcPr>
                  <w:tcW w:w="838" w:type="dxa"/>
                  <w:tcBorders>
                    <w:tl2br w:val="nil"/>
                    <w:tr2bl w:val="nil"/>
                  </w:tcBorders>
                  <w:shd w:val="clear" w:color="auto" w:fill="auto"/>
                  <w:noWrap/>
                  <w:vAlign w:val="center"/>
                </w:tcPr>
                <w:p w14:paraId="14544FA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1.49</w:t>
                  </w:r>
                </w:p>
              </w:tc>
              <w:tc>
                <w:tcPr>
                  <w:tcW w:w="775" w:type="dxa"/>
                  <w:tcBorders>
                    <w:tl2br w:val="nil"/>
                    <w:tr2bl w:val="nil"/>
                  </w:tcBorders>
                  <w:shd w:val="clear" w:color="auto" w:fill="auto"/>
                  <w:noWrap/>
                  <w:vAlign w:val="center"/>
                </w:tcPr>
                <w:p w14:paraId="5084E54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1.64</w:t>
                  </w:r>
                </w:p>
              </w:tc>
              <w:tc>
                <w:tcPr>
                  <w:tcW w:w="780" w:type="dxa"/>
                  <w:tcBorders>
                    <w:tl2br w:val="nil"/>
                    <w:tr2bl w:val="nil"/>
                  </w:tcBorders>
                  <w:shd w:val="clear" w:color="auto" w:fill="auto"/>
                  <w:noWrap/>
                  <w:vAlign w:val="center"/>
                </w:tcPr>
                <w:p w14:paraId="4C9EFAF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1.66 </w:t>
                  </w:r>
                </w:p>
              </w:tc>
              <w:tc>
                <w:tcPr>
                  <w:tcW w:w="674" w:type="dxa"/>
                  <w:tcBorders>
                    <w:tl2br w:val="nil"/>
                    <w:tr2bl w:val="nil"/>
                  </w:tcBorders>
                  <w:shd w:val="clear" w:color="auto" w:fill="auto"/>
                  <w:noWrap/>
                  <w:vAlign w:val="center"/>
                </w:tcPr>
                <w:p w14:paraId="003DCB4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7CF156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26646E12">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348A921D">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vAlign w:val="center"/>
                </w:tcPr>
                <w:p w14:paraId="1E0E94C1">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vAlign w:val="center"/>
                </w:tcPr>
                <w:p w14:paraId="6395D10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6DA591E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3B05429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6</w:t>
                  </w:r>
                </w:p>
              </w:tc>
              <w:tc>
                <w:tcPr>
                  <w:tcW w:w="838" w:type="dxa"/>
                  <w:tcBorders>
                    <w:tl2br w:val="nil"/>
                    <w:tr2bl w:val="nil"/>
                  </w:tcBorders>
                  <w:shd w:val="clear" w:color="auto" w:fill="auto"/>
                  <w:noWrap/>
                  <w:vAlign w:val="center"/>
                </w:tcPr>
                <w:p w14:paraId="07DE1E7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3</w:t>
                  </w:r>
                </w:p>
              </w:tc>
              <w:tc>
                <w:tcPr>
                  <w:tcW w:w="775" w:type="dxa"/>
                  <w:tcBorders>
                    <w:tl2br w:val="nil"/>
                    <w:tr2bl w:val="nil"/>
                  </w:tcBorders>
                  <w:shd w:val="clear" w:color="auto" w:fill="auto"/>
                  <w:noWrap/>
                  <w:vAlign w:val="center"/>
                </w:tcPr>
                <w:p w14:paraId="6A7B10D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4</w:t>
                  </w:r>
                </w:p>
              </w:tc>
              <w:tc>
                <w:tcPr>
                  <w:tcW w:w="780" w:type="dxa"/>
                  <w:tcBorders>
                    <w:tl2br w:val="nil"/>
                    <w:tr2bl w:val="nil"/>
                  </w:tcBorders>
                  <w:shd w:val="clear" w:color="auto" w:fill="auto"/>
                  <w:noWrap/>
                  <w:vAlign w:val="center"/>
                </w:tcPr>
                <w:p w14:paraId="1C2908D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0.014 </w:t>
                  </w:r>
                </w:p>
              </w:tc>
              <w:tc>
                <w:tcPr>
                  <w:tcW w:w="674" w:type="dxa"/>
                  <w:tcBorders>
                    <w:tl2br w:val="nil"/>
                    <w:tr2bl w:val="nil"/>
                  </w:tcBorders>
                  <w:shd w:val="clear" w:color="auto" w:fill="auto"/>
                  <w:noWrap/>
                  <w:vAlign w:val="center"/>
                </w:tcPr>
                <w:p w14:paraId="435E84DD">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0F4D53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27AEEE19">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6ACA87C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DA002-A</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vAlign w:val="center"/>
                </w:tcPr>
                <w:p w14:paraId="76E171F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vAlign w:val="center"/>
                </w:tcPr>
                <w:p w14:paraId="4112C2E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4A403F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024C6E2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4.57</w:t>
                  </w:r>
                </w:p>
              </w:tc>
              <w:tc>
                <w:tcPr>
                  <w:tcW w:w="838" w:type="dxa"/>
                  <w:tcBorders>
                    <w:tl2br w:val="nil"/>
                    <w:tr2bl w:val="nil"/>
                  </w:tcBorders>
                  <w:shd w:val="clear" w:color="auto" w:fill="auto"/>
                  <w:noWrap/>
                  <w:vAlign w:val="center"/>
                </w:tcPr>
                <w:p w14:paraId="2A9780C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4.99</w:t>
                  </w:r>
                </w:p>
              </w:tc>
              <w:tc>
                <w:tcPr>
                  <w:tcW w:w="775" w:type="dxa"/>
                  <w:tcBorders>
                    <w:tl2br w:val="nil"/>
                    <w:tr2bl w:val="nil"/>
                  </w:tcBorders>
                  <w:shd w:val="clear" w:color="auto" w:fill="auto"/>
                  <w:noWrap/>
                  <w:vAlign w:val="center"/>
                </w:tcPr>
                <w:p w14:paraId="52EA471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5.22</w:t>
                  </w:r>
                </w:p>
              </w:tc>
              <w:tc>
                <w:tcPr>
                  <w:tcW w:w="780" w:type="dxa"/>
                  <w:tcBorders>
                    <w:tl2br w:val="nil"/>
                    <w:tr2bl w:val="nil"/>
                  </w:tcBorders>
                  <w:shd w:val="clear" w:color="auto" w:fill="auto"/>
                  <w:noWrap/>
                  <w:vAlign w:val="center"/>
                </w:tcPr>
                <w:p w14:paraId="05C7AB6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4.93 </w:t>
                  </w:r>
                </w:p>
              </w:tc>
              <w:tc>
                <w:tcPr>
                  <w:tcW w:w="674" w:type="dxa"/>
                  <w:tcBorders>
                    <w:tl2br w:val="nil"/>
                    <w:tr2bl w:val="nil"/>
                  </w:tcBorders>
                  <w:shd w:val="clear" w:color="auto" w:fill="auto"/>
                  <w:noWrap/>
                  <w:vAlign w:val="center"/>
                </w:tcPr>
                <w:p w14:paraId="70DF581A">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7DD7E5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017CFE7C">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37907BCB">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vAlign w:val="center"/>
                </w:tcPr>
                <w:p w14:paraId="0B81D04E">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vAlign w:val="center"/>
                </w:tcPr>
                <w:p w14:paraId="4F2D97E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25D5978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69BB9A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0.029</w:t>
                  </w:r>
                </w:p>
              </w:tc>
              <w:tc>
                <w:tcPr>
                  <w:tcW w:w="838" w:type="dxa"/>
                  <w:tcBorders>
                    <w:tl2br w:val="nil"/>
                    <w:tr2bl w:val="nil"/>
                  </w:tcBorders>
                  <w:shd w:val="clear" w:color="auto" w:fill="auto"/>
                  <w:noWrap/>
                  <w:vAlign w:val="center"/>
                </w:tcPr>
                <w:p w14:paraId="09F2923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w:t>
                  </w:r>
                  <w:r>
                    <w:rPr>
                      <w:rFonts w:hint="eastAsia" w:ascii="Times New Roman" w:hAnsi="Times New Roman" w:eastAsia="宋体" w:cs="Times New Roman"/>
                      <w:i w:val="0"/>
                      <w:iCs w:val="0"/>
                      <w:color w:val="auto"/>
                      <w:kern w:val="0"/>
                      <w:sz w:val="21"/>
                      <w:szCs w:val="21"/>
                      <w:u w:val="none"/>
                      <w:lang w:val="en-US" w:eastAsia="zh-CN" w:bidi="ar"/>
                    </w:rPr>
                    <w:t>2</w:t>
                  </w:r>
                </w:p>
              </w:tc>
              <w:tc>
                <w:tcPr>
                  <w:tcW w:w="775" w:type="dxa"/>
                  <w:tcBorders>
                    <w:tl2br w:val="nil"/>
                    <w:tr2bl w:val="nil"/>
                  </w:tcBorders>
                  <w:shd w:val="clear" w:color="auto" w:fill="auto"/>
                  <w:noWrap/>
                  <w:vAlign w:val="center"/>
                </w:tcPr>
                <w:p w14:paraId="514C015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w:t>
                  </w:r>
                  <w:r>
                    <w:rPr>
                      <w:rFonts w:hint="eastAsia" w:ascii="Times New Roman" w:hAnsi="Times New Roman" w:eastAsia="宋体" w:cs="Times New Roman"/>
                      <w:i w:val="0"/>
                      <w:iCs w:val="0"/>
                      <w:color w:val="auto"/>
                      <w:kern w:val="0"/>
                      <w:sz w:val="21"/>
                      <w:szCs w:val="21"/>
                      <w:u w:val="none"/>
                      <w:lang w:val="en-US" w:eastAsia="zh-CN" w:bidi="ar"/>
                    </w:rPr>
                    <w:t>4</w:t>
                  </w:r>
                </w:p>
              </w:tc>
              <w:tc>
                <w:tcPr>
                  <w:tcW w:w="780" w:type="dxa"/>
                  <w:tcBorders>
                    <w:tl2br w:val="nil"/>
                    <w:tr2bl w:val="nil"/>
                  </w:tcBorders>
                  <w:shd w:val="clear" w:color="auto" w:fill="auto"/>
                  <w:noWrap/>
                  <w:vAlign w:val="center"/>
                </w:tcPr>
                <w:p w14:paraId="55B7782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0.031 </w:t>
                  </w:r>
                </w:p>
              </w:tc>
              <w:tc>
                <w:tcPr>
                  <w:tcW w:w="674" w:type="dxa"/>
                  <w:tcBorders>
                    <w:tl2br w:val="nil"/>
                    <w:tr2bl w:val="nil"/>
                  </w:tcBorders>
                  <w:shd w:val="clear" w:color="auto" w:fill="auto"/>
                  <w:noWrap/>
                  <w:vAlign w:val="center"/>
                </w:tcPr>
                <w:p w14:paraId="76EBE092">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0B7277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403E157F">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7240975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DA002-B</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vAlign w:val="center"/>
                </w:tcPr>
                <w:p w14:paraId="1F1C5CC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vAlign w:val="center"/>
                </w:tcPr>
                <w:p w14:paraId="54790BF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5283B29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2AD6018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4.33</w:t>
                  </w:r>
                </w:p>
              </w:tc>
              <w:tc>
                <w:tcPr>
                  <w:tcW w:w="838" w:type="dxa"/>
                  <w:tcBorders>
                    <w:tl2br w:val="nil"/>
                    <w:tr2bl w:val="nil"/>
                  </w:tcBorders>
                  <w:shd w:val="clear" w:color="auto" w:fill="auto"/>
                  <w:noWrap/>
                  <w:vAlign w:val="center"/>
                </w:tcPr>
                <w:p w14:paraId="0509541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3.77</w:t>
                  </w:r>
                </w:p>
              </w:tc>
              <w:tc>
                <w:tcPr>
                  <w:tcW w:w="775" w:type="dxa"/>
                  <w:tcBorders>
                    <w:tl2br w:val="nil"/>
                    <w:tr2bl w:val="nil"/>
                  </w:tcBorders>
                  <w:shd w:val="clear" w:color="auto" w:fill="auto"/>
                  <w:noWrap/>
                  <w:vAlign w:val="center"/>
                </w:tcPr>
                <w:p w14:paraId="0CBC16F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4.6</w:t>
                  </w:r>
                </w:p>
              </w:tc>
              <w:tc>
                <w:tcPr>
                  <w:tcW w:w="780" w:type="dxa"/>
                  <w:tcBorders>
                    <w:tl2br w:val="nil"/>
                    <w:tr2bl w:val="nil"/>
                  </w:tcBorders>
                  <w:shd w:val="clear" w:color="auto" w:fill="auto"/>
                  <w:noWrap/>
                  <w:vAlign w:val="center"/>
                </w:tcPr>
                <w:p w14:paraId="4D59884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4.23 </w:t>
                  </w:r>
                </w:p>
              </w:tc>
              <w:tc>
                <w:tcPr>
                  <w:tcW w:w="674" w:type="dxa"/>
                  <w:tcBorders>
                    <w:tl2br w:val="nil"/>
                    <w:tr2bl w:val="nil"/>
                  </w:tcBorders>
                  <w:shd w:val="clear" w:color="auto" w:fill="auto"/>
                  <w:noWrap/>
                  <w:vAlign w:val="center"/>
                </w:tcPr>
                <w:p w14:paraId="233DC8A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390736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266D44FA">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3AE05767">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vAlign w:val="center"/>
                </w:tcPr>
                <w:p w14:paraId="7A90EFB5">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vAlign w:val="center"/>
                </w:tcPr>
                <w:p w14:paraId="5F4CABB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2C8F7B5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67BF725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0.035</w:t>
                  </w:r>
                </w:p>
              </w:tc>
              <w:tc>
                <w:tcPr>
                  <w:tcW w:w="838" w:type="dxa"/>
                  <w:tcBorders>
                    <w:tl2br w:val="nil"/>
                    <w:tr2bl w:val="nil"/>
                  </w:tcBorders>
                  <w:shd w:val="clear" w:color="auto" w:fill="auto"/>
                  <w:noWrap/>
                  <w:vAlign w:val="center"/>
                </w:tcPr>
                <w:p w14:paraId="38FB726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0.031</w:t>
                  </w:r>
                </w:p>
              </w:tc>
              <w:tc>
                <w:tcPr>
                  <w:tcW w:w="775" w:type="dxa"/>
                  <w:tcBorders>
                    <w:tl2br w:val="nil"/>
                    <w:tr2bl w:val="nil"/>
                  </w:tcBorders>
                  <w:shd w:val="clear" w:color="auto" w:fill="auto"/>
                  <w:noWrap/>
                  <w:vAlign w:val="center"/>
                </w:tcPr>
                <w:p w14:paraId="7987666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0.037</w:t>
                  </w:r>
                </w:p>
              </w:tc>
              <w:tc>
                <w:tcPr>
                  <w:tcW w:w="780" w:type="dxa"/>
                  <w:tcBorders>
                    <w:tl2br w:val="nil"/>
                    <w:tr2bl w:val="nil"/>
                  </w:tcBorders>
                  <w:shd w:val="clear" w:color="auto" w:fill="auto"/>
                  <w:noWrap/>
                  <w:vAlign w:val="center"/>
                </w:tcPr>
                <w:p w14:paraId="4B2613F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0.035 </w:t>
                  </w:r>
                </w:p>
              </w:tc>
              <w:tc>
                <w:tcPr>
                  <w:tcW w:w="674" w:type="dxa"/>
                  <w:tcBorders>
                    <w:tl2br w:val="nil"/>
                    <w:tr2bl w:val="nil"/>
                  </w:tcBorders>
                  <w:shd w:val="clear" w:color="auto" w:fill="auto"/>
                  <w:noWrap/>
                  <w:vAlign w:val="center"/>
                </w:tcPr>
                <w:p w14:paraId="5A499963">
                  <w:pPr>
                    <w:jc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3F77A7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0A0F8A96">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5ACDC9C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DA002-C</w:t>
                  </w:r>
                  <w:r>
                    <w:rPr>
                      <w:rFonts w:hint="eastAsia" w:cs="Times New Roman"/>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vAlign w:val="center"/>
                </w:tcPr>
                <w:p w14:paraId="24C997A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vAlign w:val="center"/>
                </w:tcPr>
                <w:p w14:paraId="28E84D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75FBFCB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08C443B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2.85</w:t>
                  </w:r>
                </w:p>
              </w:tc>
              <w:tc>
                <w:tcPr>
                  <w:tcW w:w="838" w:type="dxa"/>
                  <w:tcBorders>
                    <w:tl2br w:val="nil"/>
                    <w:tr2bl w:val="nil"/>
                  </w:tcBorders>
                  <w:shd w:val="clear" w:color="auto" w:fill="auto"/>
                  <w:noWrap/>
                  <w:vAlign w:val="center"/>
                </w:tcPr>
                <w:p w14:paraId="35A68D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2.25</w:t>
                  </w:r>
                </w:p>
              </w:tc>
              <w:tc>
                <w:tcPr>
                  <w:tcW w:w="775" w:type="dxa"/>
                  <w:tcBorders>
                    <w:tl2br w:val="nil"/>
                    <w:tr2bl w:val="nil"/>
                  </w:tcBorders>
                  <w:shd w:val="clear" w:color="auto" w:fill="auto"/>
                  <w:noWrap/>
                  <w:vAlign w:val="center"/>
                </w:tcPr>
                <w:p w14:paraId="1A0CBA6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2.75</w:t>
                  </w:r>
                </w:p>
              </w:tc>
              <w:tc>
                <w:tcPr>
                  <w:tcW w:w="780" w:type="dxa"/>
                  <w:tcBorders>
                    <w:tl2br w:val="nil"/>
                    <w:tr2bl w:val="nil"/>
                  </w:tcBorders>
                  <w:shd w:val="clear" w:color="auto" w:fill="auto"/>
                  <w:noWrap/>
                  <w:vAlign w:val="center"/>
                </w:tcPr>
                <w:p w14:paraId="6E0D6E0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2.62 </w:t>
                  </w:r>
                </w:p>
              </w:tc>
              <w:tc>
                <w:tcPr>
                  <w:tcW w:w="674" w:type="dxa"/>
                  <w:tcBorders>
                    <w:tl2br w:val="nil"/>
                    <w:tr2bl w:val="nil"/>
                  </w:tcBorders>
                  <w:shd w:val="clear" w:color="auto" w:fill="auto"/>
                  <w:noWrap/>
                  <w:vAlign w:val="center"/>
                </w:tcPr>
                <w:p w14:paraId="1975A73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348DE39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674" w:type="dxa"/>
                  <w:vMerge w:val="continue"/>
                  <w:tcBorders>
                    <w:tl2br w:val="nil"/>
                    <w:tr2bl w:val="nil"/>
                  </w:tcBorders>
                  <w:shd w:val="clear" w:color="auto" w:fill="auto"/>
                  <w:noWrap/>
                  <w:vAlign w:val="center"/>
                </w:tcPr>
                <w:p w14:paraId="4CBFB216">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48F08BE7">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vAlign w:val="center"/>
                </w:tcPr>
                <w:p w14:paraId="21B544D4">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vAlign w:val="center"/>
                </w:tcPr>
                <w:p w14:paraId="6D80AC7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5065F54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1BF9FFA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0.020</w:t>
                  </w:r>
                </w:p>
              </w:tc>
              <w:tc>
                <w:tcPr>
                  <w:tcW w:w="838" w:type="dxa"/>
                  <w:tcBorders>
                    <w:tl2br w:val="nil"/>
                    <w:tr2bl w:val="nil"/>
                  </w:tcBorders>
                  <w:shd w:val="clear" w:color="auto" w:fill="auto"/>
                  <w:noWrap/>
                  <w:vAlign w:val="center"/>
                </w:tcPr>
                <w:p w14:paraId="3A93039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0.016</w:t>
                  </w:r>
                </w:p>
              </w:tc>
              <w:tc>
                <w:tcPr>
                  <w:tcW w:w="775" w:type="dxa"/>
                  <w:tcBorders>
                    <w:tl2br w:val="nil"/>
                    <w:tr2bl w:val="nil"/>
                  </w:tcBorders>
                  <w:shd w:val="clear" w:color="auto" w:fill="auto"/>
                  <w:noWrap/>
                  <w:vAlign w:val="center"/>
                </w:tcPr>
                <w:p w14:paraId="0E7AF38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3</w:t>
                  </w:r>
                </w:p>
              </w:tc>
              <w:tc>
                <w:tcPr>
                  <w:tcW w:w="780" w:type="dxa"/>
                  <w:tcBorders>
                    <w:tl2br w:val="nil"/>
                    <w:tr2bl w:val="nil"/>
                  </w:tcBorders>
                  <w:shd w:val="clear" w:color="auto" w:fill="auto"/>
                  <w:noWrap/>
                  <w:vAlign w:val="center"/>
                </w:tcPr>
                <w:p w14:paraId="73C2033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0.019 </w:t>
                  </w:r>
                </w:p>
              </w:tc>
              <w:tc>
                <w:tcPr>
                  <w:tcW w:w="674" w:type="dxa"/>
                  <w:tcBorders>
                    <w:tl2br w:val="nil"/>
                    <w:tr2bl w:val="nil"/>
                  </w:tcBorders>
                  <w:shd w:val="clear" w:color="auto" w:fill="auto"/>
                  <w:noWrap/>
                  <w:vAlign w:val="center"/>
                </w:tcPr>
                <w:p w14:paraId="1F1D3975">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r w14:paraId="32CD10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7" w:hRule="atLeast"/>
                <w:jc w:val="center"/>
              </w:trPr>
              <w:tc>
                <w:tcPr>
                  <w:tcW w:w="674" w:type="dxa"/>
                  <w:vMerge w:val="continue"/>
                  <w:tcBorders>
                    <w:tl2br w:val="nil"/>
                    <w:tr2bl w:val="nil"/>
                  </w:tcBorders>
                  <w:shd w:val="clear" w:color="auto" w:fill="auto"/>
                  <w:noWrap/>
                  <w:vAlign w:val="center"/>
                </w:tcPr>
                <w:p w14:paraId="72133164">
                  <w:pPr>
                    <w:jc w:val="center"/>
                    <w:rPr>
                      <w:rFonts w:hint="default" w:ascii="Times New Roman" w:hAnsi="Times New Roman" w:eastAsia="宋体" w:cs="Times New Roman"/>
                      <w:i w:val="0"/>
                      <w:iCs w:val="0"/>
                      <w:color w:val="auto"/>
                      <w:sz w:val="21"/>
                      <w:szCs w:val="21"/>
                      <w:u w:val="none"/>
                    </w:rPr>
                  </w:pPr>
                </w:p>
              </w:tc>
              <w:tc>
                <w:tcPr>
                  <w:tcW w:w="921" w:type="dxa"/>
                  <w:vMerge w:val="restart"/>
                  <w:tcBorders>
                    <w:tl2br w:val="nil"/>
                    <w:tr2bl w:val="nil"/>
                  </w:tcBorders>
                  <w:shd w:val="clear" w:color="auto" w:fill="auto"/>
                  <w:vAlign w:val="center"/>
                </w:tcPr>
                <w:p w14:paraId="66D6C8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DA003</w:t>
                  </w:r>
                  <w:r>
                    <w:rPr>
                      <w:rFonts w:hint="eastAsia" w:ascii="宋体" w:hAnsi="宋体" w:eastAsia="宋体" w:cs="宋体"/>
                      <w:i w:val="0"/>
                      <w:iCs w:val="0"/>
                      <w:color w:val="auto"/>
                      <w:kern w:val="0"/>
                      <w:sz w:val="21"/>
                      <w:szCs w:val="21"/>
                      <w:u w:val="none"/>
                      <w:lang w:val="en-US" w:eastAsia="zh-CN" w:bidi="ar"/>
                    </w:rPr>
                    <w:t>出口</w:t>
                  </w:r>
                </w:p>
              </w:tc>
              <w:tc>
                <w:tcPr>
                  <w:tcW w:w="840" w:type="dxa"/>
                  <w:vMerge w:val="restart"/>
                  <w:tcBorders>
                    <w:tl2br w:val="nil"/>
                    <w:tr2bl w:val="nil"/>
                  </w:tcBorders>
                  <w:shd w:val="clear" w:color="auto" w:fill="auto"/>
                  <w:vAlign w:val="center"/>
                </w:tcPr>
                <w:p w14:paraId="01637DD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非甲烷总烃</w:t>
                  </w:r>
                </w:p>
              </w:tc>
              <w:tc>
                <w:tcPr>
                  <w:tcW w:w="767" w:type="dxa"/>
                  <w:tcBorders>
                    <w:tl2br w:val="nil"/>
                    <w:tr2bl w:val="nil"/>
                  </w:tcBorders>
                  <w:shd w:val="clear" w:color="auto" w:fill="auto"/>
                  <w:vAlign w:val="center"/>
                </w:tcPr>
                <w:p w14:paraId="227CBED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浓度</w:t>
                  </w:r>
                </w:p>
              </w:tc>
              <w:tc>
                <w:tcPr>
                  <w:tcW w:w="776" w:type="dxa"/>
                  <w:tcBorders>
                    <w:tl2br w:val="nil"/>
                    <w:tr2bl w:val="nil"/>
                  </w:tcBorders>
                  <w:shd w:val="clear" w:color="auto" w:fill="auto"/>
                  <w:noWrap/>
                  <w:vAlign w:val="center"/>
                </w:tcPr>
                <w:p w14:paraId="1036CBD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692" w:type="dxa"/>
                  <w:tcBorders>
                    <w:tl2br w:val="nil"/>
                    <w:tr2bl w:val="nil"/>
                  </w:tcBorders>
                  <w:shd w:val="clear" w:color="auto" w:fill="auto"/>
                  <w:noWrap/>
                  <w:vAlign w:val="center"/>
                </w:tcPr>
                <w:p w14:paraId="65AF212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1.83</w:t>
                  </w:r>
                </w:p>
              </w:tc>
              <w:tc>
                <w:tcPr>
                  <w:tcW w:w="838" w:type="dxa"/>
                  <w:tcBorders>
                    <w:tl2br w:val="nil"/>
                    <w:tr2bl w:val="nil"/>
                  </w:tcBorders>
                  <w:shd w:val="clear" w:color="auto" w:fill="auto"/>
                  <w:noWrap/>
                  <w:vAlign w:val="center"/>
                </w:tcPr>
                <w:p w14:paraId="7A55D8E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1.53</w:t>
                  </w:r>
                </w:p>
              </w:tc>
              <w:tc>
                <w:tcPr>
                  <w:tcW w:w="775" w:type="dxa"/>
                  <w:tcBorders>
                    <w:tl2br w:val="nil"/>
                    <w:tr2bl w:val="nil"/>
                  </w:tcBorders>
                  <w:shd w:val="clear" w:color="auto" w:fill="auto"/>
                  <w:noWrap/>
                  <w:vAlign w:val="center"/>
                </w:tcPr>
                <w:p w14:paraId="12BCD1D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1.96</w:t>
                  </w:r>
                </w:p>
              </w:tc>
              <w:tc>
                <w:tcPr>
                  <w:tcW w:w="780" w:type="dxa"/>
                  <w:tcBorders>
                    <w:tl2br w:val="nil"/>
                    <w:tr2bl w:val="nil"/>
                  </w:tcBorders>
                  <w:shd w:val="clear" w:color="auto" w:fill="auto"/>
                  <w:noWrap/>
                  <w:vAlign w:val="center"/>
                </w:tcPr>
                <w:p w14:paraId="5731DA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1.77 </w:t>
                  </w:r>
                </w:p>
              </w:tc>
              <w:tc>
                <w:tcPr>
                  <w:tcW w:w="674" w:type="dxa"/>
                  <w:tcBorders>
                    <w:tl2br w:val="nil"/>
                    <w:tr2bl w:val="nil"/>
                  </w:tcBorders>
                  <w:shd w:val="clear" w:color="auto" w:fill="auto"/>
                  <w:noWrap/>
                  <w:vAlign w:val="center"/>
                </w:tcPr>
                <w:p w14:paraId="32108175">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60</w:t>
                  </w:r>
                </w:p>
              </w:tc>
            </w:tr>
            <w:tr w14:paraId="13E631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61" w:hRule="atLeast"/>
                <w:jc w:val="center"/>
              </w:trPr>
              <w:tc>
                <w:tcPr>
                  <w:tcW w:w="674" w:type="dxa"/>
                  <w:vMerge w:val="continue"/>
                  <w:tcBorders>
                    <w:tl2br w:val="nil"/>
                    <w:tr2bl w:val="nil"/>
                  </w:tcBorders>
                  <w:shd w:val="clear" w:color="auto" w:fill="auto"/>
                  <w:noWrap/>
                  <w:vAlign w:val="center"/>
                </w:tcPr>
                <w:p w14:paraId="6BEC2DF2">
                  <w:pPr>
                    <w:jc w:val="center"/>
                    <w:rPr>
                      <w:rFonts w:hint="default" w:ascii="Times New Roman" w:hAnsi="Times New Roman" w:eastAsia="宋体" w:cs="Times New Roman"/>
                      <w:i w:val="0"/>
                      <w:iCs w:val="0"/>
                      <w:color w:val="auto"/>
                      <w:sz w:val="21"/>
                      <w:szCs w:val="21"/>
                      <w:u w:val="none"/>
                    </w:rPr>
                  </w:pPr>
                </w:p>
              </w:tc>
              <w:tc>
                <w:tcPr>
                  <w:tcW w:w="921" w:type="dxa"/>
                  <w:vMerge w:val="continue"/>
                  <w:tcBorders>
                    <w:tl2br w:val="nil"/>
                    <w:tr2bl w:val="nil"/>
                  </w:tcBorders>
                  <w:shd w:val="clear" w:color="auto" w:fill="auto"/>
                  <w:vAlign w:val="center"/>
                </w:tcPr>
                <w:p w14:paraId="73F195FD">
                  <w:pPr>
                    <w:jc w:val="center"/>
                    <w:rPr>
                      <w:rFonts w:hint="default" w:ascii="Times New Roman" w:hAnsi="Times New Roman" w:eastAsia="宋体" w:cs="Times New Roman"/>
                      <w:i w:val="0"/>
                      <w:iCs w:val="0"/>
                      <w:color w:val="auto"/>
                      <w:sz w:val="21"/>
                      <w:szCs w:val="21"/>
                      <w:u w:val="none"/>
                    </w:rPr>
                  </w:pPr>
                </w:p>
              </w:tc>
              <w:tc>
                <w:tcPr>
                  <w:tcW w:w="840" w:type="dxa"/>
                  <w:vMerge w:val="continue"/>
                  <w:tcBorders>
                    <w:tl2br w:val="nil"/>
                    <w:tr2bl w:val="nil"/>
                  </w:tcBorders>
                  <w:shd w:val="clear" w:color="auto" w:fill="auto"/>
                  <w:vAlign w:val="center"/>
                </w:tcPr>
                <w:p w14:paraId="1720A919">
                  <w:pPr>
                    <w:jc w:val="center"/>
                    <w:rPr>
                      <w:rFonts w:hint="default" w:ascii="Times New Roman" w:hAnsi="Times New Roman" w:eastAsia="宋体" w:cs="Times New Roman"/>
                      <w:i w:val="0"/>
                      <w:iCs w:val="0"/>
                      <w:color w:val="auto"/>
                      <w:sz w:val="21"/>
                      <w:szCs w:val="21"/>
                      <w:u w:val="none"/>
                    </w:rPr>
                  </w:pPr>
                </w:p>
              </w:tc>
              <w:tc>
                <w:tcPr>
                  <w:tcW w:w="767" w:type="dxa"/>
                  <w:tcBorders>
                    <w:tl2br w:val="nil"/>
                    <w:tr2bl w:val="nil"/>
                  </w:tcBorders>
                  <w:shd w:val="clear" w:color="auto" w:fill="auto"/>
                  <w:vAlign w:val="center"/>
                </w:tcPr>
                <w:p w14:paraId="0812163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速率</w:t>
                  </w:r>
                </w:p>
              </w:tc>
              <w:tc>
                <w:tcPr>
                  <w:tcW w:w="776" w:type="dxa"/>
                  <w:tcBorders>
                    <w:tl2br w:val="nil"/>
                    <w:tr2bl w:val="nil"/>
                  </w:tcBorders>
                  <w:shd w:val="clear" w:color="auto" w:fill="auto"/>
                  <w:noWrap/>
                  <w:vAlign w:val="center"/>
                </w:tcPr>
                <w:p w14:paraId="0836BA4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kg/h</w:t>
                  </w:r>
                </w:p>
              </w:tc>
              <w:tc>
                <w:tcPr>
                  <w:tcW w:w="692" w:type="dxa"/>
                  <w:tcBorders>
                    <w:tl2br w:val="nil"/>
                    <w:tr2bl w:val="nil"/>
                  </w:tcBorders>
                  <w:shd w:val="clear" w:color="auto" w:fill="auto"/>
                  <w:noWrap/>
                  <w:vAlign w:val="center"/>
                </w:tcPr>
                <w:p w14:paraId="3C1F339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4</w:t>
                  </w:r>
                </w:p>
              </w:tc>
              <w:tc>
                <w:tcPr>
                  <w:tcW w:w="838" w:type="dxa"/>
                  <w:tcBorders>
                    <w:tl2br w:val="nil"/>
                    <w:tr2bl w:val="nil"/>
                  </w:tcBorders>
                  <w:shd w:val="clear" w:color="auto" w:fill="auto"/>
                  <w:noWrap/>
                  <w:vAlign w:val="center"/>
                </w:tcPr>
                <w:p w14:paraId="79D8380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775" w:type="dxa"/>
                  <w:tcBorders>
                    <w:tl2br w:val="nil"/>
                    <w:tr2bl w:val="nil"/>
                  </w:tcBorders>
                  <w:shd w:val="clear" w:color="auto" w:fill="auto"/>
                  <w:noWrap/>
                  <w:vAlign w:val="center"/>
                </w:tcPr>
                <w:p w14:paraId="358020E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780" w:type="dxa"/>
                  <w:tcBorders>
                    <w:tl2br w:val="nil"/>
                    <w:tr2bl w:val="nil"/>
                  </w:tcBorders>
                  <w:shd w:val="clear" w:color="auto" w:fill="auto"/>
                  <w:noWrap/>
                  <w:vAlign w:val="center"/>
                </w:tcPr>
                <w:p w14:paraId="67B6E7A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xml:space="preserve">0.013 </w:t>
                  </w:r>
                </w:p>
              </w:tc>
              <w:tc>
                <w:tcPr>
                  <w:tcW w:w="674" w:type="dxa"/>
                  <w:tcBorders>
                    <w:tl2br w:val="nil"/>
                    <w:tr2bl w:val="nil"/>
                  </w:tcBorders>
                  <w:shd w:val="clear" w:color="auto" w:fill="auto"/>
                  <w:noWrap/>
                  <w:vAlign w:val="center"/>
                </w:tcPr>
                <w:p w14:paraId="444ED60A">
                  <w:pPr>
                    <w:keepNext w:val="0"/>
                    <w:keepLines w:val="0"/>
                    <w:widowControl/>
                    <w:suppressLineNumbers w:val="0"/>
                    <w:jc w:val="center"/>
                    <w:textAlignment w:val="center"/>
                    <w:rPr>
                      <w:rFonts w:hint="eastAsia"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w:t>
                  </w:r>
                </w:p>
              </w:tc>
            </w:tr>
          </w:tbl>
          <w:p w14:paraId="1F1F54AC">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eastAsia"/>
                <w:color w:val="auto"/>
                <w:sz w:val="24"/>
                <w:highlight w:val="none"/>
                <w:lang w:val="en-US" w:eastAsia="zh-CN"/>
              </w:rPr>
            </w:pPr>
            <w:r>
              <w:rPr>
                <w:rFonts w:hint="default"/>
                <w:color w:val="auto"/>
                <w:sz w:val="24"/>
                <w:highlight w:val="none"/>
              </w:rPr>
              <w:t>从上表可知，项目</w:t>
            </w:r>
            <w:r>
              <w:rPr>
                <w:rFonts w:hint="eastAsia"/>
                <w:color w:val="auto"/>
                <w:sz w:val="24"/>
                <w:highlight w:val="none"/>
                <w:lang w:val="en-US" w:eastAsia="zh-CN"/>
              </w:rPr>
              <w:t>现状</w:t>
            </w:r>
            <w:r>
              <w:rPr>
                <w:rFonts w:hint="default"/>
                <w:color w:val="auto"/>
                <w:sz w:val="24"/>
                <w:highlight w:val="none"/>
              </w:rPr>
              <w:t>运行期非甲烷总烃</w:t>
            </w:r>
            <w:r>
              <w:rPr>
                <w:rFonts w:hint="eastAsia"/>
                <w:color w:val="auto"/>
                <w:sz w:val="24"/>
                <w:highlight w:val="none"/>
                <w:lang w:val="en-US" w:eastAsia="zh-CN"/>
              </w:rPr>
              <w:t>有组织排放</w:t>
            </w:r>
            <w:r>
              <w:rPr>
                <w:rFonts w:hint="default"/>
                <w:color w:val="auto"/>
                <w:sz w:val="24"/>
                <w:highlight w:val="none"/>
              </w:rPr>
              <w:t>满足</w:t>
            </w:r>
            <w:r>
              <w:rPr>
                <w:rFonts w:hint="eastAsia"/>
                <w:color w:val="auto"/>
                <w:sz w:val="24"/>
                <w:highlight w:val="none"/>
                <w:lang w:val="en-US" w:eastAsia="zh-CN"/>
              </w:rPr>
              <w:t>《制药工业大气污染物排放标准》（GB 37823-2019）表2中大气污染排放物限值。</w:t>
            </w:r>
          </w:p>
          <w:p w14:paraId="3A34D8FF">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left"/>
              <w:textAlignment w:val="auto"/>
              <w:rPr>
                <w:rFonts w:hint="default"/>
                <w:b/>
                <w:bCs/>
                <w:color w:val="auto"/>
                <w:sz w:val="24"/>
                <w:highlight w:val="none"/>
                <w:lang w:val="en-US" w:eastAsia="zh-CN"/>
              </w:rPr>
            </w:pPr>
            <w:r>
              <w:rPr>
                <w:rFonts w:hint="default" w:ascii="Calibri" w:hAnsi="Calibri" w:cs="Calibri"/>
                <w:b/>
                <w:bCs/>
                <w:color w:val="auto"/>
                <w:sz w:val="24"/>
                <w:highlight w:val="none"/>
                <w:lang w:val="en-US" w:eastAsia="zh-CN"/>
              </w:rPr>
              <w:t>②</w:t>
            </w:r>
            <w:r>
              <w:rPr>
                <w:rFonts w:hint="eastAsia"/>
                <w:b/>
                <w:bCs/>
                <w:color w:val="auto"/>
                <w:sz w:val="24"/>
                <w:highlight w:val="none"/>
                <w:lang w:val="en-US" w:eastAsia="zh-CN"/>
              </w:rPr>
              <w:t>无组织废气</w:t>
            </w:r>
          </w:p>
          <w:p w14:paraId="4407C771">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both"/>
              <w:textAlignment w:val="auto"/>
              <w:rPr>
                <w:rFonts w:hint="eastAsia"/>
                <w:color w:val="auto"/>
                <w:sz w:val="24"/>
                <w:highlight w:val="none"/>
                <w:lang w:eastAsia="zh-CN"/>
              </w:rPr>
            </w:pPr>
            <w:r>
              <w:rPr>
                <w:rFonts w:hint="eastAsia"/>
                <w:color w:val="auto"/>
                <w:sz w:val="24"/>
                <w:highlight w:val="none"/>
                <w:lang w:eastAsia="zh-CN"/>
              </w:rPr>
              <w:t>本项</w:t>
            </w:r>
            <w:r>
              <w:rPr>
                <w:rFonts w:hint="default"/>
                <w:color w:val="auto"/>
                <w:sz w:val="24"/>
                <w:highlight w:val="none"/>
              </w:rPr>
              <w:t>目运营期废气主要为非甲烷总烃。根据建设单位</w:t>
            </w:r>
            <w:r>
              <w:rPr>
                <w:rFonts w:hint="eastAsia"/>
                <w:color w:val="auto"/>
                <w:sz w:val="24"/>
                <w:highlight w:val="none"/>
                <w:lang w:val="en-US" w:eastAsia="zh-CN"/>
              </w:rPr>
              <w:t>竣工环保监测验收报告（附件6）</w:t>
            </w:r>
            <w:r>
              <w:rPr>
                <w:rFonts w:hint="default"/>
                <w:color w:val="auto"/>
                <w:sz w:val="24"/>
                <w:highlight w:val="none"/>
              </w:rPr>
              <w:t>，厂界监测结果见下表</w:t>
            </w:r>
            <w:r>
              <w:rPr>
                <w:rFonts w:hint="eastAsia"/>
                <w:color w:val="auto"/>
                <w:sz w:val="24"/>
                <w:highlight w:val="none"/>
                <w:lang w:eastAsia="zh-CN"/>
              </w:rPr>
              <w:t>：</w:t>
            </w:r>
          </w:p>
          <w:p w14:paraId="45C86579">
            <w:pPr>
              <w:pStyle w:val="83"/>
              <w:keepNext w:val="0"/>
              <w:keepLines w:val="0"/>
              <w:pageBreakBefore w:val="0"/>
              <w:widowControl w:val="0"/>
              <w:tabs>
                <w:tab w:val="left" w:pos="0"/>
              </w:tabs>
              <w:kinsoku/>
              <w:wordWrap/>
              <w:overflowPunct/>
              <w:topLinePunct w:val="0"/>
              <w:autoSpaceDE w:val="0"/>
              <w:autoSpaceDN w:val="0"/>
              <w:bidi w:val="0"/>
              <w:adjustRightInd w:val="0"/>
              <w:snapToGrid/>
              <w:spacing w:before="34" w:beforeLines="100" w:line="212" w:lineRule="auto"/>
              <w:jc w:val="center"/>
              <w:textAlignment w:val="auto"/>
              <w:outlineLvl w:val="1"/>
              <w:rPr>
                <w:b/>
                <w:bCs/>
                <w:color w:val="auto"/>
                <w:spacing w:val="-2"/>
                <w:sz w:val="24"/>
                <w:szCs w:val="24"/>
                <w:highlight w:val="none"/>
              </w:rPr>
            </w:pPr>
            <w:r>
              <w:rPr>
                <w:b/>
                <w:bCs/>
                <w:color w:val="auto"/>
                <w:spacing w:val="-2"/>
                <w:sz w:val="24"/>
                <w:szCs w:val="24"/>
                <w:highlight w:val="none"/>
              </w:rPr>
              <w:t>表</w:t>
            </w:r>
            <w:r>
              <w:rPr>
                <w:color w:val="auto"/>
                <w:spacing w:val="-52"/>
                <w:sz w:val="24"/>
                <w:szCs w:val="24"/>
                <w:highlight w:val="none"/>
              </w:rPr>
              <w:t xml:space="preserve"> </w:t>
            </w:r>
            <w:r>
              <w:rPr>
                <w:rFonts w:ascii="Times New Roman" w:hAnsi="Times New Roman" w:eastAsia="Times New Roman" w:cs="Times New Roman"/>
                <w:b/>
                <w:bCs/>
                <w:color w:val="auto"/>
                <w:spacing w:val="-2"/>
                <w:sz w:val="24"/>
                <w:szCs w:val="24"/>
                <w:highlight w:val="none"/>
              </w:rPr>
              <w:t>2-1</w:t>
            </w:r>
            <w:r>
              <w:rPr>
                <w:rFonts w:hint="eastAsia" w:ascii="Times New Roman" w:hAnsi="Times New Roman" w:cs="Times New Roman"/>
                <w:b/>
                <w:bCs/>
                <w:color w:val="auto"/>
                <w:spacing w:val="-2"/>
                <w:sz w:val="24"/>
                <w:szCs w:val="24"/>
                <w:highlight w:val="none"/>
                <w:lang w:val="en-US" w:eastAsia="zh-CN"/>
              </w:rPr>
              <w:t>3</w:t>
            </w:r>
            <w:r>
              <w:rPr>
                <w:rFonts w:ascii="Times New Roman" w:hAnsi="Times New Roman" w:eastAsia="Times New Roman" w:cs="Times New Roman"/>
                <w:b/>
                <w:bCs/>
                <w:color w:val="auto"/>
                <w:spacing w:val="-2"/>
                <w:sz w:val="24"/>
                <w:szCs w:val="24"/>
                <w:highlight w:val="none"/>
              </w:rPr>
              <w:t xml:space="preserve"> </w:t>
            </w:r>
            <w:r>
              <w:rPr>
                <w:b/>
                <w:bCs/>
                <w:color w:val="auto"/>
                <w:spacing w:val="-2"/>
                <w:sz w:val="24"/>
                <w:szCs w:val="24"/>
                <w:highlight w:val="none"/>
              </w:rPr>
              <w:t>现有项目</w:t>
            </w:r>
            <w:r>
              <w:rPr>
                <w:rFonts w:hint="eastAsia"/>
                <w:b/>
                <w:bCs/>
                <w:color w:val="auto"/>
                <w:spacing w:val="-2"/>
                <w:sz w:val="24"/>
                <w:szCs w:val="24"/>
                <w:highlight w:val="none"/>
                <w:lang w:val="en-US" w:eastAsia="zh-CN"/>
              </w:rPr>
              <w:t>无组织废气</w:t>
            </w:r>
            <w:r>
              <w:rPr>
                <w:b/>
                <w:bCs/>
                <w:color w:val="auto"/>
                <w:spacing w:val="-2"/>
                <w:sz w:val="24"/>
                <w:szCs w:val="24"/>
                <w:highlight w:val="none"/>
              </w:rPr>
              <w:t>监测结果一览表</w:t>
            </w:r>
          </w:p>
          <w:tbl>
            <w:tblPr>
              <w:tblStyle w:val="30"/>
              <w:tblW w:w="7816"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02"/>
              <w:gridCol w:w="1179"/>
              <w:gridCol w:w="846"/>
              <w:gridCol w:w="1685"/>
              <w:gridCol w:w="1574"/>
              <w:gridCol w:w="1330"/>
            </w:tblGrid>
            <w:tr w14:paraId="6E90D2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6" w:hRule="atLeast"/>
                <w:jc w:val="center"/>
              </w:trPr>
              <w:tc>
                <w:tcPr>
                  <w:tcW w:w="768" w:type="pct"/>
                  <w:tcBorders>
                    <w:tl2br w:val="nil"/>
                    <w:tr2bl w:val="nil"/>
                  </w:tcBorders>
                  <w:shd w:val="clear" w:color="auto" w:fill="auto"/>
                  <w:vAlign w:val="center"/>
                </w:tcPr>
                <w:p w14:paraId="1EE993E1">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点</w:t>
                  </w:r>
                  <w:r>
                    <w:rPr>
                      <w:rFonts w:hint="default" w:ascii="Times New Roman" w:hAnsi="Times New Roman" w:eastAsia="宋体" w:cs="Times New Roman"/>
                      <w:b/>
                      <w:bCs/>
                      <w:i w:val="0"/>
                      <w:iCs w:val="0"/>
                      <w:color w:val="auto"/>
                      <w:kern w:val="0"/>
                      <w:sz w:val="22"/>
                      <w:szCs w:val="22"/>
                      <w:highlight w:val="none"/>
                      <w:u w:val="none"/>
                      <w:lang w:val="en-US" w:eastAsia="zh-CN" w:bidi="ar"/>
                    </w:rPr>
                    <w:t xml:space="preserve">  </w:t>
                  </w:r>
                  <w:r>
                    <w:rPr>
                      <w:rFonts w:hint="eastAsia" w:ascii="宋体" w:hAnsi="宋体" w:eastAsia="宋体" w:cs="宋体"/>
                      <w:b/>
                      <w:bCs/>
                      <w:i w:val="0"/>
                      <w:iCs w:val="0"/>
                      <w:color w:val="auto"/>
                      <w:kern w:val="0"/>
                      <w:sz w:val="22"/>
                      <w:szCs w:val="22"/>
                      <w:highlight w:val="none"/>
                      <w:u w:val="none"/>
                      <w:lang w:val="en-US" w:eastAsia="zh-CN" w:bidi="ar"/>
                    </w:rPr>
                    <w:t>位</w:t>
                  </w:r>
                </w:p>
              </w:tc>
              <w:tc>
                <w:tcPr>
                  <w:tcW w:w="754" w:type="pct"/>
                  <w:tcBorders>
                    <w:tl2br w:val="nil"/>
                    <w:tr2bl w:val="nil"/>
                  </w:tcBorders>
                  <w:shd w:val="clear" w:color="auto" w:fill="auto"/>
                  <w:vAlign w:val="center"/>
                </w:tcPr>
                <w:p w14:paraId="054F2AE3">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监测时间</w:t>
                  </w:r>
                </w:p>
              </w:tc>
              <w:tc>
                <w:tcPr>
                  <w:tcW w:w="541" w:type="pct"/>
                  <w:tcBorders>
                    <w:tl2br w:val="nil"/>
                    <w:tr2bl w:val="nil"/>
                  </w:tcBorders>
                  <w:shd w:val="clear" w:color="auto" w:fill="auto"/>
                  <w:vAlign w:val="center"/>
                </w:tcPr>
                <w:p w14:paraId="1598BE59">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监测项目</w:t>
                  </w:r>
                </w:p>
              </w:tc>
              <w:tc>
                <w:tcPr>
                  <w:tcW w:w="1077" w:type="pct"/>
                  <w:tcBorders>
                    <w:tl2br w:val="nil"/>
                    <w:tr2bl w:val="nil"/>
                  </w:tcBorders>
                  <w:shd w:val="clear" w:color="auto" w:fill="auto"/>
                  <w:vAlign w:val="center"/>
                </w:tcPr>
                <w:p w14:paraId="0FD4EC27">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监测结果</w:t>
                  </w:r>
                  <w:r>
                    <w:rPr>
                      <w:rFonts w:hint="default" w:ascii="Times New Roman" w:hAnsi="Times New Roman" w:eastAsia="宋体" w:cs="Times New Roman"/>
                      <w:b/>
                      <w:bCs/>
                      <w:i w:val="0"/>
                      <w:iCs w:val="0"/>
                      <w:color w:val="auto"/>
                      <w:kern w:val="0"/>
                      <w:sz w:val="22"/>
                      <w:szCs w:val="22"/>
                      <w:highlight w:val="none"/>
                      <w:u w:val="none"/>
                      <w:lang w:val="en-US" w:eastAsia="zh-CN" w:bidi="ar"/>
                    </w:rPr>
                    <w:t xml:space="preserve"> </w:t>
                  </w:r>
                  <w:r>
                    <w:rPr>
                      <w:rFonts w:hint="eastAsia" w:ascii="宋体" w:hAnsi="宋体" w:eastAsia="宋体" w:cs="宋体"/>
                      <w:b/>
                      <w:bCs/>
                      <w:i w:val="0"/>
                      <w:iCs w:val="0"/>
                      <w:color w:val="auto"/>
                      <w:kern w:val="0"/>
                      <w:sz w:val="22"/>
                      <w:szCs w:val="22"/>
                      <w:highlight w:val="none"/>
                      <w:u w:val="none"/>
                      <w:lang w:val="en-US" w:eastAsia="zh-CN" w:bidi="ar"/>
                    </w:rPr>
                    <w:t>（</w:t>
                  </w:r>
                  <w:r>
                    <w:rPr>
                      <w:rFonts w:hint="default" w:ascii="Times New Roman" w:hAnsi="Times New Roman" w:eastAsia="宋体" w:cs="Times New Roman"/>
                      <w:b/>
                      <w:bCs/>
                      <w:i w:val="0"/>
                      <w:iCs w:val="0"/>
                      <w:color w:val="auto"/>
                      <w:kern w:val="0"/>
                      <w:sz w:val="22"/>
                      <w:szCs w:val="22"/>
                      <w:highlight w:val="none"/>
                      <w:u w:val="none"/>
                      <w:lang w:val="en-US" w:eastAsia="zh-CN" w:bidi="ar"/>
                    </w:rPr>
                    <w:t>mg/m</w:t>
                  </w:r>
                  <w:r>
                    <w:rPr>
                      <w:rFonts w:hint="default" w:ascii="Times New Roman" w:hAnsi="Times New Roman" w:eastAsia="宋体" w:cs="Times New Roman"/>
                      <w:b/>
                      <w:bCs/>
                      <w:i w:val="0"/>
                      <w:iCs w:val="0"/>
                      <w:color w:val="auto"/>
                      <w:kern w:val="0"/>
                      <w:sz w:val="22"/>
                      <w:szCs w:val="22"/>
                      <w:highlight w:val="none"/>
                      <w:u w:val="none"/>
                      <w:vertAlign w:val="superscript"/>
                      <w:lang w:val="en-US" w:eastAsia="zh-CN" w:bidi="ar"/>
                    </w:rPr>
                    <w:t>3</w:t>
                  </w:r>
                  <w:r>
                    <w:rPr>
                      <w:rFonts w:hint="eastAsia" w:ascii="宋体" w:hAnsi="宋体" w:eastAsia="宋体" w:cs="宋体"/>
                      <w:b/>
                      <w:bCs/>
                      <w:i w:val="0"/>
                      <w:iCs w:val="0"/>
                      <w:color w:val="auto"/>
                      <w:kern w:val="0"/>
                      <w:sz w:val="22"/>
                      <w:szCs w:val="22"/>
                      <w:highlight w:val="none"/>
                      <w:u w:val="none"/>
                      <w:lang w:val="en-US" w:eastAsia="zh-CN" w:bidi="ar"/>
                    </w:rPr>
                    <w:t>）</w:t>
                  </w:r>
                </w:p>
              </w:tc>
              <w:tc>
                <w:tcPr>
                  <w:tcW w:w="1006" w:type="pct"/>
                  <w:tcBorders>
                    <w:tl2br w:val="nil"/>
                    <w:tr2bl w:val="nil"/>
                  </w:tcBorders>
                  <w:shd w:val="clear" w:color="auto" w:fill="auto"/>
                  <w:vAlign w:val="center"/>
                </w:tcPr>
                <w:p w14:paraId="00C0368E">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标准限值（</w:t>
                  </w:r>
                  <w:r>
                    <w:rPr>
                      <w:rFonts w:hint="default" w:ascii="Times New Roman" w:hAnsi="Times New Roman" w:eastAsia="宋体" w:cs="Times New Roman"/>
                      <w:b/>
                      <w:bCs/>
                      <w:i w:val="0"/>
                      <w:iCs w:val="0"/>
                      <w:color w:val="auto"/>
                      <w:kern w:val="0"/>
                      <w:sz w:val="22"/>
                      <w:szCs w:val="22"/>
                      <w:highlight w:val="none"/>
                      <w:u w:val="none"/>
                      <w:lang w:val="en-US" w:eastAsia="zh-CN" w:bidi="ar"/>
                    </w:rPr>
                    <w:t>mg/m</w:t>
                  </w:r>
                  <w:r>
                    <w:rPr>
                      <w:rStyle w:val="101"/>
                      <w:rFonts w:hint="default" w:ascii="Times New Roman" w:hAnsi="Times New Roman" w:cs="Times New Roman"/>
                      <w:color w:val="auto"/>
                      <w:sz w:val="22"/>
                      <w:szCs w:val="22"/>
                      <w:highlight w:val="none"/>
                      <w:lang w:val="en-US" w:eastAsia="zh-CN" w:bidi="ar"/>
                    </w:rPr>
                    <w:t>3</w:t>
                  </w:r>
                  <w:r>
                    <w:rPr>
                      <w:rFonts w:hint="eastAsia" w:ascii="宋体" w:hAnsi="宋体" w:eastAsia="宋体" w:cs="宋体"/>
                      <w:b/>
                      <w:bCs/>
                      <w:i w:val="0"/>
                      <w:iCs w:val="0"/>
                      <w:color w:val="auto"/>
                      <w:kern w:val="0"/>
                      <w:sz w:val="22"/>
                      <w:szCs w:val="22"/>
                      <w:highlight w:val="none"/>
                      <w:u w:val="none"/>
                      <w:lang w:val="en-US" w:eastAsia="zh-CN" w:bidi="ar"/>
                    </w:rPr>
                    <w:t>）</w:t>
                  </w:r>
                </w:p>
              </w:tc>
              <w:tc>
                <w:tcPr>
                  <w:tcW w:w="850" w:type="pct"/>
                  <w:tcBorders>
                    <w:tl2br w:val="nil"/>
                    <w:tr2bl w:val="nil"/>
                  </w:tcBorders>
                  <w:shd w:val="clear" w:color="auto" w:fill="auto"/>
                  <w:vAlign w:val="center"/>
                </w:tcPr>
                <w:p w14:paraId="3D88F274">
                  <w:pPr>
                    <w:keepNext w:val="0"/>
                    <w:keepLines w:val="0"/>
                    <w:widowControl/>
                    <w:suppressLineNumbers w:val="0"/>
                    <w:jc w:val="center"/>
                    <w:textAlignment w:val="center"/>
                    <w:rPr>
                      <w:rFonts w:hint="default"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达标情况</w:t>
                  </w:r>
                </w:p>
              </w:tc>
            </w:tr>
            <w:tr w14:paraId="5FF2CF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59" w:hRule="atLeast"/>
                <w:jc w:val="center"/>
              </w:trPr>
              <w:tc>
                <w:tcPr>
                  <w:tcW w:w="768" w:type="pct"/>
                  <w:vMerge w:val="restart"/>
                  <w:tcBorders>
                    <w:tl2br w:val="nil"/>
                    <w:tr2bl w:val="nil"/>
                  </w:tcBorders>
                  <w:shd w:val="clear" w:color="auto" w:fill="auto"/>
                  <w:vAlign w:val="center"/>
                </w:tcPr>
                <w:p w14:paraId="659B82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default" w:ascii="Times New Roman" w:hAnsi="Times New Roman" w:eastAsia="宋体" w:cs="Times New Roman"/>
                      <w:i w:val="0"/>
                      <w:iCs w:val="0"/>
                      <w:color w:val="auto"/>
                      <w:kern w:val="0"/>
                      <w:sz w:val="22"/>
                      <w:szCs w:val="22"/>
                      <w:highlight w:val="none"/>
                      <w:u w:val="none"/>
                      <w:lang w:val="en-US" w:eastAsia="zh-CN" w:bidi="ar"/>
                    </w:rPr>
                    <w:t>1#</w:t>
                  </w:r>
                  <w:r>
                    <w:rPr>
                      <w:rStyle w:val="102"/>
                      <w:color w:val="auto"/>
                      <w:sz w:val="22"/>
                      <w:szCs w:val="22"/>
                      <w:highlight w:val="none"/>
                      <w:lang w:val="en-US" w:eastAsia="zh-CN" w:bidi="ar"/>
                    </w:rPr>
                    <w:t>上风向</w:t>
                  </w:r>
                </w:p>
              </w:tc>
              <w:tc>
                <w:tcPr>
                  <w:tcW w:w="754" w:type="pct"/>
                  <w:tcBorders>
                    <w:tl2br w:val="nil"/>
                    <w:tr2bl w:val="nil"/>
                  </w:tcBorders>
                  <w:shd w:val="clear" w:color="auto" w:fill="auto"/>
                  <w:vAlign w:val="center"/>
                </w:tcPr>
                <w:p w14:paraId="6E71E519">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rPr>
                  </w:pPr>
                  <w:r>
                    <w:rPr>
                      <w:rFonts w:hint="eastAsia" w:cs="Times New Roman"/>
                      <w:i w:val="0"/>
                      <w:iCs w:val="0"/>
                      <w:color w:val="auto"/>
                      <w:kern w:val="0"/>
                      <w:sz w:val="22"/>
                      <w:szCs w:val="22"/>
                      <w:highlight w:val="none"/>
                      <w:u w:val="none"/>
                      <w:lang w:val="en-US" w:eastAsia="zh-CN" w:bidi="ar"/>
                    </w:rPr>
                    <w:t>20.23.1.11</w:t>
                  </w:r>
                </w:p>
              </w:tc>
              <w:tc>
                <w:tcPr>
                  <w:tcW w:w="541" w:type="pct"/>
                  <w:vMerge w:val="restart"/>
                  <w:tcBorders>
                    <w:tl2br w:val="nil"/>
                    <w:tr2bl w:val="nil"/>
                  </w:tcBorders>
                  <w:shd w:val="clear" w:color="auto" w:fill="auto"/>
                  <w:vAlign w:val="center"/>
                </w:tcPr>
                <w:p w14:paraId="7294CF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非甲烷总烃</w:t>
                  </w:r>
                </w:p>
              </w:tc>
              <w:tc>
                <w:tcPr>
                  <w:tcW w:w="1077" w:type="pct"/>
                  <w:tcBorders>
                    <w:tl2br w:val="nil"/>
                    <w:tr2bl w:val="nil"/>
                  </w:tcBorders>
                  <w:shd w:val="clear" w:color="auto" w:fill="auto"/>
                  <w:vAlign w:val="center"/>
                </w:tcPr>
                <w:p w14:paraId="2A1DA9CD">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cs="Times New Roman"/>
                      <w:i w:val="0"/>
                      <w:iCs w:val="0"/>
                      <w:color w:val="auto"/>
                      <w:kern w:val="0"/>
                      <w:sz w:val="22"/>
                      <w:szCs w:val="22"/>
                      <w:highlight w:val="none"/>
                      <w:u w:val="none"/>
                      <w:lang w:val="en-US" w:eastAsia="zh-CN" w:bidi="ar"/>
                    </w:rPr>
                    <w:t>0.63~0.73</w:t>
                  </w:r>
                </w:p>
              </w:tc>
              <w:tc>
                <w:tcPr>
                  <w:tcW w:w="1006" w:type="pct"/>
                  <w:vMerge w:val="restart"/>
                  <w:tcBorders>
                    <w:tl2br w:val="nil"/>
                    <w:tr2bl w:val="nil"/>
                  </w:tcBorders>
                  <w:shd w:val="clear" w:color="auto" w:fill="auto"/>
                  <w:noWrap/>
                  <w:vAlign w:val="center"/>
                </w:tcPr>
                <w:p w14:paraId="459A01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p w14:paraId="44777C7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850" w:type="pct"/>
                  <w:vMerge w:val="restart"/>
                  <w:tcBorders>
                    <w:tl2br w:val="nil"/>
                    <w:tr2bl w:val="nil"/>
                  </w:tcBorders>
                  <w:shd w:val="clear" w:color="auto" w:fill="auto"/>
                  <w:noWrap/>
                  <w:vAlign w:val="center"/>
                </w:tcPr>
                <w:p w14:paraId="0F9525E6">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达标</w:t>
                  </w:r>
                </w:p>
              </w:tc>
            </w:tr>
            <w:tr w14:paraId="36F0467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9" w:hRule="atLeast"/>
                <w:jc w:val="center"/>
              </w:trPr>
              <w:tc>
                <w:tcPr>
                  <w:tcW w:w="768" w:type="pct"/>
                  <w:vMerge w:val="continue"/>
                  <w:tcBorders>
                    <w:tl2br w:val="nil"/>
                    <w:tr2bl w:val="nil"/>
                  </w:tcBorders>
                  <w:shd w:val="clear" w:color="auto" w:fill="auto"/>
                  <w:vAlign w:val="center"/>
                </w:tcPr>
                <w:p w14:paraId="0E7B79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p>
              </w:tc>
              <w:tc>
                <w:tcPr>
                  <w:tcW w:w="754" w:type="pct"/>
                  <w:tcBorders>
                    <w:tl2br w:val="nil"/>
                    <w:tr2bl w:val="nil"/>
                  </w:tcBorders>
                  <w:shd w:val="clear" w:color="auto" w:fill="auto"/>
                  <w:vAlign w:val="center"/>
                </w:tcPr>
                <w:p w14:paraId="3632CD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2023.1.12</w:t>
                  </w:r>
                </w:p>
              </w:tc>
              <w:tc>
                <w:tcPr>
                  <w:tcW w:w="541" w:type="pct"/>
                  <w:vMerge w:val="continue"/>
                  <w:tcBorders>
                    <w:tl2br w:val="nil"/>
                    <w:tr2bl w:val="nil"/>
                  </w:tcBorders>
                  <w:shd w:val="clear" w:color="auto" w:fill="auto"/>
                  <w:vAlign w:val="center"/>
                </w:tcPr>
                <w:p w14:paraId="196F0D33">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1077" w:type="pct"/>
                  <w:tcBorders>
                    <w:tl2br w:val="nil"/>
                    <w:tr2bl w:val="nil"/>
                  </w:tcBorders>
                  <w:shd w:val="clear" w:color="auto" w:fill="auto"/>
                  <w:vAlign w:val="center"/>
                </w:tcPr>
                <w:p w14:paraId="29F031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0.60~0.63</w:t>
                  </w:r>
                </w:p>
              </w:tc>
              <w:tc>
                <w:tcPr>
                  <w:tcW w:w="1006" w:type="pct"/>
                  <w:vMerge w:val="continue"/>
                  <w:tcBorders>
                    <w:tl2br w:val="nil"/>
                    <w:tr2bl w:val="nil"/>
                  </w:tcBorders>
                  <w:shd w:val="clear" w:color="auto" w:fill="auto"/>
                  <w:noWrap/>
                  <w:vAlign w:val="center"/>
                </w:tcPr>
                <w:p w14:paraId="11C16A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850" w:type="pct"/>
                  <w:vMerge w:val="continue"/>
                  <w:tcBorders>
                    <w:tl2br w:val="nil"/>
                    <w:tr2bl w:val="nil"/>
                  </w:tcBorders>
                  <w:shd w:val="clear" w:color="auto" w:fill="auto"/>
                  <w:noWrap/>
                  <w:vAlign w:val="center"/>
                </w:tcPr>
                <w:p w14:paraId="5D1DB3A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3863A8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9" w:hRule="atLeast"/>
                <w:jc w:val="center"/>
              </w:trPr>
              <w:tc>
                <w:tcPr>
                  <w:tcW w:w="768" w:type="pct"/>
                  <w:vMerge w:val="restart"/>
                  <w:tcBorders>
                    <w:tl2br w:val="nil"/>
                    <w:tr2bl w:val="nil"/>
                  </w:tcBorders>
                  <w:shd w:val="clear" w:color="auto" w:fill="auto"/>
                  <w:vAlign w:val="center"/>
                </w:tcPr>
                <w:p w14:paraId="2D741005">
                  <w:pPr>
                    <w:jc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2#</w:t>
                  </w:r>
                  <w:r>
                    <w:rPr>
                      <w:rStyle w:val="102"/>
                      <w:color w:val="auto"/>
                      <w:sz w:val="22"/>
                      <w:szCs w:val="22"/>
                      <w:highlight w:val="none"/>
                      <w:lang w:val="en-US" w:eastAsia="zh-CN" w:bidi="ar"/>
                    </w:rPr>
                    <w:t>下风向</w:t>
                  </w:r>
                </w:p>
              </w:tc>
              <w:tc>
                <w:tcPr>
                  <w:tcW w:w="754" w:type="pct"/>
                  <w:tcBorders>
                    <w:tl2br w:val="nil"/>
                    <w:tr2bl w:val="nil"/>
                  </w:tcBorders>
                  <w:shd w:val="clear" w:color="auto" w:fill="auto"/>
                  <w:vAlign w:val="center"/>
                </w:tcPr>
                <w:p w14:paraId="28F433A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cs="Times New Roman"/>
                      <w:i w:val="0"/>
                      <w:iCs w:val="0"/>
                      <w:color w:val="auto"/>
                      <w:kern w:val="0"/>
                      <w:sz w:val="22"/>
                      <w:szCs w:val="22"/>
                      <w:highlight w:val="none"/>
                      <w:u w:val="none"/>
                      <w:lang w:val="en-US" w:eastAsia="zh-CN" w:bidi="ar"/>
                    </w:rPr>
                    <w:t>20.23.1.11</w:t>
                  </w:r>
                </w:p>
              </w:tc>
              <w:tc>
                <w:tcPr>
                  <w:tcW w:w="541" w:type="pct"/>
                  <w:vMerge w:val="continue"/>
                  <w:tcBorders>
                    <w:tl2br w:val="nil"/>
                    <w:tr2bl w:val="nil"/>
                  </w:tcBorders>
                  <w:shd w:val="clear" w:color="auto" w:fill="auto"/>
                  <w:vAlign w:val="center"/>
                </w:tcPr>
                <w:p w14:paraId="5F21F4A1">
                  <w:pPr>
                    <w:jc w:val="center"/>
                    <w:rPr>
                      <w:rFonts w:hint="eastAsia" w:ascii="宋体" w:hAnsi="宋体" w:eastAsia="宋体" w:cs="宋体"/>
                      <w:i w:val="0"/>
                      <w:iCs w:val="0"/>
                      <w:color w:val="auto"/>
                      <w:sz w:val="22"/>
                      <w:szCs w:val="22"/>
                      <w:highlight w:val="none"/>
                      <w:u w:val="none"/>
                    </w:rPr>
                  </w:pPr>
                </w:p>
              </w:tc>
              <w:tc>
                <w:tcPr>
                  <w:tcW w:w="1077" w:type="pct"/>
                  <w:tcBorders>
                    <w:tl2br w:val="nil"/>
                    <w:tr2bl w:val="nil"/>
                  </w:tcBorders>
                  <w:shd w:val="clear" w:color="auto" w:fill="auto"/>
                  <w:vAlign w:val="center"/>
                </w:tcPr>
                <w:p w14:paraId="016B1537">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cs="Times New Roman"/>
                      <w:i w:val="0"/>
                      <w:iCs w:val="0"/>
                      <w:color w:val="auto"/>
                      <w:kern w:val="0"/>
                      <w:sz w:val="22"/>
                      <w:szCs w:val="22"/>
                      <w:highlight w:val="none"/>
                      <w:u w:val="none"/>
                      <w:lang w:val="en-US" w:eastAsia="zh-CN" w:bidi="ar"/>
                    </w:rPr>
                    <w:t>1.22~1.49</w:t>
                  </w:r>
                </w:p>
              </w:tc>
              <w:tc>
                <w:tcPr>
                  <w:tcW w:w="1006" w:type="pct"/>
                  <w:vMerge w:val="continue"/>
                  <w:tcBorders>
                    <w:tl2br w:val="nil"/>
                    <w:tr2bl w:val="nil"/>
                  </w:tcBorders>
                  <w:shd w:val="clear" w:color="auto" w:fill="auto"/>
                  <w:noWrap/>
                  <w:vAlign w:val="center"/>
                </w:tcPr>
                <w:p w14:paraId="597572B1">
                  <w:pPr>
                    <w:jc w:val="center"/>
                    <w:rPr>
                      <w:rFonts w:hint="eastAsia" w:ascii="宋体" w:hAnsi="宋体" w:eastAsia="宋体" w:cs="宋体"/>
                      <w:i w:val="0"/>
                      <w:iCs w:val="0"/>
                      <w:color w:val="auto"/>
                      <w:sz w:val="21"/>
                      <w:szCs w:val="21"/>
                      <w:highlight w:val="none"/>
                      <w:u w:val="none"/>
                    </w:rPr>
                  </w:pPr>
                </w:p>
              </w:tc>
              <w:tc>
                <w:tcPr>
                  <w:tcW w:w="850" w:type="pct"/>
                  <w:vMerge w:val="continue"/>
                  <w:tcBorders>
                    <w:tl2br w:val="nil"/>
                    <w:tr2bl w:val="nil"/>
                  </w:tcBorders>
                  <w:shd w:val="clear" w:color="auto" w:fill="auto"/>
                  <w:noWrap/>
                  <w:vAlign w:val="center"/>
                </w:tcPr>
                <w:p w14:paraId="752D9A3E">
                  <w:pPr>
                    <w:jc w:val="center"/>
                    <w:rPr>
                      <w:rFonts w:hint="eastAsia" w:ascii="宋体" w:hAnsi="宋体" w:eastAsia="宋体" w:cs="宋体"/>
                      <w:i w:val="0"/>
                      <w:iCs w:val="0"/>
                      <w:color w:val="auto"/>
                      <w:sz w:val="21"/>
                      <w:szCs w:val="21"/>
                      <w:highlight w:val="none"/>
                      <w:u w:val="none"/>
                    </w:rPr>
                  </w:pPr>
                </w:p>
              </w:tc>
            </w:tr>
            <w:tr w14:paraId="49DDF6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9" w:hRule="atLeast"/>
                <w:jc w:val="center"/>
              </w:trPr>
              <w:tc>
                <w:tcPr>
                  <w:tcW w:w="768" w:type="pct"/>
                  <w:vMerge w:val="continue"/>
                  <w:tcBorders>
                    <w:tl2br w:val="nil"/>
                    <w:tr2bl w:val="nil"/>
                  </w:tcBorders>
                  <w:shd w:val="clear" w:color="auto" w:fill="auto"/>
                  <w:vAlign w:val="center"/>
                </w:tcPr>
                <w:p w14:paraId="6AD6FC6F">
                  <w:pPr>
                    <w:jc w:val="center"/>
                    <w:rPr>
                      <w:rFonts w:hint="default" w:ascii="Times New Roman" w:hAnsi="Times New Roman" w:eastAsia="宋体" w:cs="Times New Roman"/>
                      <w:i w:val="0"/>
                      <w:iCs w:val="0"/>
                      <w:color w:val="auto"/>
                      <w:kern w:val="0"/>
                      <w:sz w:val="22"/>
                      <w:szCs w:val="22"/>
                      <w:highlight w:val="none"/>
                      <w:u w:val="none"/>
                      <w:lang w:val="en-US" w:eastAsia="zh-CN" w:bidi="ar"/>
                    </w:rPr>
                  </w:pPr>
                </w:p>
              </w:tc>
              <w:tc>
                <w:tcPr>
                  <w:tcW w:w="754" w:type="pct"/>
                  <w:tcBorders>
                    <w:tl2br w:val="nil"/>
                    <w:tr2bl w:val="nil"/>
                  </w:tcBorders>
                  <w:shd w:val="clear" w:color="auto" w:fill="auto"/>
                  <w:vAlign w:val="center"/>
                </w:tcPr>
                <w:p w14:paraId="6951F7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2023.1.12</w:t>
                  </w:r>
                </w:p>
              </w:tc>
              <w:tc>
                <w:tcPr>
                  <w:tcW w:w="541" w:type="pct"/>
                  <w:vMerge w:val="continue"/>
                  <w:tcBorders>
                    <w:tl2br w:val="nil"/>
                    <w:tr2bl w:val="nil"/>
                  </w:tcBorders>
                  <w:shd w:val="clear" w:color="auto" w:fill="auto"/>
                  <w:vAlign w:val="center"/>
                </w:tcPr>
                <w:p w14:paraId="6CFF6147">
                  <w:pPr>
                    <w:jc w:val="center"/>
                    <w:rPr>
                      <w:rFonts w:hint="eastAsia" w:ascii="宋体" w:hAnsi="宋体" w:eastAsia="宋体" w:cs="宋体"/>
                      <w:i w:val="0"/>
                      <w:iCs w:val="0"/>
                      <w:color w:val="auto"/>
                      <w:sz w:val="22"/>
                      <w:szCs w:val="22"/>
                      <w:highlight w:val="none"/>
                      <w:u w:val="none"/>
                    </w:rPr>
                  </w:pPr>
                </w:p>
              </w:tc>
              <w:tc>
                <w:tcPr>
                  <w:tcW w:w="1077" w:type="pct"/>
                  <w:tcBorders>
                    <w:tl2br w:val="nil"/>
                    <w:tr2bl w:val="nil"/>
                  </w:tcBorders>
                  <w:shd w:val="clear" w:color="auto" w:fill="auto"/>
                  <w:vAlign w:val="center"/>
                </w:tcPr>
                <w:p w14:paraId="13D2A2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1.24~1.32</w:t>
                  </w:r>
                </w:p>
              </w:tc>
              <w:tc>
                <w:tcPr>
                  <w:tcW w:w="1006" w:type="pct"/>
                  <w:vMerge w:val="continue"/>
                  <w:tcBorders>
                    <w:tl2br w:val="nil"/>
                    <w:tr2bl w:val="nil"/>
                  </w:tcBorders>
                  <w:shd w:val="clear" w:color="auto" w:fill="auto"/>
                  <w:noWrap/>
                  <w:vAlign w:val="center"/>
                </w:tcPr>
                <w:p w14:paraId="400FE695">
                  <w:pPr>
                    <w:jc w:val="center"/>
                    <w:rPr>
                      <w:rFonts w:hint="eastAsia" w:ascii="宋体" w:hAnsi="宋体" w:eastAsia="宋体" w:cs="宋体"/>
                      <w:i w:val="0"/>
                      <w:iCs w:val="0"/>
                      <w:color w:val="auto"/>
                      <w:sz w:val="21"/>
                      <w:szCs w:val="21"/>
                      <w:highlight w:val="none"/>
                      <w:u w:val="none"/>
                    </w:rPr>
                  </w:pPr>
                </w:p>
              </w:tc>
              <w:tc>
                <w:tcPr>
                  <w:tcW w:w="850" w:type="pct"/>
                  <w:vMerge w:val="continue"/>
                  <w:tcBorders>
                    <w:tl2br w:val="nil"/>
                    <w:tr2bl w:val="nil"/>
                  </w:tcBorders>
                  <w:shd w:val="clear" w:color="auto" w:fill="auto"/>
                  <w:noWrap/>
                  <w:vAlign w:val="center"/>
                </w:tcPr>
                <w:p w14:paraId="74B67F48">
                  <w:pPr>
                    <w:jc w:val="center"/>
                    <w:rPr>
                      <w:rFonts w:hint="eastAsia" w:ascii="宋体" w:hAnsi="宋体" w:eastAsia="宋体" w:cs="宋体"/>
                      <w:i w:val="0"/>
                      <w:iCs w:val="0"/>
                      <w:color w:val="auto"/>
                      <w:sz w:val="21"/>
                      <w:szCs w:val="21"/>
                      <w:highlight w:val="none"/>
                      <w:u w:val="none"/>
                    </w:rPr>
                  </w:pPr>
                </w:p>
              </w:tc>
            </w:tr>
            <w:tr w14:paraId="18DFF7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59" w:hRule="atLeast"/>
                <w:jc w:val="center"/>
              </w:trPr>
              <w:tc>
                <w:tcPr>
                  <w:tcW w:w="768" w:type="pct"/>
                  <w:vMerge w:val="restart"/>
                  <w:tcBorders>
                    <w:tl2br w:val="nil"/>
                    <w:tr2bl w:val="nil"/>
                  </w:tcBorders>
                  <w:shd w:val="clear" w:color="auto" w:fill="auto"/>
                  <w:vAlign w:val="center"/>
                </w:tcPr>
                <w:p w14:paraId="1EDDF677">
                  <w:pPr>
                    <w:jc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3#</w:t>
                  </w:r>
                  <w:r>
                    <w:rPr>
                      <w:rStyle w:val="102"/>
                      <w:color w:val="auto"/>
                      <w:sz w:val="22"/>
                      <w:szCs w:val="22"/>
                      <w:highlight w:val="none"/>
                      <w:lang w:val="en-US" w:eastAsia="zh-CN" w:bidi="ar"/>
                    </w:rPr>
                    <w:t>下风向</w:t>
                  </w:r>
                </w:p>
              </w:tc>
              <w:tc>
                <w:tcPr>
                  <w:tcW w:w="754" w:type="pct"/>
                  <w:tcBorders>
                    <w:tl2br w:val="nil"/>
                    <w:tr2bl w:val="nil"/>
                  </w:tcBorders>
                  <w:shd w:val="clear" w:color="auto" w:fill="auto"/>
                  <w:vAlign w:val="center"/>
                </w:tcPr>
                <w:p w14:paraId="18F8C38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cs="Times New Roman"/>
                      <w:i w:val="0"/>
                      <w:iCs w:val="0"/>
                      <w:color w:val="auto"/>
                      <w:kern w:val="0"/>
                      <w:sz w:val="22"/>
                      <w:szCs w:val="22"/>
                      <w:highlight w:val="none"/>
                      <w:u w:val="none"/>
                      <w:lang w:val="en-US" w:eastAsia="zh-CN" w:bidi="ar"/>
                    </w:rPr>
                    <w:t>20.23.1.11</w:t>
                  </w:r>
                </w:p>
              </w:tc>
              <w:tc>
                <w:tcPr>
                  <w:tcW w:w="541" w:type="pct"/>
                  <w:vMerge w:val="continue"/>
                  <w:tcBorders>
                    <w:tl2br w:val="nil"/>
                    <w:tr2bl w:val="nil"/>
                  </w:tcBorders>
                  <w:shd w:val="clear" w:color="auto" w:fill="auto"/>
                  <w:vAlign w:val="center"/>
                </w:tcPr>
                <w:p w14:paraId="09E5E43B">
                  <w:pPr>
                    <w:jc w:val="center"/>
                    <w:rPr>
                      <w:rFonts w:hint="eastAsia" w:ascii="宋体" w:hAnsi="宋体" w:eastAsia="宋体" w:cs="宋体"/>
                      <w:i w:val="0"/>
                      <w:iCs w:val="0"/>
                      <w:color w:val="auto"/>
                      <w:sz w:val="22"/>
                      <w:szCs w:val="22"/>
                      <w:highlight w:val="none"/>
                      <w:u w:val="none"/>
                    </w:rPr>
                  </w:pPr>
                </w:p>
              </w:tc>
              <w:tc>
                <w:tcPr>
                  <w:tcW w:w="1077" w:type="pct"/>
                  <w:tcBorders>
                    <w:tl2br w:val="nil"/>
                    <w:tr2bl w:val="nil"/>
                  </w:tcBorders>
                  <w:shd w:val="clear" w:color="auto" w:fill="auto"/>
                  <w:vAlign w:val="center"/>
                </w:tcPr>
                <w:p w14:paraId="296D3AB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cs="Times New Roman"/>
                      <w:i w:val="0"/>
                      <w:iCs w:val="0"/>
                      <w:color w:val="auto"/>
                      <w:kern w:val="0"/>
                      <w:sz w:val="22"/>
                      <w:szCs w:val="22"/>
                      <w:highlight w:val="none"/>
                      <w:u w:val="none"/>
                      <w:lang w:val="en-US" w:eastAsia="zh-CN" w:bidi="ar"/>
                    </w:rPr>
                    <w:t>0.95~1.09</w:t>
                  </w:r>
                </w:p>
              </w:tc>
              <w:tc>
                <w:tcPr>
                  <w:tcW w:w="1006" w:type="pct"/>
                  <w:vMerge w:val="continue"/>
                  <w:tcBorders>
                    <w:tl2br w:val="nil"/>
                    <w:tr2bl w:val="nil"/>
                  </w:tcBorders>
                  <w:shd w:val="clear" w:color="auto" w:fill="auto"/>
                  <w:noWrap/>
                  <w:vAlign w:val="center"/>
                </w:tcPr>
                <w:p w14:paraId="4CE7EADF">
                  <w:pPr>
                    <w:jc w:val="center"/>
                    <w:rPr>
                      <w:rFonts w:hint="eastAsia" w:ascii="宋体" w:hAnsi="宋体" w:eastAsia="宋体" w:cs="宋体"/>
                      <w:i w:val="0"/>
                      <w:iCs w:val="0"/>
                      <w:color w:val="auto"/>
                      <w:sz w:val="21"/>
                      <w:szCs w:val="21"/>
                      <w:highlight w:val="none"/>
                      <w:u w:val="none"/>
                    </w:rPr>
                  </w:pPr>
                </w:p>
              </w:tc>
              <w:tc>
                <w:tcPr>
                  <w:tcW w:w="850" w:type="pct"/>
                  <w:vMerge w:val="continue"/>
                  <w:tcBorders>
                    <w:tl2br w:val="nil"/>
                    <w:tr2bl w:val="nil"/>
                  </w:tcBorders>
                  <w:shd w:val="clear" w:color="auto" w:fill="auto"/>
                  <w:noWrap/>
                  <w:vAlign w:val="center"/>
                </w:tcPr>
                <w:p w14:paraId="11CB3282">
                  <w:pPr>
                    <w:jc w:val="center"/>
                    <w:rPr>
                      <w:rFonts w:hint="eastAsia" w:ascii="宋体" w:hAnsi="宋体" w:eastAsia="宋体" w:cs="宋体"/>
                      <w:i w:val="0"/>
                      <w:iCs w:val="0"/>
                      <w:color w:val="auto"/>
                      <w:sz w:val="21"/>
                      <w:szCs w:val="21"/>
                      <w:highlight w:val="none"/>
                      <w:u w:val="none"/>
                    </w:rPr>
                  </w:pPr>
                </w:p>
              </w:tc>
            </w:tr>
            <w:tr w14:paraId="0AF2A4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9" w:hRule="atLeast"/>
                <w:jc w:val="center"/>
              </w:trPr>
              <w:tc>
                <w:tcPr>
                  <w:tcW w:w="768" w:type="pct"/>
                  <w:vMerge w:val="continue"/>
                  <w:tcBorders>
                    <w:tl2br w:val="nil"/>
                    <w:tr2bl w:val="nil"/>
                  </w:tcBorders>
                  <w:shd w:val="clear" w:color="auto" w:fill="auto"/>
                  <w:vAlign w:val="center"/>
                </w:tcPr>
                <w:p w14:paraId="61CB36A9">
                  <w:pPr>
                    <w:jc w:val="center"/>
                    <w:rPr>
                      <w:rFonts w:hint="default" w:ascii="Times New Roman" w:hAnsi="Times New Roman" w:eastAsia="宋体" w:cs="Times New Roman"/>
                      <w:i w:val="0"/>
                      <w:iCs w:val="0"/>
                      <w:color w:val="auto"/>
                      <w:kern w:val="0"/>
                      <w:sz w:val="22"/>
                      <w:szCs w:val="22"/>
                      <w:highlight w:val="none"/>
                      <w:u w:val="none"/>
                      <w:lang w:val="en-US" w:eastAsia="zh-CN" w:bidi="ar"/>
                    </w:rPr>
                  </w:pPr>
                </w:p>
              </w:tc>
              <w:tc>
                <w:tcPr>
                  <w:tcW w:w="754" w:type="pct"/>
                  <w:tcBorders>
                    <w:tl2br w:val="nil"/>
                    <w:tr2bl w:val="nil"/>
                  </w:tcBorders>
                  <w:shd w:val="clear" w:color="auto" w:fill="auto"/>
                  <w:vAlign w:val="center"/>
                </w:tcPr>
                <w:p w14:paraId="362600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2023.1.12</w:t>
                  </w:r>
                </w:p>
              </w:tc>
              <w:tc>
                <w:tcPr>
                  <w:tcW w:w="541" w:type="pct"/>
                  <w:vMerge w:val="continue"/>
                  <w:tcBorders>
                    <w:tl2br w:val="nil"/>
                    <w:tr2bl w:val="nil"/>
                  </w:tcBorders>
                  <w:shd w:val="clear" w:color="auto" w:fill="auto"/>
                  <w:vAlign w:val="center"/>
                </w:tcPr>
                <w:p w14:paraId="11307B5D">
                  <w:pPr>
                    <w:jc w:val="center"/>
                    <w:rPr>
                      <w:rFonts w:hint="eastAsia" w:ascii="宋体" w:hAnsi="宋体" w:eastAsia="宋体" w:cs="宋体"/>
                      <w:i w:val="0"/>
                      <w:iCs w:val="0"/>
                      <w:color w:val="auto"/>
                      <w:sz w:val="22"/>
                      <w:szCs w:val="22"/>
                      <w:highlight w:val="none"/>
                      <w:u w:val="none"/>
                    </w:rPr>
                  </w:pPr>
                </w:p>
              </w:tc>
              <w:tc>
                <w:tcPr>
                  <w:tcW w:w="1077" w:type="pct"/>
                  <w:tcBorders>
                    <w:tl2br w:val="nil"/>
                    <w:tr2bl w:val="nil"/>
                  </w:tcBorders>
                  <w:shd w:val="clear" w:color="auto" w:fill="auto"/>
                  <w:vAlign w:val="center"/>
                </w:tcPr>
                <w:p w14:paraId="60A82E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1.11~1.21</w:t>
                  </w:r>
                </w:p>
              </w:tc>
              <w:tc>
                <w:tcPr>
                  <w:tcW w:w="1006" w:type="pct"/>
                  <w:vMerge w:val="continue"/>
                  <w:tcBorders>
                    <w:tl2br w:val="nil"/>
                    <w:tr2bl w:val="nil"/>
                  </w:tcBorders>
                  <w:shd w:val="clear" w:color="auto" w:fill="auto"/>
                  <w:noWrap/>
                  <w:vAlign w:val="center"/>
                </w:tcPr>
                <w:p w14:paraId="37C0FE7A">
                  <w:pPr>
                    <w:jc w:val="center"/>
                    <w:rPr>
                      <w:rFonts w:hint="eastAsia" w:ascii="宋体" w:hAnsi="宋体" w:eastAsia="宋体" w:cs="宋体"/>
                      <w:i w:val="0"/>
                      <w:iCs w:val="0"/>
                      <w:color w:val="auto"/>
                      <w:sz w:val="21"/>
                      <w:szCs w:val="21"/>
                      <w:highlight w:val="none"/>
                      <w:u w:val="none"/>
                    </w:rPr>
                  </w:pPr>
                </w:p>
              </w:tc>
              <w:tc>
                <w:tcPr>
                  <w:tcW w:w="850" w:type="pct"/>
                  <w:vMerge w:val="continue"/>
                  <w:tcBorders>
                    <w:tl2br w:val="nil"/>
                    <w:tr2bl w:val="nil"/>
                  </w:tcBorders>
                  <w:shd w:val="clear" w:color="auto" w:fill="auto"/>
                  <w:noWrap/>
                  <w:vAlign w:val="center"/>
                </w:tcPr>
                <w:p w14:paraId="155E7470">
                  <w:pPr>
                    <w:jc w:val="center"/>
                    <w:rPr>
                      <w:rFonts w:hint="eastAsia" w:ascii="宋体" w:hAnsi="宋体" w:eastAsia="宋体" w:cs="宋体"/>
                      <w:i w:val="0"/>
                      <w:iCs w:val="0"/>
                      <w:color w:val="auto"/>
                      <w:sz w:val="21"/>
                      <w:szCs w:val="21"/>
                      <w:highlight w:val="none"/>
                      <w:u w:val="none"/>
                    </w:rPr>
                  </w:pPr>
                </w:p>
              </w:tc>
            </w:tr>
            <w:tr w14:paraId="3C7ED1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59" w:hRule="atLeast"/>
                <w:jc w:val="center"/>
              </w:trPr>
              <w:tc>
                <w:tcPr>
                  <w:tcW w:w="768" w:type="pct"/>
                  <w:vMerge w:val="restart"/>
                  <w:tcBorders>
                    <w:tl2br w:val="nil"/>
                    <w:tr2bl w:val="nil"/>
                  </w:tcBorders>
                  <w:shd w:val="clear" w:color="auto" w:fill="auto"/>
                  <w:vAlign w:val="center"/>
                </w:tcPr>
                <w:p w14:paraId="55140FE9">
                  <w:pPr>
                    <w:jc w:val="center"/>
                    <w:rPr>
                      <w:rFonts w:hint="default" w:ascii="Times New Roman" w:hAnsi="Times New Roman" w:eastAsia="宋体" w:cs="Times New Roman"/>
                      <w:i w:val="0"/>
                      <w:iCs w:val="0"/>
                      <w:color w:val="auto"/>
                      <w:sz w:val="22"/>
                      <w:szCs w:val="22"/>
                      <w:highlight w:val="none"/>
                      <w:u w:val="none"/>
                    </w:rPr>
                  </w:pPr>
                  <w:r>
                    <w:rPr>
                      <w:rFonts w:hint="default" w:ascii="Times New Roman" w:hAnsi="Times New Roman" w:eastAsia="宋体" w:cs="Times New Roman"/>
                      <w:i w:val="0"/>
                      <w:iCs w:val="0"/>
                      <w:color w:val="auto"/>
                      <w:kern w:val="0"/>
                      <w:sz w:val="22"/>
                      <w:szCs w:val="22"/>
                      <w:highlight w:val="none"/>
                      <w:u w:val="none"/>
                      <w:lang w:val="en-US" w:eastAsia="zh-CN" w:bidi="ar"/>
                    </w:rPr>
                    <w:t>4#</w:t>
                  </w:r>
                  <w:r>
                    <w:rPr>
                      <w:rStyle w:val="102"/>
                      <w:color w:val="auto"/>
                      <w:sz w:val="22"/>
                      <w:szCs w:val="22"/>
                      <w:highlight w:val="none"/>
                      <w:lang w:val="en-US" w:eastAsia="zh-CN" w:bidi="ar"/>
                    </w:rPr>
                    <w:t>下风向</w:t>
                  </w:r>
                </w:p>
              </w:tc>
              <w:tc>
                <w:tcPr>
                  <w:tcW w:w="754" w:type="pct"/>
                  <w:tcBorders>
                    <w:tl2br w:val="nil"/>
                    <w:tr2bl w:val="nil"/>
                  </w:tcBorders>
                  <w:shd w:val="clear" w:color="auto" w:fill="auto"/>
                  <w:vAlign w:val="center"/>
                </w:tcPr>
                <w:p w14:paraId="67A0A59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highlight w:val="none"/>
                      <w:u w:val="none"/>
                      <w:lang w:val="en-US" w:eastAsia="zh-CN" w:bidi="ar-SA"/>
                    </w:rPr>
                  </w:pPr>
                  <w:r>
                    <w:rPr>
                      <w:rFonts w:hint="eastAsia" w:cs="Times New Roman"/>
                      <w:i w:val="0"/>
                      <w:iCs w:val="0"/>
                      <w:color w:val="auto"/>
                      <w:kern w:val="0"/>
                      <w:sz w:val="22"/>
                      <w:szCs w:val="22"/>
                      <w:highlight w:val="none"/>
                      <w:u w:val="none"/>
                      <w:lang w:val="en-US" w:eastAsia="zh-CN" w:bidi="ar"/>
                    </w:rPr>
                    <w:t>20.23.1.11</w:t>
                  </w:r>
                </w:p>
              </w:tc>
              <w:tc>
                <w:tcPr>
                  <w:tcW w:w="541" w:type="pct"/>
                  <w:vMerge w:val="continue"/>
                  <w:tcBorders>
                    <w:tl2br w:val="nil"/>
                    <w:tr2bl w:val="nil"/>
                  </w:tcBorders>
                  <w:shd w:val="clear" w:color="auto" w:fill="auto"/>
                  <w:vAlign w:val="center"/>
                </w:tcPr>
                <w:p w14:paraId="7FFCB6A4">
                  <w:pPr>
                    <w:jc w:val="center"/>
                    <w:rPr>
                      <w:rFonts w:hint="eastAsia" w:ascii="宋体" w:hAnsi="宋体" w:eastAsia="宋体" w:cs="宋体"/>
                      <w:i w:val="0"/>
                      <w:iCs w:val="0"/>
                      <w:color w:val="auto"/>
                      <w:sz w:val="22"/>
                      <w:szCs w:val="22"/>
                      <w:highlight w:val="none"/>
                      <w:u w:val="none"/>
                    </w:rPr>
                  </w:pPr>
                </w:p>
              </w:tc>
              <w:tc>
                <w:tcPr>
                  <w:tcW w:w="1077" w:type="pct"/>
                  <w:tcBorders>
                    <w:tl2br w:val="nil"/>
                    <w:tr2bl w:val="nil"/>
                  </w:tcBorders>
                  <w:shd w:val="clear" w:color="auto" w:fill="auto"/>
                  <w:vAlign w:val="center"/>
                </w:tcPr>
                <w:p w14:paraId="401358EB">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highlight w:val="none"/>
                      <w:u w:val="none"/>
                      <w:lang w:val="en-US"/>
                    </w:rPr>
                  </w:pPr>
                  <w:r>
                    <w:rPr>
                      <w:rFonts w:hint="eastAsia" w:cs="Times New Roman"/>
                      <w:i w:val="0"/>
                      <w:iCs w:val="0"/>
                      <w:color w:val="auto"/>
                      <w:kern w:val="0"/>
                      <w:sz w:val="22"/>
                      <w:szCs w:val="22"/>
                      <w:highlight w:val="none"/>
                      <w:u w:val="none"/>
                      <w:lang w:val="en-US" w:eastAsia="zh-CN" w:bidi="ar"/>
                    </w:rPr>
                    <w:t>2.42~2.56</w:t>
                  </w:r>
                </w:p>
              </w:tc>
              <w:tc>
                <w:tcPr>
                  <w:tcW w:w="1006" w:type="pct"/>
                  <w:vMerge w:val="continue"/>
                  <w:tcBorders>
                    <w:tl2br w:val="nil"/>
                    <w:tr2bl w:val="nil"/>
                  </w:tcBorders>
                  <w:shd w:val="clear" w:color="auto" w:fill="auto"/>
                  <w:noWrap/>
                  <w:vAlign w:val="center"/>
                </w:tcPr>
                <w:p w14:paraId="70F1CD24">
                  <w:pPr>
                    <w:jc w:val="center"/>
                    <w:rPr>
                      <w:rFonts w:hint="eastAsia" w:ascii="宋体" w:hAnsi="宋体" w:eastAsia="宋体" w:cs="宋体"/>
                      <w:i w:val="0"/>
                      <w:iCs w:val="0"/>
                      <w:color w:val="auto"/>
                      <w:sz w:val="21"/>
                      <w:szCs w:val="21"/>
                      <w:highlight w:val="none"/>
                      <w:u w:val="none"/>
                    </w:rPr>
                  </w:pPr>
                </w:p>
              </w:tc>
              <w:tc>
                <w:tcPr>
                  <w:tcW w:w="850" w:type="pct"/>
                  <w:vMerge w:val="continue"/>
                  <w:tcBorders>
                    <w:tl2br w:val="nil"/>
                    <w:tr2bl w:val="nil"/>
                  </w:tcBorders>
                  <w:shd w:val="clear" w:color="auto" w:fill="auto"/>
                  <w:noWrap/>
                  <w:vAlign w:val="center"/>
                </w:tcPr>
                <w:p w14:paraId="7BCF1879">
                  <w:pPr>
                    <w:jc w:val="center"/>
                    <w:rPr>
                      <w:rFonts w:hint="eastAsia" w:ascii="宋体" w:hAnsi="宋体" w:eastAsia="宋体" w:cs="宋体"/>
                      <w:i w:val="0"/>
                      <w:iCs w:val="0"/>
                      <w:color w:val="auto"/>
                      <w:sz w:val="21"/>
                      <w:szCs w:val="21"/>
                      <w:highlight w:val="none"/>
                      <w:u w:val="none"/>
                    </w:rPr>
                  </w:pPr>
                </w:p>
              </w:tc>
            </w:tr>
            <w:tr w14:paraId="68CC5BF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7" w:hRule="atLeast"/>
                <w:jc w:val="center"/>
              </w:trPr>
              <w:tc>
                <w:tcPr>
                  <w:tcW w:w="768" w:type="pct"/>
                  <w:vMerge w:val="continue"/>
                  <w:tcBorders>
                    <w:tl2br w:val="nil"/>
                    <w:tr2bl w:val="nil"/>
                  </w:tcBorders>
                  <w:shd w:val="clear" w:color="auto" w:fill="auto"/>
                  <w:vAlign w:val="center"/>
                </w:tcPr>
                <w:p w14:paraId="4A643127">
                  <w:pPr>
                    <w:jc w:val="center"/>
                    <w:rPr>
                      <w:rFonts w:hint="default" w:ascii="Times New Roman" w:hAnsi="Times New Roman" w:eastAsia="宋体" w:cs="Times New Roman"/>
                      <w:i w:val="0"/>
                      <w:iCs w:val="0"/>
                      <w:color w:val="auto"/>
                      <w:kern w:val="0"/>
                      <w:sz w:val="22"/>
                      <w:szCs w:val="22"/>
                      <w:highlight w:val="none"/>
                      <w:u w:val="none"/>
                      <w:lang w:val="en-US" w:eastAsia="zh-CN" w:bidi="ar"/>
                    </w:rPr>
                  </w:pPr>
                </w:p>
              </w:tc>
              <w:tc>
                <w:tcPr>
                  <w:tcW w:w="754" w:type="pct"/>
                  <w:tcBorders>
                    <w:tl2br w:val="nil"/>
                    <w:tr2bl w:val="nil"/>
                  </w:tcBorders>
                  <w:shd w:val="clear" w:color="auto" w:fill="auto"/>
                  <w:vAlign w:val="center"/>
                </w:tcPr>
                <w:p w14:paraId="6842FA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2023.1.12</w:t>
                  </w:r>
                </w:p>
              </w:tc>
              <w:tc>
                <w:tcPr>
                  <w:tcW w:w="541" w:type="pct"/>
                  <w:vMerge w:val="continue"/>
                  <w:tcBorders>
                    <w:tl2br w:val="nil"/>
                    <w:tr2bl w:val="nil"/>
                  </w:tcBorders>
                  <w:shd w:val="clear" w:color="auto" w:fill="auto"/>
                  <w:vAlign w:val="center"/>
                </w:tcPr>
                <w:p w14:paraId="4858C8BA">
                  <w:pPr>
                    <w:jc w:val="center"/>
                    <w:rPr>
                      <w:rFonts w:hint="eastAsia" w:ascii="宋体" w:hAnsi="宋体" w:eastAsia="宋体" w:cs="宋体"/>
                      <w:i w:val="0"/>
                      <w:iCs w:val="0"/>
                      <w:color w:val="auto"/>
                      <w:sz w:val="22"/>
                      <w:szCs w:val="22"/>
                      <w:highlight w:val="none"/>
                      <w:u w:val="none"/>
                    </w:rPr>
                  </w:pPr>
                </w:p>
              </w:tc>
              <w:tc>
                <w:tcPr>
                  <w:tcW w:w="1077" w:type="pct"/>
                  <w:tcBorders>
                    <w:tl2br w:val="nil"/>
                    <w:tr2bl w:val="nil"/>
                  </w:tcBorders>
                  <w:shd w:val="clear" w:color="auto" w:fill="auto"/>
                  <w:vAlign w:val="center"/>
                </w:tcPr>
                <w:p w14:paraId="70A2FE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cs="Times New Roman"/>
                      <w:i w:val="0"/>
                      <w:iCs w:val="0"/>
                      <w:color w:val="auto"/>
                      <w:kern w:val="0"/>
                      <w:sz w:val="22"/>
                      <w:szCs w:val="22"/>
                      <w:highlight w:val="none"/>
                      <w:u w:val="none"/>
                      <w:lang w:val="en-US" w:eastAsia="zh-CN" w:bidi="ar"/>
                    </w:rPr>
                    <w:t>2.55~2.62</w:t>
                  </w:r>
                </w:p>
              </w:tc>
              <w:tc>
                <w:tcPr>
                  <w:tcW w:w="1006" w:type="pct"/>
                  <w:vMerge w:val="continue"/>
                  <w:tcBorders>
                    <w:tl2br w:val="nil"/>
                    <w:tr2bl w:val="nil"/>
                  </w:tcBorders>
                  <w:shd w:val="clear" w:color="auto" w:fill="auto"/>
                  <w:noWrap/>
                  <w:vAlign w:val="center"/>
                </w:tcPr>
                <w:p w14:paraId="4263DC44">
                  <w:pPr>
                    <w:jc w:val="center"/>
                    <w:rPr>
                      <w:rFonts w:hint="eastAsia" w:ascii="宋体" w:hAnsi="宋体" w:eastAsia="宋体" w:cs="宋体"/>
                      <w:i w:val="0"/>
                      <w:iCs w:val="0"/>
                      <w:color w:val="auto"/>
                      <w:sz w:val="21"/>
                      <w:szCs w:val="21"/>
                      <w:highlight w:val="none"/>
                      <w:u w:val="none"/>
                    </w:rPr>
                  </w:pPr>
                </w:p>
              </w:tc>
              <w:tc>
                <w:tcPr>
                  <w:tcW w:w="850" w:type="pct"/>
                  <w:vMerge w:val="continue"/>
                  <w:tcBorders>
                    <w:tl2br w:val="nil"/>
                    <w:tr2bl w:val="nil"/>
                  </w:tcBorders>
                  <w:shd w:val="clear" w:color="auto" w:fill="auto"/>
                  <w:noWrap/>
                  <w:vAlign w:val="center"/>
                </w:tcPr>
                <w:p w14:paraId="56159BDE">
                  <w:pPr>
                    <w:jc w:val="center"/>
                    <w:rPr>
                      <w:rFonts w:hint="eastAsia" w:ascii="宋体" w:hAnsi="宋体" w:eastAsia="宋体" w:cs="宋体"/>
                      <w:i w:val="0"/>
                      <w:iCs w:val="0"/>
                      <w:color w:val="auto"/>
                      <w:sz w:val="21"/>
                      <w:szCs w:val="21"/>
                      <w:highlight w:val="none"/>
                      <w:u w:val="none"/>
                    </w:rPr>
                  </w:pPr>
                </w:p>
              </w:tc>
            </w:tr>
          </w:tbl>
          <w:p w14:paraId="4A260F3A">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eastAsia" w:eastAsia="宋体"/>
                <w:color w:val="auto"/>
                <w:sz w:val="24"/>
                <w:highlight w:val="none"/>
                <w:lang w:eastAsia="zh-CN"/>
              </w:rPr>
            </w:pPr>
            <w:r>
              <w:rPr>
                <w:rFonts w:hint="default"/>
                <w:color w:val="auto"/>
                <w:sz w:val="24"/>
                <w:highlight w:val="none"/>
              </w:rPr>
              <w:t>从上表可知，项目</w:t>
            </w:r>
            <w:r>
              <w:rPr>
                <w:rFonts w:hint="eastAsia"/>
                <w:color w:val="auto"/>
                <w:sz w:val="24"/>
                <w:highlight w:val="none"/>
                <w:lang w:val="en-US" w:eastAsia="zh-CN"/>
              </w:rPr>
              <w:t>现状</w:t>
            </w:r>
            <w:r>
              <w:rPr>
                <w:rFonts w:hint="default"/>
                <w:color w:val="auto"/>
                <w:sz w:val="24"/>
                <w:highlight w:val="none"/>
              </w:rPr>
              <w:t>运行期</w:t>
            </w:r>
            <w:r>
              <w:rPr>
                <w:rFonts w:hint="eastAsia"/>
                <w:color w:val="auto"/>
                <w:sz w:val="24"/>
                <w:highlight w:val="none"/>
                <w:lang w:val="en-US" w:eastAsia="zh-CN"/>
              </w:rPr>
              <w:t>无组织的</w:t>
            </w:r>
            <w:r>
              <w:rPr>
                <w:rFonts w:hint="default"/>
                <w:color w:val="auto"/>
                <w:sz w:val="24"/>
                <w:highlight w:val="none"/>
              </w:rPr>
              <w:t>非甲烷总烃满</w:t>
            </w:r>
            <w:r>
              <w:rPr>
                <w:rFonts w:hint="eastAsia"/>
                <w:color w:val="auto"/>
                <w:sz w:val="24"/>
                <w:highlight w:val="none"/>
                <w:lang w:val="en-US" w:eastAsia="zh-CN"/>
              </w:rPr>
              <w:t>足</w:t>
            </w:r>
            <w:r>
              <w:rPr>
                <w:rFonts w:hint="default"/>
                <w:color w:val="auto"/>
                <w:sz w:val="24"/>
                <w:highlight w:val="none"/>
              </w:rPr>
              <w:t>《挥发性有机物排放控制标准》（DB 61/T 1061-2017）表 3 企业边界监控点浓度限值要求</w:t>
            </w:r>
            <w:r>
              <w:rPr>
                <w:rFonts w:hint="eastAsia"/>
                <w:color w:val="auto"/>
                <w:sz w:val="24"/>
                <w:highlight w:val="none"/>
                <w:lang w:eastAsia="zh-CN"/>
              </w:rPr>
              <w:t>。</w:t>
            </w:r>
          </w:p>
          <w:p w14:paraId="73DA09F1">
            <w:pPr>
              <w:keepNext w:val="0"/>
              <w:keepLines w:val="0"/>
              <w:pageBreakBefore w:val="0"/>
              <w:widowControl w:val="0"/>
              <w:numPr>
                <w:ilvl w:val="0"/>
                <w:numId w:val="6"/>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left"/>
              <w:textAlignment w:val="auto"/>
              <w:rPr>
                <w:rFonts w:hint="eastAsia"/>
                <w:b/>
                <w:bCs/>
                <w:color w:val="auto"/>
                <w:sz w:val="24"/>
                <w:highlight w:val="none"/>
                <w:lang w:val="en-US" w:eastAsia="zh-CN"/>
              </w:rPr>
            </w:pPr>
            <w:r>
              <w:rPr>
                <w:rFonts w:hint="eastAsia"/>
                <w:b/>
                <w:bCs/>
                <w:color w:val="auto"/>
                <w:sz w:val="24"/>
                <w:highlight w:val="none"/>
                <w:lang w:val="en-US" w:eastAsia="zh-CN"/>
              </w:rPr>
              <w:t>废水达标排放情况</w:t>
            </w:r>
          </w:p>
          <w:p w14:paraId="1B4454F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default"/>
                <w:color w:val="auto"/>
                <w:sz w:val="24"/>
                <w:highlight w:val="none"/>
                <w:lang w:val="en-US" w:eastAsia="zh-CN"/>
              </w:rPr>
            </w:pPr>
            <w:r>
              <w:rPr>
                <w:rFonts w:hint="eastAsia"/>
                <w:color w:val="auto"/>
                <w:sz w:val="24"/>
                <w:highlight w:val="none"/>
                <w:lang w:val="en-US" w:eastAsia="zh-CN"/>
              </w:rPr>
              <w:t>实验过程中</w:t>
            </w:r>
            <w:r>
              <w:rPr>
                <w:rFonts w:hint="eastAsia"/>
                <w:color w:val="auto"/>
                <w:sz w:val="24"/>
                <w:highlight w:val="none"/>
              </w:rPr>
              <w:t>第</w:t>
            </w:r>
            <w:r>
              <w:rPr>
                <w:rFonts w:hint="eastAsia"/>
                <w:color w:val="auto"/>
                <w:sz w:val="24"/>
                <w:highlight w:val="none"/>
                <w:lang w:val="en-US" w:eastAsia="zh-CN"/>
              </w:rPr>
              <w:t>三、四</w:t>
            </w:r>
            <w:r>
              <w:rPr>
                <w:rFonts w:hint="eastAsia"/>
                <w:color w:val="auto"/>
                <w:sz w:val="24"/>
                <w:highlight w:val="none"/>
              </w:rPr>
              <w:t>次清洗废水</w:t>
            </w:r>
            <w:r>
              <w:rPr>
                <w:rFonts w:hint="eastAsia"/>
                <w:color w:val="auto"/>
                <w:sz w:val="24"/>
                <w:highlight w:val="none"/>
                <w:lang w:val="en-US" w:eastAsia="zh-CN"/>
              </w:rPr>
              <w:t>与台面、地面清洗废水收集后</w:t>
            </w:r>
            <w:r>
              <w:rPr>
                <w:rFonts w:hint="eastAsia"/>
                <w:color w:val="auto"/>
                <w:sz w:val="24"/>
                <w:highlight w:val="none"/>
              </w:rPr>
              <w:t>经现有自建的污水</w:t>
            </w:r>
            <w:r>
              <w:rPr>
                <w:rFonts w:hint="eastAsia"/>
                <w:color w:val="auto"/>
                <w:sz w:val="24"/>
                <w:highlight w:val="none"/>
                <w:lang w:eastAsia="zh-CN"/>
              </w:rPr>
              <w:t>处理设施（</w:t>
            </w:r>
            <w:r>
              <w:rPr>
                <w:rFonts w:hint="eastAsia"/>
                <w:color w:val="auto"/>
                <w:sz w:val="24"/>
                <w:szCs w:val="24"/>
                <w:highlight w:val="none"/>
                <w:lang w:val="en-US" w:eastAsia="zh-CN"/>
              </w:rPr>
              <w:t>酸碱中和+絮凝沉淀+光催化反应+微电解反应+电化学氧化+消毒</w:t>
            </w:r>
            <w:r>
              <w:rPr>
                <w:rFonts w:hint="eastAsia"/>
                <w:color w:val="auto"/>
                <w:sz w:val="24"/>
                <w:highlight w:val="none"/>
                <w:lang w:eastAsia="zh-CN"/>
              </w:rPr>
              <w:t>）</w:t>
            </w:r>
            <w:r>
              <w:rPr>
                <w:rFonts w:hint="eastAsia"/>
                <w:color w:val="auto"/>
                <w:sz w:val="24"/>
                <w:highlight w:val="none"/>
              </w:rPr>
              <w:t>预处理后同生活污水一起进入</w:t>
            </w:r>
            <w:r>
              <w:rPr>
                <w:rFonts w:hint="eastAsia"/>
                <w:color w:val="auto"/>
                <w:sz w:val="24"/>
                <w:highlight w:val="none"/>
                <w:lang w:val="en-US" w:eastAsia="zh-CN"/>
              </w:rPr>
              <w:t>园区</w:t>
            </w:r>
            <w:r>
              <w:rPr>
                <w:rFonts w:hint="eastAsia"/>
                <w:color w:val="auto"/>
                <w:sz w:val="24"/>
                <w:highlight w:val="none"/>
              </w:rPr>
              <w:t>化粪池处理</w:t>
            </w:r>
            <w:r>
              <w:rPr>
                <w:rFonts w:hint="eastAsia"/>
                <w:color w:val="auto"/>
                <w:sz w:val="24"/>
                <w:highlight w:val="none"/>
                <w:lang w:eastAsia="zh-CN"/>
              </w:rPr>
              <w:t>，</w:t>
            </w:r>
            <w:r>
              <w:rPr>
                <w:rFonts w:hint="eastAsia"/>
                <w:color w:val="auto"/>
                <w:sz w:val="24"/>
                <w:highlight w:val="none"/>
                <w:lang w:val="en-US" w:eastAsia="zh-CN"/>
              </w:rPr>
              <w:t>再</w:t>
            </w:r>
            <w:r>
              <w:rPr>
                <w:rFonts w:hint="eastAsia"/>
                <w:color w:val="auto"/>
                <w:sz w:val="24"/>
                <w:highlight w:val="none"/>
              </w:rPr>
              <w:t>通过市政污水管网排入西安净水处理有限责任公司第六再生水厂进一步处理</w:t>
            </w:r>
            <w:r>
              <w:rPr>
                <w:rFonts w:hint="eastAsia"/>
                <w:color w:val="auto"/>
                <w:sz w:val="24"/>
                <w:highlight w:val="none"/>
                <w:lang w:eastAsia="zh-CN"/>
              </w:rPr>
              <w:t>。</w:t>
            </w:r>
            <w:r>
              <w:rPr>
                <w:rFonts w:hint="eastAsia"/>
                <w:color w:val="auto"/>
                <w:sz w:val="24"/>
                <w:highlight w:val="none"/>
                <w:lang w:val="en-US" w:eastAsia="zh-CN"/>
              </w:rPr>
              <w:t>根据建设单位提供的竣工环保验收监测报告（附件6 ）</w:t>
            </w:r>
            <w:r>
              <w:rPr>
                <w:rFonts w:hint="eastAsia"/>
                <w:color w:val="auto"/>
                <w:sz w:val="24"/>
                <w:highlight w:val="none"/>
              </w:rPr>
              <w:t>污水处理设施</w:t>
            </w:r>
            <w:r>
              <w:rPr>
                <w:rFonts w:hint="eastAsia"/>
                <w:color w:val="auto"/>
                <w:sz w:val="24"/>
                <w:highlight w:val="none"/>
                <w:lang w:val="en-US" w:eastAsia="zh-CN"/>
              </w:rPr>
              <w:t>进口与出口监测结果如表2-14所示：</w:t>
            </w:r>
          </w:p>
          <w:p w14:paraId="033615D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420" w:leftChars="200" w:firstLine="0" w:firstLineChars="0"/>
              <w:jc w:val="center"/>
              <w:textAlignment w:val="auto"/>
              <w:rPr>
                <w:rFonts w:hint="eastAsia"/>
                <w:b/>
                <w:bCs/>
                <w:color w:val="auto"/>
                <w:sz w:val="24"/>
                <w:highlight w:val="none"/>
                <w:lang w:val="en-US" w:eastAsia="zh-CN"/>
              </w:rPr>
            </w:pPr>
            <w:r>
              <w:rPr>
                <w:rFonts w:hint="eastAsia"/>
                <w:b/>
                <w:bCs/>
                <w:color w:val="auto"/>
                <w:sz w:val="24"/>
                <w:highlight w:val="none"/>
                <w:lang w:val="en-US" w:eastAsia="zh-CN"/>
              </w:rPr>
              <w:t>表2-14 现有污水处理设施进、出口监测一览表</w:t>
            </w:r>
          </w:p>
          <w:tbl>
            <w:tblPr>
              <w:tblStyle w:val="30"/>
              <w:tblW w:w="78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
              <w:gridCol w:w="522"/>
              <w:gridCol w:w="1160"/>
              <w:gridCol w:w="726"/>
              <w:gridCol w:w="1091"/>
              <w:gridCol w:w="1091"/>
              <w:gridCol w:w="1133"/>
              <w:gridCol w:w="1232"/>
            </w:tblGrid>
            <w:tr w14:paraId="11C0B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jc w:val="center"/>
              </w:trPr>
              <w:tc>
                <w:tcPr>
                  <w:tcW w:w="855"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3A4D7742">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监测日期</w:t>
                  </w:r>
                </w:p>
              </w:tc>
              <w:tc>
                <w:tcPr>
                  <w:tcW w:w="1682" w:type="dxa"/>
                  <w:gridSpan w:val="2"/>
                  <w:tcBorders>
                    <w:top w:val="single" w:color="000000" w:sz="12" w:space="0"/>
                    <w:left w:val="single" w:color="000000" w:sz="4" w:space="0"/>
                    <w:bottom w:val="single" w:color="000000" w:sz="4" w:space="0"/>
                    <w:right w:val="single" w:color="000000" w:sz="4" w:space="0"/>
                  </w:tcBorders>
                  <w:shd w:val="clear" w:color="auto" w:fill="auto"/>
                  <w:vAlign w:val="center"/>
                </w:tcPr>
                <w:p w14:paraId="3FE7F28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监测指标</w:t>
                  </w:r>
                </w:p>
              </w:tc>
              <w:tc>
                <w:tcPr>
                  <w:tcW w:w="726"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0F086CC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pH 值   （无量纲）</w:t>
                  </w:r>
                </w:p>
              </w:tc>
              <w:tc>
                <w:tcPr>
                  <w:tcW w:w="1091"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4DA465B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悬浮物  （mg/L）</w:t>
                  </w:r>
                </w:p>
              </w:tc>
              <w:tc>
                <w:tcPr>
                  <w:tcW w:w="1091"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06AF285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氨氮   （mg/L）</w:t>
                  </w:r>
                </w:p>
              </w:tc>
              <w:tc>
                <w:tcPr>
                  <w:tcW w:w="1133"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2AE1D26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化学需氧  量（mg/L）</w:t>
                  </w:r>
                </w:p>
              </w:tc>
              <w:tc>
                <w:tcPr>
                  <w:tcW w:w="1232" w:type="dxa"/>
                  <w:tcBorders>
                    <w:top w:val="single" w:color="000000" w:sz="12" w:space="0"/>
                    <w:left w:val="single" w:color="000000" w:sz="4" w:space="0"/>
                    <w:bottom w:val="single" w:color="000000" w:sz="4" w:space="0"/>
                    <w:right w:val="single" w:color="000000" w:sz="12" w:space="0"/>
                  </w:tcBorders>
                  <w:shd w:val="clear" w:color="auto" w:fill="auto"/>
                  <w:vAlign w:val="center"/>
                </w:tcPr>
                <w:p w14:paraId="6732CC8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五日生化需氧量（mg/L）</w:t>
                  </w:r>
                </w:p>
              </w:tc>
            </w:tr>
            <w:tr w14:paraId="2DB69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restart"/>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EECA7F5">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default" w:ascii="Times New Roman" w:hAnsi="Times New Roman" w:eastAsia="宋体" w:cs="Times New Roman"/>
                      <w:i w:val="0"/>
                      <w:iCs w:val="0"/>
                      <w:color w:val="auto"/>
                      <w:kern w:val="0"/>
                      <w:sz w:val="22"/>
                      <w:szCs w:val="22"/>
                      <w:u w:val="none"/>
                      <w:lang w:val="en-US" w:eastAsia="zh-CN" w:bidi="ar"/>
                    </w:rPr>
                    <w:t>2023年1月10日</w:t>
                  </w: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A0876">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进口</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883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第一次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D7BF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0BC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B7BB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0.23</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85D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21</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E9A6E1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r>
            <w:tr w14:paraId="00A98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A94E2C">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674EE">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3C9A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第二次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E2CB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A81F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B20E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0.249</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795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21E88B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9.6</w:t>
                  </w:r>
                </w:p>
              </w:tc>
            </w:tr>
            <w:tr w14:paraId="54B34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C2E971D">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06ECC">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E7B9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第三次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E85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F1C0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E0E0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0.207</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6669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EE0CB0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8.4</w:t>
                  </w:r>
                </w:p>
              </w:tc>
            </w:tr>
            <w:tr w14:paraId="64C6D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E8F8B93">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7FC4F">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232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第四次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BF3A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D0D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937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0.238</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B36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10DE70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8.2</w:t>
                  </w:r>
                </w:p>
              </w:tc>
            </w:tr>
            <w:tr w14:paraId="0105B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63BBFB2">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CDC11">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F0A1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平均 值</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6200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1D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ED4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0.231</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AA75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F57398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8.4</w:t>
                  </w:r>
                </w:p>
              </w:tc>
            </w:tr>
            <w:tr w14:paraId="3FEA9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88AECE4">
                  <w:pPr>
                    <w:jc w:val="center"/>
                    <w:rPr>
                      <w:rFonts w:hint="default" w:ascii="Times New Roman" w:hAnsi="Times New Roman" w:eastAsia="宋体" w:cs="Times New Roman"/>
                      <w:i w:val="0"/>
                      <w:iCs w:val="0"/>
                      <w:color w:val="auto"/>
                      <w:sz w:val="22"/>
                      <w:szCs w:val="22"/>
                      <w:u w:val="none"/>
                    </w:rPr>
                  </w:pP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5B1C05">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出口</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1E6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第一次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2DF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1AAE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4921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0.089</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1F4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B98595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1.9</w:t>
                  </w:r>
                </w:p>
              </w:tc>
            </w:tr>
            <w:tr w14:paraId="53BD1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02033BB">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C73FA">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509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第二次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1E6D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439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BD3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0.083</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F3A1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7B7863B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2. 1</w:t>
                  </w:r>
                </w:p>
              </w:tc>
            </w:tr>
            <w:tr w14:paraId="6793A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C1B9D78">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A056E">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5CF4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第三次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FA9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FE4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45E9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0.069</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BDF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78E985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2.6</w:t>
                  </w:r>
                </w:p>
              </w:tc>
            </w:tr>
            <w:tr w14:paraId="24A9D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B302519">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A68FB">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223B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第四次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7DDE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A72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9FA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0.063</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8A4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F76230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2.7</w:t>
                  </w:r>
                </w:p>
              </w:tc>
            </w:tr>
            <w:tr w14:paraId="78B78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6F81C84">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4FF86">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A14D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平均 值</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BEF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758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D454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0.076</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3BE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5BEC418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w:t>
                  </w:r>
                </w:p>
              </w:tc>
            </w:tr>
            <w:tr w14:paraId="6F928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855" w:type="dxa"/>
                  <w:vMerge w:val="restart"/>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3F43F9B5">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2023年1月10日</w:t>
                  </w: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F60D6F">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进口</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427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第一次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471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3E0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8A2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0.238</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233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2473C85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w:t>
                  </w:r>
                </w:p>
              </w:tc>
            </w:tr>
            <w:tr w14:paraId="0D82A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3918EB99">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BF0F1F">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17A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第二次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AE1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AED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C93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0.246</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19F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25</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3617D3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8.9</w:t>
                  </w:r>
                </w:p>
              </w:tc>
            </w:tr>
            <w:tr w14:paraId="1CD71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00BBEED8">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50990">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8FF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第三次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752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8A5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A25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0.218</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FA5F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26</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5FF9413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w:t>
                  </w:r>
                  <w:r>
                    <w:rPr>
                      <w:rFonts w:hint="default" w:ascii="Times New Roman" w:hAnsi="Times New Roman" w:eastAsia="宋体" w:cs="Times New Roman"/>
                      <w:i w:val="0"/>
                      <w:iCs w:val="0"/>
                      <w:color w:val="auto"/>
                      <w:kern w:val="0"/>
                      <w:sz w:val="20"/>
                      <w:szCs w:val="20"/>
                      <w:u w:val="none"/>
                      <w:lang w:val="en-US" w:eastAsia="zh-CN" w:bidi="ar"/>
                    </w:rPr>
                    <w:t xml:space="preserve"> 1</w:t>
                  </w:r>
                </w:p>
              </w:tc>
            </w:tr>
            <w:tr w14:paraId="4E340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4D91B580">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81BC3">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4DC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第四次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82F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887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1A41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0.21</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4B8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3AA2366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8.3</w:t>
                  </w:r>
                </w:p>
              </w:tc>
            </w:tr>
            <w:tr w14:paraId="41BB9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5248256B">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DFF40">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BE5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平均 值</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3656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21D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98B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0.228</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ED4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24E1E30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8.4</w:t>
                  </w:r>
                </w:p>
              </w:tc>
            </w:tr>
            <w:tr w14:paraId="5260B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782615AF">
                  <w:pPr>
                    <w:jc w:val="center"/>
                    <w:rPr>
                      <w:rFonts w:hint="default" w:ascii="Times New Roman" w:hAnsi="Times New Roman" w:eastAsia="宋体" w:cs="Times New Roman"/>
                      <w:i w:val="0"/>
                      <w:iCs w:val="0"/>
                      <w:color w:val="auto"/>
                      <w:sz w:val="22"/>
                      <w:szCs w:val="22"/>
                      <w:u w:val="none"/>
                    </w:rPr>
                  </w:pP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050389">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出口</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00B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第一次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54AC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1980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65D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0.097</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EE2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2031D46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 xml:space="preserve"> 1</w:t>
                  </w:r>
                </w:p>
              </w:tc>
            </w:tr>
            <w:tr w14:paraId="06804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3F4E996F">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B46D3">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3EA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第二次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E30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DF3C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197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0.08</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DCB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530264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1.8</w:t>
                  </w:r>
                </w:p>
              </w:tc>
            </w:tr>
            <w:tr w14:paraId="339E8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05AC6CEC">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10C5A">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E5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第三次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FA69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66D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DF75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0.063</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4D9C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25010F4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p>
              </w:tc>
            </w:tr>
            <w:tr w14:paraId="3EFB6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855" w:type="dxa"/>
                  <w:vMerge w:val="continue"/>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6D236534">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80416B">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D2F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第四次</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C49E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3EF8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FE0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0.069</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743B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5EFF6E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2.3</w:t>
                  </w:r>
                </w:p>
              </w:tc>
            </w:tr>
            <w:tr w14:paraId="7C39D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855" w:type="dxa"/>
                  <w:vMerge w:val="continue"/>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CE65502">
                  <w:pPr>
                    <w:jc w:val="center"/>
                    <w:rPr>
                      <w:rFonts w:hint="default" w:ascii="Times New Roman" w:hAnsi="Times New Roman" w:eastAsia="宋体" w:cs="Times New Roman"/>
                      <w:i w:val="0"/>
                      <w:iCs w:val="0"/>
                      <w:color w:val="auto"/>
                      <w:sz w:val="22"/>
                      <w:szCs w:val="22"/>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DC609">
                  <w:pPr>
                    <w:jc w:val="center"/>
                    <w:rPr>
                      <w:rFonts w:hint="default" w:ascii="Times New Roman" w:hAnsi="Times New Roman" w:eastAsia="宋体" w:cs="Times New Roman"/>
                      <w:b/>
                      <w:bCs/>
                      <w:i w:val="0"/>
                      <w:iCs w:val="0"/>
                      <w:color w:val="auto"/>
                      <w:sz w:val="21"/>
                      <w:szCs w:val="21"/>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9FF0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平均 值</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960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054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964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0.077</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4E2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59A935D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p>
              </w:tc>
            </w:tr>
            <w:tr w14:paraId="68FE5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2537" w:type="dxa"/>
                  <w:gridSpan w:val="3"/>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483E64D">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标准限值</w:t>
                  </w:r>
                  <w:r>
                    <w:rPr>
                      <w:rFonts w:hint="eastAsia" w:ascii="Times New Roman" w:hAnsi="Times New Roman" w:cs="Times New Roman"/>
                      <w:b w:val="0"/>
                      <w:bCs/>
                      <w:color w:val="auto"/>
                      <w:sz w:val="21"/>
                      <w:szCs w:val="21"/>
                      <w:highlight w:val="none"/>
                      <w:lang w:val="en-US" w:eastAsia="zh-CN"/>
                    </w:rPr>
                    <w:t>mg/L</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7AFFC">
                  <w:pPr>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sz w:val="21"/>
                      <w:szCs w:val="21"/>
                      <w:highlight w:val="none"/>
                      <w:u w:val="none"/>
                      <w:lang w:val="en-US" w:eastAsia="zh-CN"/>
                    </w:rPr>
                    <w:t>6-9</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B22DF">
                  <w:pPr>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sz w:val="21"/>
                      <w:szCs w:val="21"/>
                      <w:highlight w:val="none"/>
                      <w:u w:val="none"/>
                      <w:lang w:val="en-US" w:eastAsia="zh-CN"/>
                    </w:rPr>
                    <w:t>400</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1D6B">
                  <w:pPr>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2"/>
                      <w:sz w:val="21"/>
                      <w:szCs w:val="21"/>
                      <w:highlight w:val="none"/>
                      <w:u w:val="none"/>
                      <w:lang w:val="en-US" w:eastAsia="zh-CN" w:bidi="ar-SA"/>
                    </w:rPr>
                    <w:t>45</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703DE">
                  <w:pPr>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sz w:val="21"/>
                      <w:szCs w:val="21"/>
                      <w:highlight w:val="none"/>
                      <w:u w:val="none"/>
                      <w:lang w:val="en-US" w:eastAsia="zh-CN"/>
                    </w:rPr>
                    <w:t>500</w:t>
                  </w:r>
                </w:p>
              </w:tc>
              <w:tc>
                <w:tcPr>
                  <w:tcW w:w="1232"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E1451EE">
                  <w:pPr>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sz w:val="21"/>
                      <w:szCs w:val="21"/>
                      <w:highlight w:val="none"/>
                      <w:u w:val="none"/>
                      <w:lang w:val="en-US" w:eastAsia="zh-CN"/>
                    </w:rPr>
                    <w:t>300</w:t>
                  </w:r>
                </w:p>
              </w:tc>
            </w:tr>
            <w:tr w14:paraId="517CA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jc w:val="center"/>
              </w:trPr>
              <w:tc>
                <w:tcPr>
                  <w:tcW w:w="2537"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25B4F0F6">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达标情况</w:t>
                  </w:r>
                </w:p>
              </w:tc>
              <w:tc>
                <w:tcPr>
                  <w:tcW w:w="726"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10F963F8">
                  <w:pPr>
                    <w:jc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达标</w:t>
                  </w:r>
                </w:p>
              </w:tc>
              <w:tc>
                <w:tcPr>
                  <w:tcW w:w="1091"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3089AE48">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c>
                <w:tcPr>
                  <w:tcW w:w="1091"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12FF61A2">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c>
                <w:tcPr>
                  <w:tcW w:w="1133"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474D632C">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c>
                <w:tcPr>
                  <w:tcW w:w="1232" w:type="dxa"/>
                  <w:tcBorders>
                    <w:top w:val="single" w:color="000000" w:sz="4" w:space="0"/>
                    <w:left w:val="single" w:color="000000" w:sz="4" w:space="0"/>
                    <w:bottom w:val="single" w:color="000000" w:sz="12" w:space="0"/>
                    <w:right w:val="single" w:color="000000" w:sz="12" w:space="0"/>
                  </w:tcBorders>
                  <w:shd w:val="clear" w:color="auto" w:fill="auto"/>
                  <w:vAlign w:val="center"/>
                </w:tcPr>
                <w:p w14:paraId="1D9A4F11">
                  <w:pPr>
                    <w:keepNext w:val="0"/>
                    <w:keepLines w:val="0"/>
                    <w:widowControl/>
                    <w:suppressLineNumbers w:val="0"/>
                    <w:jc w:val="center"/>
                    <w:textAlignment w:val="center"/>
                    <w:rPr>
                      <w:rFonts w:hint="default"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r>
          </w:tbl>
          <w:p w14:paraId="1AD7128F">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eastAsia"/>
                <w:color w:val="auto"/>
                <w:sz w:val="24"/>
                <w:highlight w:val="none"/>
                <w:lang w:eastAsia="zh-CN"/>
              </w:rPr>
            </w:pPr>
            <w:r>
              <w:rPr>
                <w:rFonts w:hint="eastAsia"/>
                <w:color w:val="auto"/>
                <w:sz w:val="24"/>
                <w:highlight w:val="none"/>
                <w:lang w:val="en-US" w:eastAsia="zh-CN"/>
              </w:rPr>
              <w:t>由上表可知，项目现状</w:t>
            </w:r>
            <w:r>
              <w:rPr>
                <w:rFonts w:hint="default"/>
                <w:color w:val="auto"/>
                <w:sz w:val="24"/>
                <w:highlight w:val="none"/>
              </w:rPr>
              <w:t>污水处理设施DW001出口五日生化需氧量、化学需氧量、悬浮物监测结果符合《污水综合排放标准》（GB 8978-1996）表4中三级排放限值要求；氨氮监测结果符合《污水排入城镇下水道水质标准》（GB/T 31962-2015）表1</w:t>
            </w:r>
            <w:r>
              <w:rPr>
                <w:rFonts w:hint="eastAsia"/>
                <w:color w:val="auto"/>
                <w:sz w:val="24"/>
                <w:highlight w:val="none"/>
                <w:lang w:val="en-US" w:eastAsia="zh-CN"/>
              </w:rPr>
              <w:t>A</w:t>
            </w:r>
            <w:r>
              <w:rPr>
                <w:rFonts w:hint="default"/>
                <w:color w:val="auto"/>
                <w:sz w:val="24"/>
                <w:highlight w:val="none"/>
              </w:rPr>
              <w:t>中限值要求</w:t>
            </w:r>
            <w:r>
              <w:rPr>
                <w:rFonts w:hint="eastAsia"/>
                <w:color w:val="auto"/>
                <w:sz w:val="24"/>
                <w:highlight w:val="none"/>
                <w:lang w:eastAsia="zh-CN"/>
              </w:rPr>
              <w:t>。</w:t>
            </w:r>
          </w:p>
          <w:p w14:paraId="16808E3D">
            <w:pPr>
              <w:keepNext w:val="0"/>
              <w:keepLines w:val="0"/>
              <w:pageBreakBefore w:val="0"/>
              <w:widowControl w:val="0"/>
              <w:numPr>
                <w:ilvl w:val="0"/>
                <w:numId w:val="6"/>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left"/>
              <w:textAlignment w:val="auto"/>
              <w:rPr>
                <w:rFonts w:hint="eastAsia"/>
                <w:b/>
                <w:bCs/>
                <w:color w:val="auto"/>
                <w:sz w:val="24"/>
                <w:highlight w:val="none"/>
                <w:lang w:val="en-US" w:eastAsia="zh-CN"/>
              </w:rPr>
            </w:pPr>
            <w:r>
              <w:rPr>
                <w:rFonts w:hint="eastAsia"/>
                <w:b/>
                <w:bCs/>
                <w:color w:val="auto"/>
                <w:sz w:val="24"/>
                <w:highlight w:val="none"/>
                <w:lang w:val="en-US" w:eastAsia="zh-CN"/>
              </w:rPr>
              <w:t>噪声达标情况</w:t>
            </w:r>
          </w:p>
          <w:p w14:paraId="3B3D67B6">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eastAsia"/>
                <w:color w:val="auto"/>
                <w:sz w:val="24"/>
                <w:highlight w:val="none"/>
                <w:lang w:val="en-US" w:eastAsia="zh-CN"/>
              </w:rPr>
            </w:pPr>
            <w:r>
              <w:rPr>
                <w:rFonts w:hint="default"/>
                <w:color w:val="auto"/>
                <w:sz w:val="24"/>
                <w:highlight w:val="none"/>
              </w:rPr>
              <w:t>现有项目选用低噪声设备、采取减振、消声、厂房隔声等措施降噪</w:t>
            </w:r>
            <w:r>
              <w:rPr>
                <w:rFonts w:hint="eastAsia"/>
                <w:color w:val="auto"/>
                <w:sz w:val="24"/>
                <w:highlight w:val="none"/>
                <w:lang w:eastAsia="zh-CN"/>
              </w:rPr>
              <w:t>。</w:t>
            </w:r>
            <w:r>
              <w:rPr>
                <w:rFonts w:hint="eastAsia"/>
                <w:color w:val="auto"/>
                <w:sz w:val="24"/>
                <w:highlight w:val="none"/>
                <w:lang w:val="en-US" w:eastAsia="zh-CN"/>
              </w:rPr>
              <w:t>根据建设单位提供的竣工环保验收监测报告</w:t>
            </w:r>
            <w:r>
              <w:rPr>
                <w:rFonts w:hint="default"/>
                <w:color w:val="auto"/>
                <w:sz w:val="24"/>
                <w:highlight w:val="none"/>
              </w:rPr>
              <w:t>（</w:t>
            </w:r>
            <w:r>
              <w:rPr>
                <w:rFonts w:hint="eastAsia"/>
                <w:color w:val="auto"/>
                <w:sz w:val="24"/>
                <w:highlight w:val="none"/>
                <w:lang w:val="en-US" w:eastAsia="zh-CN"/>
              </w:rPr>
              <w:t xml:space="preserve">附件6 </w:t>
            </w:r>
            <w:r>
              <w:rPr>
                <w:rFonts w:hint="default"/>
                <w:color w:val="auto"/>
                <w:sz w:val="24"/>
                <w:highlight w:val="none"/>
              </w:rPr>
              <w:t>）</w:t>
            </w:r>
            <w:r>
              <w:rPr>
                <w:rFonts w:hint="eastAsia"/>
                <w:color w:val="auto"/>
                <w:sz w:val="24"/>
                <w:highlight w:val="none"/>
                <w:lang w:eastAsia="zh-CN"/>
              </w:rPr>
              <w:t>，</w:t>
            </w:r>
            <w:r>
              <w:rPr>
                <w:rFonts w:hint="eastAsia"/>
                <w:color w:val="auto"/>
                <w:sz w:val="24"/>
                <w:highlight w:val="none"/>
                <w:lang w:val="en-US" w:eastAsia="zh-CN"/>
              </w:rPr>
              <w:t>厂界四周的昼间监测结果如下表所示：</w:t>
            </w:r>
          </w:p>
          <w:p w14:paraId="0D5664A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center"/>
              <w:textAlignment w:val="auto"/>
              <w:rPr>
                <w:rFonts w:hint="default"/>
                <w:b/>
                <w:bCs/>
                <w:color w:val="auto"/>
                <w:sz w:val="24"/>
                <w:highlight w:val="none"/>
                <w:lang w:val="en-US" w:eastAsia="zh-CN"/>
              </w:rPr>
            </w:pPr>
            <w:r>
              <w:rPr>
                <w:rFonts w:hint="eastAsia"/>
                <w:b/>
                <w:bCs/>
                <w:color w:val="auto"/>
                <w:sz w:val="24"/>
                <w:highlight w:val="none"/>
                <w:lang w:val="en-US" w:eastAsia="zh-CN"/>
              </w:rPr>
              <w:t>表2-15 现有厂界昼间噪声情况</w:t>
            </w:r>
          </w:p>
          <w:tbl>
            <w:tblPr>
              <w:tblStyle w:val="30"/>
              <w:tblW w:w="737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983"/>
              <w:gridCol w:w="1672"/>
              <w:gridCol w:w="1486"/>
              <w:gridCol w:w="1500"/>
              <w:gridCol w:w="1736"/>
            </w:tblGrid>
            <w:tr w14:paraId="137BF87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6" w:hRule="atLeast"/>
                <w:jc w:val="center"/>
              </w:trPr>
              <w:tc>
                <w:tcPr>
                  <w:tcW w:w="666" w:type="pct"/>
                  <w:tcBorders>
                    <w:tl2br w:val="nil"/>
                    <w:tr2bl w:val="nil"/>
                  </w:tcBorders>
                  <w:shd w:val="clear" w:color="auto" w:fill="auto"/>
                  <w:vAlign w:val="center"/>
                </w:tcPr>
                <w:p w14:paraId="232AE550">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监测</w:t>
                  </w:r>
                </w:p>
                <w:p w14:paraId="71ABEFF3">
                  <w:pPr>
                    <w:keepNext w:val="0"/>
                    <w:keepLines w:val="0"/>
                    <w:widowControl/>
                    <w:suppressLineNumbers w:val="0"/>
                    <w:jc w:val="center"/>
                    <w:textAlignment w:val="center"/>
                    <w:rPr>
                      <w:rFonts w:hint="eastAsia" w:ascii="Times New Roman" w:hAnsi="Times New Roman" w:eastAsia="宋体" w:cs="Times New Roman"/>
                      <w:b/>
                      <w:bCs/>
                      <w:i w:val="0"/>
                      <w:iCs w:val="0"/>
                      <w:color w:val="auto"/>
                      <w:kern w:val="2"/>
                      <w:sz w:val="21"/>
                      <w:szCs w:val="21"/>
                      <w:highlight w:val="none"/>
                      <w:u w:val="none"/>
                      <w:lang w:val="en-US" w:eastAsia="zh-CN" w:bidi="ar-SA"/>
                    </w:rPr>
                  </w:pPr>
                  <w:r>
                    <w:rPr>
                      <w:rFonts w:hint="eastAsia" w:ascii="宋体" w:hAnsi="宋体" w:cs="宋体"/>
                      <w:b/>
                      <w:bCs/>
                      <w:i w:val="0"/>
                      <w:iCs w:val="0"/>
                      <w:color w:val="auto"/>
                      <w:kern w:val="0"/>
                      <w:sz w:val="21"/>
                      <w:szCs w:val="21"/>
                      <w:highlight w:val="none"/>
                      <w:u w:val="none"/>
                      <w:lang w:val="en-US" w:eastAsia="zh-CN" w:bidi="ar"/>
                    </w:rPr>
                    <w:t>日期</w:t>
                  </w:r>
                </w:p>
              </w:tc>
              <w:tc>
                <w:tcPr>
                  <w:tcW w:w="1133" w:type="pct"/>
                  <w:tcBorders>
                    <w:tl2br w:val="nil"/>
                    <w:tr2bl w:val="nil"/>
                  </w:tcBorders>
                  <w:shd w:val="clear" w:color="auto" w:fill="auto"/>
                  <w:vAlign w:val="center"/>
                </w:tcPr>
                <w:p w14:paraId="663B5459">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监测点位</w:t>
                  </w:r>
                  <w:r>
                    <w:rPr>
                      <w:rFonts w:hint="default" w:ascii="Times New Roman" w:hAnsi="Times New Roman" w:eastAsia="宋体" w:cs="Times New Roman"/>
                      <w:b/>
                      <w:bCs/>
                      <w:i w:val="0"/>
                      <w:iCs w:val="0"/>
                      <w:color w:val="auto"/>
                      <w:kern w:val="0"/>
                      <w:sz w:val="21"/>
                      <w:szCs w:val="21"/>
                      <w:highlight w:val="none"/>
                      <w:u w:val="none"/>
                      <w:lang w:val="en-US" w:eastAsia="zh-CN" w:bidi="ar"/>
                    </w:rPr>
                    <w:t>/</w:t>
                  </w:r>
                  <w:r>
                    <w:rPr>
                      <w:rFonts w:hint="eastAsia" w:ascii="宋体" w:hAnsi="宋体" w:eastAsia="宋体" w:cs="宋体"/>
                      <w:b/>
                      <w:bCs/>
                      <w:i w:val="0"/>
                      <w:iCs w:val="0"/>
                      <w:color w:val="auto"/>
                      <w:kern w:val="0"/>
                      <w:sz w:val="21"/>
                      <w:szCs w:val="21"/>
                      <w:highlight w:val="none"/>
                      <w:u w:val="none"/>
                      <w:lang w:val="en-US" w:eastAsia="zh-CN" w:bidi="ar"/>
                    </w:rPr>
                    <w:t>编号</w:t>
                  </w:r>
                </w:p>
              </w:tc>
              <w:tc>
                <w:tcPr>
                  <w:tcW w:w="1007" w:type="pct"/>
                  <w:tcBorders>
                    <w:tl2br w:val="nil"/>
                    <w:tr2bl w:val="nil"/>
                  </w:tcBorders>
                  <w:shd w:val="clear" w:color="auto" w:fill="auto"/>
                  <w:vAlign w:val="center"/>
                </w:tcPr>
                <w:p w14:paraId="58650E0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昼间（</w:t>
                  </w:r>
                  <w:r>
                    <w:rPr>
                      <w:rFonts w:hint="default" w:ascii="Times New Roman" w:hAnsi="Times New Roman" w:eastAsia="宋体" w:cs="Times New Roman"/>
                      <w:b/>
                      <w:bCs/>
                      <w:i w:val="0"/>
                      <w:iCs w:val="0"/>
                      <w:color w:val="auto"/>
                      <w:kern w:val="0"/>
                      <w:sz w:val="21"/>
                      <w:szCs w:val="21"/>
                      <w:highlight w:val="none"/>
                      <w:u w:val="none"/>
                      <w:lang w:val="en-US" w:eastAsia="zh-CN" w:bidi="ar"/>
                    </w:rPr>
                    <w:t>Leq</w:t>
                  </w:r>
                  <w:r>
                    <w:rPr>
                      <w:rFonts w:hint="eastAsia" w:ascii="宋体" w:hAnsi="宋体" w:eastAsia="宋体" w:cs="宋体"/>
                      <w:b/>
                      <w:bCs/>
                      <w:i w:val="0"/>
                      <w:iCs w:val="0"/>
                      <w:color w:val="auto"/>
                      <w:kern w:val="0"/>
                      <w:sz w:val="21"/>
                      <w:szCs w:val="21"/>
                      <w:highlight w:val="none"/>
                      <w:u w:val="none"/>
                      <w:lang w:val="en-US" w:eastAsia="zh-CN" w:bidi="ar"/>
                    </w:rPr>
                    <w:t>）</w:t>
                  </w:r>
                </w:p>
              </w:tc>
              <w:tc>
                <w:tcPr>
                  <w:tcW w:w="1016" w:type="pct"/>
                  <w:tcBorders>
                    <w:tl2br w:val="nil"/>
                    <w:tr2bl w:val="nil"/>
                  </w:tcBorders>
                  <w:shd w:val="clear" w:color="auto" w:fill="auto"/>
                  <w:noWrap/>
                  <w:vAlign w:val="center"/>
                </w:tcPr>
                <w:p w14:paraId="04474AA0">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标准限值</w:t>
                  </w:r>
                </w:p>
              </w:tc>
              <w:tc>
                <w:tcPr>
                  <w:tcW w:w="1176" w:type="pct"/>
                  <w:tcBorders>
                    <w:tl2br w:val="nil"/>
                    <w:tr2bl w:val="nil"/>
                  </w:tcBorders>
                  <w:shd w:val="clear" w:color="auto" w:fill="auto"/>
                  <w:noWrap/>
                  <w:vAlign w:val="center"/>
                </w:tcPr>
                <w:p w14:paraId="22E963E4">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达标情况</w:t>
                  </w:r>
                </w:p>
              </w:tc>
            </w:tr>
            <w:tr w14:paraId="3484524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4" w:hRule="atLeast"/>
                <w:jc w:val="center"/>
              </w:trPr>
              <w:tc>
                <w:tcPr>
                  <w:tcW w:w="666" w:type="pct"/>
                  <w:vMerge w:val="restart"/>
                  <w:tcBorders>
                    <w:tl2br w:val="nil"/>
                    <w:tr2bl w:val="nil"/>
                  </w:tcBorders>
                  <w:shd w:val="clear" w:color="auto" w:fill="auto"/>
                  <w:vAlign w:val="center"/>
                </w:tcPr>
                <w:p w14:paraId="2B1D697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2023年1月10日</w:t>
                  </w:r>
                </w:p>
              </w:tc>
              <w:tc>
                <w:tcPr>
                  <w:tcW w:w="1133" w:type="pct"/>
                  <w:tcBorders>
                    <w:tl2br w:val="nil"/>
                    <w:tr2bl w:val="nil"/>
                  </w:tcBorders>
                  <w:shd w:val="clear" w:color="auto" w:fill="auto"/>
                  <w:vAlign w:val="center"/>
                </w:tcPr>
                <w:p w14:paraId="5052A24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Style w:val="100"/>
                      <w:color w:val="auto"/>
                      <w:sz w:val="21"/>
                      <w:szCs w:val="21"/>
                      <w:highlight w:val="none"/>
                      <w:lang w:val="en-US" w:eastAsia="zh-CN" w:bidi="ar"/>
                    </w:rPr>
                    <w:t>厂界东</w:t>
                  </w:r>
                  <w:r>
                    <w:rPr>
                      <w:rStyle w:val="100"/>
                      <w:rFonts w:hint="eastAsia"/>
                      <w:color w:val="auto"/>
                      <w:sz w:val="21"/>
                      <w:szCs w:val="21"/>
                      <w:highlight w:val="none"/>
                      <w:lang w:val="en-US" w:eastAsia="zh-CN" w:bidi="ar"/>
                    </w:rPr>
                    <w:t>侧</w:t>
                  </w:r>
                </w:p>
              </w:tc>
              <w:tc>
                <w:tcPr>
                  <w:tcW w:w="1007" w:type="pct"/>
                  <w:tcBorders>
                    <w:tl2br w:val="nil"/>
                    <w:tr2bl w:val="nil"/>
                  </w:tcBorders>
                  <w:shd w:val="clear" w:color="auto" w:fill="auto"/>
                  <w:vAlign w:val="center"/>
                </w:tcPr>
                <w:p w14:paraId="38E8F00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53</w:t>
                  </w:r>
                </w:p>
              </w:tc>
              <w:tc>
                <w:tcPr>
                  <w:tcW w:w="1016" w:type="pct"/>
                  <w:tcBorders>
                    <w:tl2br w:val="nil"/>
                    <w:tr2bl w:val="nil"/>
                  </w:tcBorders>
                  <w:shd w:val="clear" w:color="auto" w:fill="auto"/>
                  <w:noWrap/>
                  <w:vAlign w:val="center"/>
                </w:tcPr>
                <w:p w14:paraId="228B55B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57DC253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达标</w:t>
                  </w:r>
                </w:p>
              </w:tc>
            </w:tr>
            <w:tr w14:paraId="24177C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666" w:type="pct"/>
                  <w:vMerge w:val="continue"/>
                  <w:tcBorders>
                    <w:tl2br w:val="nil"/>
                    <w:tr2bl w:val="nil"/>
                  </w:tcBorders>
                  <w:shd w:val="clear" w:color="auto" w:fill="auto"/>
                  <w:vAlign w:val="center"/>
                </w:tcPr>
                <w:p w14:paraId="4889B8F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133" w:type="pct"/>
                  <w:tcBorders>
                    <w:tl2br w:val="nil"/>
                    <w:tr2bl w:val="nil"/>
                  </w:tcBorders>
                  <w:shd w:val="clear" w:color="auto" w:fill="auto"/>
                  <w:vAlign w:val="center"/>
                </w:tcPr>
                <w:p w14:paraId="4741487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Style w:val="100"/>
                      <w:color w:val="auto"/>
                      <w:sz w:val="21"/>
                      <w:szCs w:val="21"/>
                      <w:highlight w:val="none"/>
                      <w:lang w:val="en-US" w:eastAsia="zh-CN" w:bidi="ar"/>
                    </w:rPr>
                    <w:t>厂界</w:t>
                  </w:r>
                  <w:r>
                    <w:rPr>
                      <w:rStyle w:val="100"/>
                      <w:rFonts w:hint="eastAsia"/>
                      <w:color w:val="auto"/>
                      <w:sz w:val="21"/>
                      <w:szCs w:val="21"/>
                      <w:highlight w:val="none"/>
                      <w:lang w:val="en-US" w:eastAsia="zh-CN" w:bidi="ar"/>
                    </w:rPr>
                    <w:t>南侧</w:t>
                  </w:r>
                </w:p>
              </w:tc>
              <w:tc>
                <w:tcPr>
                  <w:tcW w:w="1007" w:type="pct"/>
                  <w:tcBorders>
                    <w:tl2br w:val="nil"/>
                    <w:tr2bl w:val="nil"/>
                  </w:tcBorders>
                  <w:shd w:val="clear" w:color="auto" w:fill="auto"/>
                  <w:vAlign w:val="center"/>
                </w:tcPr>
                <w:p w14:paraId="3145A9F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52</w:t>
                  </w:r>
                </w:p>
              </w:tc>
              <w:tc>
                <w:tcPr>
                  <w:tcW w:w="1016" w:type="pct"/>
                  <w:tcBorders>
                    <w:tl2br w:val="nil"/>
                    <w:tr2bl w:val="nil"/>
                  </w:tcBorders>
                  <w:shd w:val="clear" w:color="auto" w:fill="auto"/>
                  <w:noWrap/>
                  <w:vAlign w:val="center"/>
                </w:tcPr>
                <w:p w14:paraId="10794F4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50C10E9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达标</w:t>
                  </w:r>
                </w:p>
              </w:tc>
            </w:tr>
            <w:tr w14:paraId="4B34F3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4" w:hRule="atLeast"/>
                <w:jc w:val="center"/>
              </w:trPr>
              <w:tc>
                <w:tcPr>
                  <w:tcW w:w="666" w:type="pct"/>
                  <w:vMerge w:val="continue"/>
                  <w:tcBorders>
                    <w:tl2br w:val="nil"/>
                    <w:tr2bl w:val="nil"/>
                  </w:tcBorders>
                  <w:shd w:val="clear" w:color="auto" w:fill="auto"/>
                  <w:vAlign w:val="center"/>
                </w:tcPr>
                <w:p w14:paraId="5122944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133" w:type="pct"/>
                  <w:tcBorders>
                    <w:tl2br w:val="nil"/>
                    <w:tr2bl w:val="nil"/>
                  </w:tcBorders>
                  <w:shd w:val="clear" w:color="auto" w:fill="auto"/>
                  <w:vAlign w:val="center"/>
                </w:tcPr>
                <w:p w14:paraId="06F98F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Style w:val="100"/>
                      <w:color w:val="auto"/>
                      <w:sz w:val="21"/>
                      <w:szCs w:val="21"/>
                      <w:highlight w:val="none"/>
                      <w:lang w:val="en-US" w:eastAsia="zh-CN" w:bidi="ar"/>
                    </w:rPr>
                    <w:t>厂界</w:t>
                  </w:r>
                  <w:r>
                    <w:rPr>
                      <w:rStyle w:val="100"/>
                      <w:rFonts w:hint="eastAsia"/>
                      <w:color w:val="auto"/>
                      <w:sz w:val="21"/>
                      <w:szCs w:val="21"/>
                      <w:highlight w:val="none"/>
                      <w:lang w:val="en-US" w:eastAsia="zh-CN" w:bidi="ar"/>
                    </w:rPr>
                    <w:t>西侧</w:t>
                  </w:r>
                </w:p>
              </w:tc>
              <w:tc>
                <w:tcPr>
                  <w:tcW w:w="1007" w:type="pct"/>
                  <w:tcBorders>
                    <w:tl2br w:val="nil"/>
                    <w:tr2bl w:val="nil"/>
                  </w:tcBorders>
                  <w:shd w:val="clear" w:color="auto" w:fill="auto"/>
                  <w:vAlign w:val="center"/>
                </w:tcPr>
                <w:p w14:paraId="695EDB7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54</w:t>
                  </w:r>
                </w:p>
              </w:tc>
              <w:tc>
                <w:tcPr>
                  <w:tcW w:w="1016" w:type="pct"/>
                  <w:tcBorders>
                    <w:tl2br w:val="nil"/>
                    <w:tr2bl w:val="nil"/>
                  </w:tcBorders>
                  <w:shd w:val="clear" w:color="auto" w:fill="auto"/>
                  <w:noWrap/>
                  <w:vAlign w:val="center"/>
                </w:tcPr>
                <w:p w14:paraId="563103E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48B7302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达标</w:t>
                  </w:r>
                </w:p>
              </w:tc>
            </w:tr>
            <w:tr w14:paraId="3D3F62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3" w:hRule="atLeast"/>
                <w:jc w:val="center"/>
              </w:trPr>
              <w:tc>
                <w:tcPr>
                  <w:tcW w:w="666" w:type="pct"/>
                  <w:vMerge w:val="continue"/>
                  <w:tcBorders>
                    <w:tl2br w:val="nil"/>
                    <w:tr2bl w:val="nil"/>
                  </w:tcBorders>
                  <w:shd w:val="clear" w:color="auto" w:fill="auto"/>
                  <w:vAlign w:val="center"/>
                </w:tcPr>
                <w:p w14:paraId="03BF253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133" w:type="pct"/>
                  <w:tcBorders>
                    <w:tl2br w:val="nil"/>
                    <w:tr2bl w:val="nil"/>
                  </w:tcBorders>
                  <w:shd w:val="clear" w:color="auto" w:fill="auto"/>
                  <w:vAlign w:val="center"/>
                </w:tcPr>
                <w:p w14:paraId="45FB85B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Style w:val="100"/>
                      <w:color w:val="auto"/>
                      <w:sz w:val="21"/>
                      <w:szCs w:val="21"/>
                      <w:highlight w:val="none"/>
                      <w:lang w:val="en-US" w:eastAsia="zh-CN" w:bidi="ar"/>
                    </w:rPr>
                    <w:t>厂界</w:t>
                  </w:r>
                  <w:r>
                    <w:rPr>
                      <w:rStyle w:val="100"/>
                      <w:rFonts w:hint="eastAsia"/>
                      <w:color w:val="auto"/>
                      <w:sz w:val="21"/>
                      <w:szCs w:val="21"/>
                      <w:highlight w:val="none"/>
                      <w:lang w:val="en-US" w:eastAsia="zh-CN" w:bidi="ar"/>
                    </w:rPr>
                    <w:t>北侧</w:t>
                  </w:r>
                </w:p>
              </w:tc>
              <w:tc>
                <w:tcPr>
                  <w:tcW w:w="1007" w:type="pct"/>
                  <w:tcBorders>
                    <w:tl2br w:val="nil"/>
                    <w:tr2bl w:val="nil"/>
                  </w:tcBorders>
                  <w:shd w:val="clear" w:color="auto" w:fill="auto"/>
                  <w:vAlign w:val="center"/>
                </w:tcPr>
                <w:p w14:paraId="36AEFCF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57</w:t>
                  </w:r>
                </w:p>
              </w:tc>
              <w:tc>
                <w:tcPr>
                  <w:tcW w:w="1016" w:type="pct"/>
                  <w:tcBorders>
                    <w:tl2br w:val="nil"/>
                    <w:tr2bl w:val="nil"/>
                  </w:tcBorders>
                  <w:shd w:val="clear" w:color="auto" w:fill="auto"/>
                  <w:noWrap/>
                  <w:vAlign w:val="center"/>
                </w:tcPr>
                <w:p w14:paraId="44BBE9E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647BBC0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达标</w:t>
                  </w:r>
                </w:p>
              </w:tc>
            </w:tr>
            <w:tr w14:paraId="23B76E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3" w:hRule="atLeast"/>
                <w:jc w:val="center"/>
              </w:trPr>
              <w:tc>
                <w:tcPr>
                  <w:tcW w:w="666" w:type="pct"/>
                  <w:vMerge w:val="restart"/>
                  <w:tcBorders>
                    <w:tl2br w:val="nil"/>
                    <w:tr2bl w:val="nil"/>
                  </w:tcBorders>
                  <w:shd w:val="clear" w:color="auto" w:fill="auto"/>
                  <w:vAlign w:val="center"/>
                </w:tcPr>
                <w:p w14:paraId="4AD9159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2023年1月11日</w:t>
                  </w:r>
                </w:p>
              </w:tc>
              <w:tc>
                <w:tcPr>
                  <w:tcW w:w="1133" w:type="pct"/>
                  <w:tcBorders>
                    <w:tl2br w:val="nil"/>
                    <w:tr2bl w:val="nil"/>
                  </w:tcBorders>
                  <w:shd w:val="clear" w:color="auto" w:fill="auto"/>
                  <w:vAlign w:val="center"/>
                </w:tcPr>
                <w:p w14:paraId="1C3BCE6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Style w:val="100"/>
                      <w:color w:val="auto"/>
                      <w:sz w:val="21"/>
                      <w:szCs w:val="21"/>
                      <w:highlight w:val="none"/>
                      <w:lang w:val="en-US" w:eastAsia="zh-CN" w:bidi="ar"/>
                    </w:rPr>
                    <w:t>厂界东</w:t>
                  </w:r>
                  <w:r>
                    <w:rPr>
                      <w:rStyle w:val="100"/>
                      <w:rFonts w:hint="eastAsia"/>
                      <w:color w:val="auto"/>
                      <w:sz w:val="21"/>
                      <w:szCs w:val="21"/>
                      <w:highlight w:val="none"/>
                      <w:lang w:val="en-US" w:eastAsia="zh-CN" w:bidi="ar"/>
                    </w:rPr>
                    <w:t>侧</w:t>
                  </w:r>
                </w:p>
              </w:tc>
              <w:tc>
                <w:tcPr>
                  <w:tcW w:w="1007" w:type="pct"/>
                  <w:tcBorders>
                    <w:tl2br w:val="nil"/>
                    <w:tr2bl w:val="nil"/>
                  </w:tcBorders>
                  <w:shd w:val="clear" w:color="auto" w:fill="auto"/>
                  <w:vAlign w:val="center"/>
                </w:tcPr>
                <w:p w14:paraId="4A914FF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53</w:t>
                  </w:r>
                </w:p>
              </w:tc>
              <w:tc>
                <w:tcPr>
                  <w:tcW w:w="1016" w:type="pct"/>
                  <w:tcBorders>
                    <w:tl2br w:val="nil"/>
                    <w:tr2bl w:val="nil"/>
                  </w:tcBorders>
                  <w:shd w:val="clear" w:color="auto" w:fill="auto"/>
                  <w:noWrap/>
                  <w:vAlign w:val="center"/>
                </w:tcPr>
                <w:p w14:paraId="60F2F2A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7CFFDAF2">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r>
            <w:tr w14:paraId="366244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3" w:hRule="atLeast"/>
                <w:jc w:val="center"/>
              </w:trPr>
              <w:tc>
                <w:tcPr>
                  <w:tcW w:w="666" w:type="pct"/>
                  <w:vMerge w:val="continue"/>
                  <w:tcBorders>
                    <w:tl2br w:val="nil"/>
                    <w:tr2bl w:val="nil"/>
                  </w:tcBorders>
                  <w:shd w:val="clear" w:color="auto" w:fill="auto"/>
                  <w:vAlign w:val="center"/>
                </w:tcPr>
                <w:p w14:paraId="1773CAF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133" w:type="pct"/>
                  <w:tcBorders>
                    <w:tl2br w:val="nil"/>
                    <w:tr2bl w:val="nil"/>
                  </w:tcBorders>
                  <w:shd w:val="clear" w:color="auto" w:fill="auto"/>
                  <w:vAlign w:val="center"/>
                </w:tcPr>
                <w:p w14:paraId="566AFCC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Style w:val="100"/>
                      <w:color w:val="auto"/>
                      <w:sz w:val="21"/>
                      <w:szCs w:val="21"/>
                      <w:highlight w:val="none"/>
                      <w:lang w:val="en-US" w:eastAsia="zh-CN" w:bidi="ar"/>
                    </w:rPr>
                    <w:t>厂界</w:t>
                  </w:r>
                  <w:r>
                    <w:rPr>
                      <w:rStyle w:val="100"/>
                      <w:rFonts w:hint="eastAsia"/>
                      <w:color w:val="auto"/>
                      <w:sz w:val="21"/>
                      <w:szCs w:val="21"/>
                      <w:highlight w:val="none"/>
                      <w:lang w:val="en-US" w:eastAsia="zh-CN" w:bidi="ar"/>
                    </w:rPr>
                    <w:t>南侧</w:t>
                  </w:r>
                </w:p>
              </w:tc>
              <w:tc>
                <w:tcPr>
                  <w:tcW w:w="1007" w:type="pct"/>
                  <w:tcBorders>
                    <w:tl2br w:val="nil"/>
                    <w:tr2bl w:val="nil"/>
                  </w:tcBorders>
                  <w:shd w:val="clear" w:color="auto" w:fill="auto"/>
                  <w:vAlign w:val="center"/>
                </w:tcPr>
                <w:p w14:paraId="5409C2B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51</w:t>
                  </w:r>
                </w:p>
              </w:tc>
              <w:tc>
                <w:tcPr>
                  <w:tcW w:w="1016" w:type="pct"/>
                  <w:tcBorders>
                    <w:tl2br w:val="nil"/>
                    <w:tr2bl w:val="nil"/>
                  </w:tcBorders>
                  <w:shd w:val="clear" w:color="auto" w:fill="auto"/>
                  <w:noWrap/>
                  <w:vAlign w:val="center"/>
                </w:tcPr>
                <w:p w14:paraId="473D711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5814D263">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r>
            <w:tr w14:paraId="71F4BA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3" w:hRule="atLeast"/>
                <w:jc w:val="center"/>
              </w:trPr>
              <w:tc>
                <w:tcPr>
                  <w:tcW w:w="666" w:type="pct"/>
                  <w:vMerge w:val="continue"/>
                  <w:tcBorders>
                    <w:tl2br w:val="nil"/>
                    <w:tr2bl w:val="nil"/>
                  </w:tcBorders>
                  <w:shd w:val="clear" w:color="auto" w:fill="auto"/>
                  <w:vAlign w:val="center"/>
                </w:tcPr>
                <w:p w14:paraId="2050AAA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133" w:type="pct"/>
                  <w:tcBorders>
                    <w:tl2br w:val="nil"/>
                    <w:tr2bl w:val="nil"/>
                  </w:tcBorders>
                  <w:shd w:val="clear" w:color="auto" w:fill="auto"/>
                  <w:vAlign w:val="center"/>
                </w:tcPr>
                <w:p w14:paraId="006ADF1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Style w:val="100"/>
                      <w:color w:val="auto"/>
                      <w:sz w:val="21"/>
                      <w:szCs w:val="21"/>
                      <w:highlight w:val="none"/>
                      <w:lang w:val="en-US" w:eastAsia="zh-CN" w:bidi="ar"/>
                    </w:rPr>
                    <w:t>厂界</w:t>
                  </w:r>
                  <w:r>
                    <w:rPr>
                      <w:rStyle w:val="100"/>
                      <w:rFonts w:hint="eastAsia"/>
                      <w:color w:val="auto"/>
                      <w:sz w:val="21"/>
                      <w:szCs w:val="21"/>
                      <w:highlight w:val="none"/>
                      <w:lang w:val="en-US" w:eastAsia="zh-CN" w:bidi="ar"/>
                    </w:rPr>
                    <w:t>西侧</w:t>
                  </w:r>
                </w:p>
              </w:tc>
              <w:tc>
                <w:tcPr>
                  <w:tcW w:w="1007" w:type="pct"/>
                  <w:tcBorders>
                    <w:tl2br w:val="nil"/>
                    <w:tr2bl w:val="nil"/>
                  </w:tcBorders>
                  <w:shd w:val="clear" w:color="auto" w:fill="auto"/>
                  <w:vAlign w:val="center"/>
                </w:tcPr>
                <w:p w14:paraId="1363319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53</w:t>
                  </w:r>
                </w:p>
              </w:tc>
              <w:tc>
                <w:tcPr>
                  <w:tcW w:w="1016" w:type="pct"/>
                  <w:tcBorders>
                    <w:tl2br w:val="nil"/>
                    <w:tr2bl w:val="nil"/>
                  </w:tcBorders>
                  <w:shd w:val="clear" w:color="auto" w:fill="auto"/>
                  <w:noWrap/>
                  <w:vAlign w:val="center"/>
                </w:tcPr>
                <w:p w14:paraId="5824D06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4C10987F">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r>
            <w:tr w14:paraId="6720F6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3" w:hRule="atLeast"/>
                <w:jc w:val="center"/>
              </w:trPr>
              <w:tc>
                <w:tcPr>
                  <w:tcW w:w="666" w:type="pct"/>
                  <w:vMerge w:val="continue"/>
                  <w:tcBorders>
                    <w:tl2br w:val="nil"/>
                    <w:tr2bl w:val="nil"/>
                  </w:tcBorders>
                  <w:shd w:val="clear" w:color="auto" w:fill="auto"/>
                  <w:vAlign w:val="center"/>
                </w:tcPr>
                <w:p w14:paraId="290B087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p>
              </w:tc>
              <w:tc>
                <w:tcPr>
                  <w:tcW w:w="1133" w:type="pct"/>
                  <w:tcBorders>
                    <w:tl2br w:val="nil"/>
                    <w:tr2bl w:val="nil"/>
                  </w:tcBorders>
                  <w:shd w:val="clear" w:color="auto" w:fill="auto"/>
                  <w:vAlign w:val="center"/>
                </w:tcPr>
                <w:p w14:paraId="0864AA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Style w:val="100"/>
                      <w:color w:val="auto"/>
                      <w:sz w:val="21"/>
                      <w:szCs w:val="21"/>
                      <w:highlight w:val="none"/>
                      <w:lang w:val="en-US" w:eastAsia="zh-CN" w:bidi="ar"/>
                    </w:rPr>
                    <w:t>厂界</w:t>
                  </w:r>
                  <w:r>
                    <w:rPr>
                      <w:rStyle w:val="100"/>
                      <w:rFonts w:hint="eastAsia"/>
                      <w:color w:val="auto"/>
                      <w:sz w:val="21"/>
                      <w:szCs w:val="21"/>
                      <w:highlight w:val="none"/>
                      <w:lang w:val="en-US" w:eastAsia="zh-CN" w:bidi="ar"/>
                    </w:rPr>
                    <w:t>北侧</w:t>
                  </w:r>
                </w:p>
              </w:tc>
              <w:tc>
                <w:tcPr>
                  <w:tcW w:w="1007" w:type="pct"/>
                  <w:tcBorders>
                    <w:tl2br w:val="nil"/>
                    <w:tr2bl w:val="nil"/>
                  </w:tcBorders>
                  <w:shd w:val="clear" w:color="auto" w:fill="auto"/>
                  <w:vAlign w:val="center"/>
                </w:tcPr>
                <w:p w14:paraId="05B78D3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eastAsia" w:cs="Times New Roman"/>
                      <w:i w:val="0"/>
                      <w:iCs w:val="0"/>
                      <w:color w:val="auto"/>
                      <w:kern w:val="0"/>
                      <w:sz w:val="21"/>
                      <w:szCs w:val="21"/>
                      <w:highlight w:val="none"/>
                      <w:u w:val="none"/>
                      <w:lang w:val="en-US" w:eastAsia="zh-CN" w:bidi="ar"/>
                    </w:rPr>
                    <w:t>46</w:t>
                  </w:r>
                </w:p>
              </w:tc>
              <w:tc>
                <w:tcPr>
                  <w:tcW w:w="1016" w:type="pct"/>
                  <w:tcBorders>
                    <w:tl2br w:val="nil"/>
                    <w:tr2bl w:val="nil"/>
                  </w:tcBorders>
                  <w:shd w:val="clear" w:color="auto" w:fill="auto"/>
                  <w:noWrap/>
                  <w:vAlign w:val="center"/>
                </w:tcPr>
                <w:p w14:paraId="54D1CFB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65</w:t>
                  </w:r>
                </w:p>
              </w:tc>
              <w:tc>
                <w:tcPr>
                  <w:tcW w:w="1176" w:type="pct"/>
                  <w:tcBorders>
                    <w:tl2br w:val="nil"/>
                    <w:tr2bl w:val="nil"/>
                  </w:tcBorders>
                  <w:shd w:val="clear" w:color="auto" w:fill="auto"/>
                  <w:noWrap/>
                  <w:vAlign w:val="center"/>
                </w:tcPr>
                <w:p w14:paraId="5CFC4C28">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达标</w:t>
                  </w:r>
                </w:p>
              </w:tc>
            </w:tr>
          </w:tbl>
          <w:p w14:paraId="016B57CE">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0" w:firstLineChars="200"/>
              <w:jc w:val="left"/>
              <w:textAlignment w:val="auto"/>
              <w:rPr>
                <w:rFonts w:hint="eastAsia"/>
                <w:color w:val="auto"/>
                <w:sz w:val="24"/>
                <w:highlight w:val="none"/>
                <w:lang w:eastAsia="zh-CN"/>
              </w:rPr>
            </w:pPr>
            <w:r>
              <w:rPr>
                <w:rFonts w:hint="eastAsia"/>
                <w:color w:val="auto"/>
                <w:sz w:val="24"/>
                <w:highlight w:val="none"/>
              </w:rPr>
              <w:t>以上数据表明，</w:t>
            </w:r>
            <w:r>
              <w:rPr>
                <w:rFonts w:hint="eastAsia"/>
                <w:color w:val="auto"/>
                <w:sz w:val="24"/>
                <w:highlight w:val="none"/>
                <w:lang w:val="en-US" w:eastAsia="zh-CN"/>
              </w:rPr>
              <w:t>项目现状四周</w:t>
            </w:r>
            <w:r>
              <w:rPr>
                <w:rFonts w:hint="eastAsia"/>
                <w:color w:val="auto"/>
                <w:sz w:val="24"/>
                <w:highlight w:val="none"/>
              </w:rPr>
              <w:t>厂界环境</w:t>
            </w:r>
            <w:r>
              <w:rPr>
                <w:rFonts w:hint="eastAsia"/>
                <w:color w:val="auto"/>
                <w:sz w:val="24"/>
                <w:highlight w:val="none"/>
                <w:lang w:val="en-US" w:eastAsia="zh-CN"/>
              </w:rPr>
              <w:t>昼间</w:t>
            </w:r>
            <w:r>
              <w:rPr>
                <w:rFonts w:hint="eastAsia"/>
                <w:color w:val="auto"/>
                <w:sz w:val="24"/>
                <w:highlight w:val="none"/>
              </w:rPr>
              <w:t>噪声监测结果均符合《工业企业厂界环境噪声排放标准》（GB 12348-2008）表1中3类限值要求</w:t>
            </w:r>
            <w:r>
              <w:rPr>
                <w:rFonts w:hint="eastAsia"/>
                <w:color w:val="auto"/>
                <w:sz w:val="24"/>
                <w:highlight w:val="none"/>
                <w:lang w:eastAsia="zh-CN"/>
              </w:rPr>
              <w:t>。</w:t>
            </w:r>
          </w:p>
          <w:p w14:paraId="1F6E4266">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482" w:firstLineChars="200"/>
              <w:jc w:val="both"/>
              <w:textAlignment w:val="auto"/>
              <w:rPr>
                <w:rFonts w:hint="eastAsia"/>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4</w:t>
            </w:r>
            <w:r>
              <w:rPr>
                <w:rFonts w:hint="eastAsia"/>
                <w:b/>
                <w:bCs/>
                <w:color w:val="auto"/>
                <w:sz w:val="24"/>
                <w:highlight w:val="none"/>
                <w:lang w:eastAsia="zh-CN"/>
              </w:rPr>
              <w:t>）</w:t>
            </w:r>
            <w:r>
              <w:rPr>
                <w:rFonts w:hint="eastAsia"/>
                <w:b/>
                <w:bCs/>
                <w:color w:val="auto"/>
                <w:sz w:val="24"/>
                <w:highlight w:val="none"/>
              </w:rPr>
              <w:t>固体废弃物处置情况</w:t>
            </w:r>
          </w:p>
          <w:p w14:paraId="7C79F565">
            <w:pPr>
              <w:keepNext w:val="0"/>
              <w:keepLines w:val="0"/>
              <w:widowControl w:val="0"/>
              <w:numPr>
                <w:ilvl w:val="0"/>
                <w:numId w:val="0"/>
              </w:numPr>
              <w:suppressLineNumbers w:val="0"/>
              <w:tabs>
                <w:tab w:val="left" w:pos="0"/>
              </w:tabs>
              <w:autoSpaceDE w:val="0"/>
              <w:autoSpaceDN w:val="0"/>
              <w:adjustRightInd w:val="0"/>
              <w:spacing w:before="313" w:beforeLines="100" w:line="360" w:lineRule="auto"/>
              <w:ind w:firstLine="480" w:firstLineChars="200"/>
              <w:jc w:val="left"/>
              <w:rPr>
                <w:rFonts w:hint="eastAsia" w:eastAsia="宋体"/>
                <w:color w:val="auto"/>
                <w:highlight w:val="none"/>
                <w:lang w:val="en-US" w:eastAsia="zh-CN"/>
              </w:rPr>
            </w:pPr>
            <w:r>
              <w:rPr>
                <w:rFonts w:hint="eastAsia"/>
                <w:color w:val="auto"/>
                <w:sz w:val="24"/>
                <w:highlight w:val="none"/>
              </w:rPr>
              <w:t>现有项目运营期产生的固体废物主要</w:t>
            </w:r>
            <w:r>
              <w:rPr>
                <w:rFonts w:hint="eastAsia"/>
                <w:color w:val="auto"/>
                <w:sz w:val="24"/>
                <w:highlight w:val="none"/>
                <w:lang w:val="en-US" w:eastAsia="zh-CN"/>
              </w:rPr>
              <w:t>废包装材料、生活垃圾、实验废液、沾染化学试剂的一次性实验用品等、废活性炭、废活性污泥、污水处理污泥</w:t>
            </w:r>
            <w:r>
              <w:rPr>
                <w:rFonts w:hint="eastAsia"/>
                <w:color w:val="auto"/>
                <w:sz w:val="24"/>
                <w:highlight w:val="none"/>
              </w:rPr>
              <w:t>。</w:t>
            </w:r>
            <w:r>
              <w:rPr>
                <w:rFonts w:hint="eastAsia"/>
                <w:color w:val="auto"/>
                <w:sz w:val="24"/>
                <w:highlight w:val="none"/>
                <w:lang w:val="en-US" w:eastAsia="zh-CN"/>
              </w:rPr>
              <w:t>生活垃圾由环卫处置，废包装材料由企业收集并</w:t>
            </w:r>
            <w:r>
              <w:rPr>
                <w:rFonts w:hint="eastAsia"/>
                <w:color w:val="auto"/>
                <w:sz w:val="24"/>
                <w:highlight w:val="none"/>
              </w:rPr>
              <w:t>外售至废品回收站</w:t>
            </w:r>
            <w:r>
              <w:rPr>
                <w:rFonts w:hint="eastAsia"/>
                <w:color w:val="auto"/>
                <w:sz w:val="24"/>
                <w:highlight w:val="none"/>
                <w:lang w:val="en-US" w:eastAsia="zh-CN"/>
              </w:rPr>
              <w:t>，</w:t>
            </w:r>
            <w:r>
              <w:rPr>
                <w:rFonts w:hint="eastAsia"/>
                <w:color w:val="auto"/>
                <w:sz w:val="24"/>
                <w:highlight w:val="none"/>
              </w:rPr>
              <w:t>危险废物委托</w:t>
            </w:r>
            <w:r>
              <w:rPr>
                <w:rFonts w:hint="eastAsia"/>
                <w:color w:val="auto"/>
                <w:sz w:val="24"/>
                <w:highlight w:val="none"/>
                <w:lang w:val="en-US" w:eastAsia="zh-CN"/>
              </w:rPr>
              <w:t>陕西水发环境有限公司</w:t>
            </w:r>
            <w:r>
              <w:rPr>
                <w:rFonts w:hint="eastAsia"/>
                <w:color w:val="auto"/>
                <w:sz w:val="24"/>
                <w:highlight w:val="none"/>
              </w:rPr>
              <w:t>定期处置。</w:t>
            </w:r>
          </w:p>
          <w:p w14:paraId="01D267EE">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ind w:left="0" w:leftChars="0" w:firstLine="0" w:firstLineChars="0"/>
              <w:jc w:val="left"/>
              <w:textAlignment w:val="auto"/>
              <w:rPr>
                <w:rFonts w:hint="eastAsia" w:eastAsia="宋体"/>
                <w:color w:val="auto"/>
                <w:sz w:val="24"/>
                <w:highlight w:val="none"/>
                <w:lang w:eastAsia="zh-CN"/>
              </w:rPr>
            </w:pPr>
            <w:r>
              <w:rPr>
                <w:rFonts w:hint="eastAsia" w:eastAsia="宋体"/>
                <w:color w:val="auto"/>
                <w:sz w:val="24"/>
                <w:highlight w:val="none"/>
                <w:lang w:eastAsia="zh-CN"/>
              </w:rPr>
              <w:drawing>
                <wp:inline distT="0" distB="0" distL="114300" distR="114300">
                  <wp:extent cx="2365375" cy="1742440"/>
                  <wp:effectExtent l="0" t="0" r="15875" b="10160"/>
                  <wp:docPr id="3" name="图片 3" descr="73ae873df709d9e8c0fec33e207f6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3ae873df709d9e8c0fec33e207f66c"/>
                          <pic:cNvPicPr>
                            <a:picLocks noChangeAspect="1"/>
                          </pic:cNvPicPr>
                        </pic:nvPicPr>
                        <pic:blipFill>
                          <a:blip r:embed="rId20"/>
                          <a:stretch>
                            <a:fillRect/>
                          </a:stretch>
                        </pic:blipFill>
                        <pic:spPr>
                          <a:xfrm>
                            <a:off x="0" y="0"/>
                            <a:ext cx="2365375" cy="1742440"/>
                          </a:xfrm>
                          <a:prstGeom prst="rect">
                            <a:avLst/>
                          </a:prstGeom>
                        </pic:spPr>
                      </pic:pic>
                    </a:graphicData>
                  </a:graphic>
                </wp:inline>
              </w:drawing>
            </w:r>
            <w:r>
              <w:rPr>
                <w:rFonts w:hint="eastAsia"/>
                <w:color w:val="auto"/>
                <w:sz w:val="24"/>
                <w:highlight w:val="none"/>
                <w:lang w:val="en-US" w:eastAsia="zh-CN"/>
              </w:rPr>
              <w:t xml:space="preserve">   </w:t>
            </w:r>
            <w:r>
              <w:rPr>
                <w:rFonts w:hint="eastAsia" w:eastAsia="宋体"/>
                <w:color w:val="auto"/>
                <w:sz w:val="24"/>
                <w:highlight w:val="none"/>
                <w:lang w:eastAsia="zh-CN"/>
              </w:rPr>
              <w:drawing>
                <wp:inline distT="0" distB="0" distL="114300" distR="114300">
                  <wp:extent cx="2255520" cy="1742440"/>
                  <wp:effectExtent l="0" t="0" r="11430" b="10160"/>
                  <wp:docPr id="4" name="图片 4" descr="031a7331ad7a1b1b8498b3af39bd0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31a7331ad7a1b1b8498b3af39bd0c3"/>
                          <pic:cNvPicPr>
                            <a:picLocks noChangeAspect="1"/>
                          </pic:cNvPicPr>
                        </pic:nvPicPr>
                        <pic:blipFill>
                          <a:blip r:embed="rId21"/>
                          <a:stretch>
                            <a:fillRect/>
                          </a:stretch>
                        </pic:blipFill>
                        <pic:spPr>
                          <a:xfrm>
                            <a:off x="0" y="0"/>
                            <a:ext cx="2255520" cy="1742440"/>
                          </a:xfrm>
                          <a:prstGeom prst="rect">
                            <a:avLst/>
                          </a:prstGeom>
                        </pic:spPr>
                      </pic:pic>
                    </a:graphicData>
                  </a:graphic>
                </wp:inline>
              </w:drawing>
            </w:r>
          </w:p>
          <w:p w14:paraId="035D8C14">
            <w:pPr>
              <w:numPr>
                <w:ilvl w:val="0"/>
                <w:numId w:val="0"/>
              </w:numPr>
              <w:bidi w:val="0"/>
              <w:spacing w:line="360" w:lineRule="auto"/>
              <w:ind w:firstLine="482" w:firstLineChars="200"/>
              <w:jc w:val="center"/>
              <w:rPr>
                <w:rFonts w:hint="default" w:ascii="Times New Roman" w:hAnsi="Times New Roman" w:eastAsia="宋体" w:cs="Times New Roman"/>
                <w:b/>
                <w:bCs/>
                <w:color w:val="auto"/>
                <w:sz w:val="24"/>
                <w:szCs w:val="32"/>
                <w:highlight w:val="none"/>
                <w:lang w:val="en-US" w:eastAsia="zh-CN"/>
              </w:rPr>
            </w:pPr>
            <w:r>
              <w:rPr>
                <w:rFonts w:hint="eastAsia" w:ascii="Times New Roman" w:hAnsi="Times New Roman" w:eastAsia="宋体" w:cs="Times New Roman"/>
                <w:b/>
                <w:bCs/>
                <w:color w:val="auto"/>
                <w:sz w:val="24"/>
                <w:szCs w:val="32"/>
                <w:highlight w:val="none"/>
                <w:lang w:val="en-US" w:eastAsia="zh-CN"/>
              </w:rPr>
              <w:t>图2-</w:t>
            </w:r>
            <w:r>
              <w:rPr>
                <w:rFonts w:hint="eastAsia" w:cs="Times New Roman"/>
                <w:b/>
                <w:bCs/>
                <w:color w:val="auto"/>
                <w:sz w:val="24"/>
                <w:szCs w:val="32"/>
                <w:highlight w:val="none"/>
                <w:lang w:val="en-US" w:eastAsia="zh-CN"/>
              </w:rPr>
              <w:t>5</w:t>
            </w:r>
            <w:r>
              <w:rPr>
                <w:rFonts w:hint="eastAsia" w:ascii="Times New Roman" w:hAnsi="Times New Roman" w:eastAsia="宋体" w:cs="Times New Roman"/>
                <w:b/>
                <w:bCs/>
                <w:color w:val="auto"/>
                <w:sz w:val="24"/>
                <w:szCs w:val="32"/>
                <w:highlight w:val="none"/>
                <w:lang w:val="en-US" w:eastAsia="zh-CN"/>
              </w:rPr>
              <w:t xml:space="preserve"> 现有项目危废贮存库照片</w:t>
            </w:r>
          </w:p>
          <w:p w14:paraId="109ED48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0" w:beforeLines="0" w:line="360" w:lineRule="auto"/>
              <w:ind w:left="0" w:leftChars="0" w:firstLine="482" w:firstLineChars="200"/>
              <w:jc w:val="center"/>
              <w:textAlignment w:val="auto"/>
              <w:rPr>
                <w:rFonts w:hint="eastAsia"/>
                <w:b/>
                <w:bCs/>
                <w:color w:val="auto"/>
                <w:sz w:val="24"/>
                <w:highlight w:val="none"/>
                <w:lang w:val="en-US" w:eastAsia="zh-CN"/>
              </w:rPr>
            </w:pPr>
            <w:r>
              <w:rPr>
                <w:rFonts w:hint="eastAsia"/>
                <w:b/>
                <w:bCs/>
                <w:color w:val="auto"/>
                <w:sz w:val="24"/>
                <w:highlight w:val="none"/>
                <w:lang w:val="en-US" w:eastAsia="zh-CN"/>
              </w:rPr>
              <w:t>表2-16 现有一般固体废物及危险废物处置情况</w:t>
            </w:r>
          </w:p>
          <w:tbl>
            <w:tblPr>
              <w:tblStyle w:val="30"/>
              <w:tblW w:w="75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6"/>
              <w:gridCol w:w="1584"/>
              <w:gridCol w:w="794"/>
              <w:gridCol w:w="1323"/>
              <w:gridCol w:w="2335"/>
              <w:gridCol w:w="1076"/>
            </w:tblGrid>
            <w:tr w14:paraId="4542F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1" w:hRule="atLeast"/>
                <w:jc w:val="center"/>
              </w:trPr>
              <w:tc>
                <w:tcPr>
                  <w:tcW w:w="466" w:type="dxa"/>
                  <w:tcBorders>
                    <w:top w:val="single" w:color="000000" w:sz="12" w:space="0"/>
                    <w:left w:val="single" w:color="000000" w:sz="12" w:space="0"/>
                    <w:bottom w:val="single" w:color="000000" w:sz="4" w:space="0"/>
                    <w:right w:val="single" w:color="000000" w:sz="4" w:space="0"/>
                  </w:tcBorders>
                  <w:shd w:val="clear" w:color="auto" w:fill="auto"/>
                  <w:vAlign w:val="center"/>
                </w:tcPr>
                <w:p w14:paraId="61C7A894">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584"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18B50E8F">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固废名称</w:t>
                  </w:r>
                </w:p>
              </w:tc>
              <w:tc>
                <w:tcPr>
                  <w:tcW w:w="794"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0D3EC3B9">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生产工序</w:t>
                  </w:r>
                </w:p>
              </w:tc>
              <w:tc>
                <w:tcPr>
                  <w:tcW w:w="1323"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6BADABA7">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属性</w:t>
                  </w:r>
                </w:p>
              </w:tc>
              <w:tc>
                <w:tcPr>
                  <w:tcW w:w="2335"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1CF9491A">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w:t>
                  </w:r>
                  <w:r>
                    <w:rPr>
                      <w:rFonts w:hint="default" w:ascii="Times New Roman" w:hAnsi="Times New Roman" w:eastAsia="宋体" w:cs="Times New Roman"/>
                      <w:b/>
                      <w:bCs/>
                      <w:i w:val="0"/>
                      <w:iCs w:val="0"/>
                      <w:color w:val="auto"/>
                      <w:kern w:val="0"/>
                      <w:sz w:val="21"/>
                      <w:szCs w:val="21"/>
                      <w:u w:val="none"/>
                      <w:lang w:val="en-US" w:eastAsia="zh-CN" w:bidi="ar"/>
                    </w:rPr>
                    <w:t>/</w:t>
                  </w:r>
                  <w:r>
                    <w:rPr>
                      <w:rFonts w:hint="eastAsia" w:ascii="宋体" w:hAnsi="宋体" w:eastAsia="宋体" w:cs="宋体"/>
                      <w:b/>
                      <w:bCs/>
                      <w:i w:val="0"/>
                      <w:iCs w:val="0"/>
                      <w:color w:val="auto"/>
                      <w:kern w:val="0"/>
                      <w:sz w:val="21"/>
                      <w:szCs w:val="21"/>
                      <w:u w:val="none"/>
                      <w:lang w:val="en-US" w:eastAsia="zh-CN" w:bidi="ar"/>
                    </w:rPr>
                    <w:t>处理方式</w:t>
                  </w:r>
                </w:p>
              </w:tc>
              <w:tc>
                <w:tcPr>
                  <w:tcW w:w="1076" w:type="dxa"/>
                  <w:tcBorders>
                    <w:top w:val="single" w:color="000000" w:sz="12" w:space="0"/>
                    <w:left w:val="single" w:color="000000" w:sz="4" w:space="0"/>
                    <w:bottom w:val="single" w:color="000000" w:sz="4" w:space="0"/>
                    <w:right w:val="single" w:color="000000" w:sz="12" w:space="0"/>
                  </w:tcBorders>
                  <w:shd w:val="clear" w:color="auto" w:fill="auto"/>
                  <w:vAlign w:val="center"/>
                </w:tcPr>
                <w:p w14:paraId="099ED31E">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现有工程产生量</w:t>
                  </w:r>
                </w:p>
              </w:tc>
            </w:tr>
            <w:tr w14:paraId="08251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jc w:val="center"/>
              </w:trPr>
              <w:tc>
                <w:tcPr>
                  <w:tcW w:w="466"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7BAD758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E40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生活垃圾</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64BE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生活区</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3F30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一般固废</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ED9B">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分类收集后交由环卫部门统一清运</w:t>
                  </w:r>
                </w:p>
              </w:tc>
              <w:tc>
                <w:tcPr>
                  <w:tcW w:w="1076"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5E2FAA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w:t>
                  </w:r>
                  <w:r>
                    <w:rPr>
                      <w:rFonts w:hint="eastAsia" w:cs="Times New Roman"/>
                      <w:i w:val="0"/>
                      <w:iCs w:val="0"/>
                      <w:color w:val="auto"/>
                      <w:kern w:val="0"/>
                      <w:sz w:val="21"/>
                      <w:szCs w:val="21"/>
                      <w:u w:val="none"/>
                      <w:lang w:val="en-US" w:eastAsia="zh-CN" w:bidi="ar"/>
                    </w:rPr>
                    <w:t>7</w:t>
                  </w:r>
                  <w:r>
                    <w:rPr>
                      <w:rFonts w:hint="default" w:ascii="Times New Roman" w:hAnsi="Times New Roman" w:eastAsia="宋体" w:cs="Times New Roman"/>
                      <w:i w:val="0"/>
                      <w:iCs w:val="0"/>
                      <w:color w:val="auto"/>
                      <w:kern w:val="0"/>
                      <w:sz w:val="21"/>
                      <w:szCs w:val="21"/>
                      <w:u w:val="none"/>
                      <w:lang w:val="en-US" w:eastAsia="zh-CN" w:bidi="ar"/>
                    </w:rPr>
                    <w:t>t/a</w:t>
                  </w:r>
                </w:p>
              </w:tc>
            </w:tr>
            <w:tr w14:paraId="5AD45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6B72D43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298E2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废包装材料</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96234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实验研发</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3A180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一般固废</w:t>
                  </w:r>
                </w:p>
              </w:tc>
              <w:tc>
                <w:tcPr>
                  <w:tcW w:w="2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833D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集中收集后外售至废品回收站</w:t>
                  </w:r>
                </w:p>
              </w:tc>
              <w:tc>
                <w:tcPr>
                  <w:tcW w:w="1076"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324EFBC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0.5t/a</w:t>
                  </w:r>
                </w:p>
              </w:tc>
            </w:tr>
            <w:tr w14:paraId="039CA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32357F7">
                  <w:pPr>
                    <w:jc w:val="center"/>
                    <w:rPr>
                      <w:rFonts w:hint="default" w:ascii="Times New Roman" w:hAnsi="Times New Roman" w:eastAsia="宋体" w:cs="Times New Roman"/>
                      <w:i w:val="0"/>
                      <w:iCs w:val="0"/>
                      <w:color w:val="auto"/>
                      <w:sz w:val="21"/>
                      <w:szCs w:val="21"/>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AE87D">
                  <w:pPr>
                    <w:jc w:val="center"/>
                    <w:rPr>
                      <w:rFonts w:hint="eastAsia" w:ascii="宋体" w:hAnsi="宋体" w:eastAsia="宋体" w:cs="宋体"/>
                      <w:i w:val="0"/>
                      <w:iCs w:val="0"/>
                      <w:color w:val="auto"/>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C35FC8">
                  <w:pPr>
                    <w:jc w:val="center"/>
                    <w:rPr>
                      <w:rFonts w:hint="eastAsia" w:ascii="宋体" w:hAnsi="宋体" w:eastAsia="宋体" w:cs="宋体"/>
                      <w:i w:val="0"/>
                      <w:iCs w:val="0"/>
                      <w:color w:val="auto"/>
                      <w:sz w:val="21"/>
                      <w:szCs w:val="21"/>
                      <w:u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FA09B">
                  <w:pPr>
                    <w:jc w:val="center"/>
                    <w:rPr>
                      <w:rFonts w:hint="eastAsia" w:ascii="宋体" w:hAnsi="宋体" w:eastAsia="宋体" w:cs="宋体"/>
                      <w:i w:val="0"/>
                      <w:iCs w:val="0"/>
                      <w:color w:val="auto"/>
                      <w:sz w:val="21"/>
                      <w:szCs w:val="21"/>
                      <w:u w:val="none"/>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6C41CD">
                  <w:pPr>
                    <w:jc w:val="center"/>
                    <w:rPr>
                      <w:rFonts w:hint="eastAsia" w:ascii="宋体" w:hAnsi="宋体" w:eastAsia="宋体" w:cs="宋体"/>
                      <w:i w:val="0"/>
                      <w:iCs w:val="0"/>
                      <w:color w:val="auto"/>
                      <w:sz w:val="21"/>
                      <w:szCs w:val="21"/>
                      <w:u w:val="none"/>
                    </w:rPr>
                  </w:pPr>
                </w:p>
              </w:tc>
              <w:tc>
                <w:tcPr>
                  <w:tcW w:w="1076"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37B4FCFF">
                  <w:pPr>
                    <w:jc w:val="center"/>
                    <w:rPr>
                      <w:rFonts w:hint="default" w:ascii="Times New Roman" w:hAnsi="Times New Roman" w:eastAsia="宋体" w:cs="Times New Roman"/>
                      <w:i w:val="0"/>
                      <w:iCs w:val="0"/>
                      <w:color w:val="auto"/>
                      <w:sz w:val="21"/>
                      <w:szCs w:val="21"/>
                      <w:u w:val="none"/>
                    </w:rPr>
                  </w:pPr>
                </w:p>
              </w:tc>
            </w:tr>
            <w:tr w14:paraId="4CDC5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466"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6DC4FFB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5602D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实验室废液</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658E6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实验研发</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BCB1D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HW49 900-047-49</w:t>
                  </w:r>
                </w:p>
              </w:tc>
              <w:tc>
                <w:tcPr>
                  <w:tcW w:w="2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B67C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暂存危废</w:t>
                  </w:r>
                  <w:r>
                    <w:rPr>
                      <w:rFonts w:hint="eastAsia" w:ascii="宋体" w:hAnsi="宋体" w:cs="宋体"/>
                      <w:i w:val="0"/>
                      <w:iCs w:val="0"/>
                      <w:color w:val="auto"/>
                      <w:kern w:val="0"/>
                      <w:sz w:val="21"/>
                      <w:szCs w:val="21"/>
                      <w:u w:val="none"/>
                      <w:lang w:val="en-US" w:eastAsia="zh-CN" w:bidi="ar"/>
                    </w:rPr>
                    <w:t>暂存库</w:t>
                  </w:r>
                  <w:r>
                    <w:rPr>
                      <w:rFonts w:hint="eastAsia" w:ascii="宋体" w:hAnsi="宋体" w:eastAsia="宋体" w:cs="宋体"/>
                      <w:i w:val="0"/>
                      <w:iCs w:val="0"/>
                      <w:color w:val="auto"/>
                      <w:kern w:val="0"/>
                      <w:sz w:val="21"/>
                      <w:szCs w:val="21"/>
                      <w:u w:val="none"/>
                      <w:lang w:val="en-US" w:eastAsia="zh-CN" w:bidi="ar"/>
                    </w:rPr>
                    <w:t>内，定期交由陕西水发环境有限公司统一处置</w:t>
                  </w:r>
                </w:p>
              </w:tc>
              <w:tc>
                <w:tcPr>
                  <w:tcW w:w="1076"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7114705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13.25</w:t>
                  </w:r>
                  <w:r>
                    <w:rPr>
                      <w:rFonts w:hint="default" w:ascii="Times New Roman" w:hAnsi="Times New Roman" w:eastAsia="宋体" w:cs="Times New Roman"/>
                      <w:i w:val="0"/>
                      <w:iCs w:val="0"/>
                      <w:color w:val="auto"/>
                      <w:kern w:val="0"/>
                      <w:sz w:val="21"/>
                      <w:szCs w:val="21"/>
                      <w:u w:val="none"/>
                      <w:lang w:val="en-US" w:eastAsia="zh-CN" w:bidi="ar"/>
                    </w:rPr>
                    <w:t>t/a</w:t>
                  </w:r>
                </w:p>
              </w:tc>
            </w:tr>
            <w:tr w14:paraId="15296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66"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1BC2923D">
                  <w:pPr>
                    <w:jc w:val="center"/>
                    <w:rPr>
                      <w:rFonts w:hint="default" w:ascii="Times New Roman" w:hAnsi="Times New Roman" w:eastAsia="宋体" w:cs="Times New Roman"/>
                      <w:i w:val="0"/>
                      <w:iCs w:val="0"/>
                      <w:color w:val="auto"/>
                      <w:sz w:val="21"/>
                      <w:szCs w:val="21"/>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FEDCC">
                  <w:pPr>
                    <w:jc w:val="center"/>
                    <w:rPr>
                      <w:rFonts w:hint="eastAsia" w:ascii="宋体" w:hAnsi="宋体" w:eastAsia="宋体" w:cs="宋体"/>
                      <w:i w:val="0"/>
                      <w:iCs w:val="0"/>
                      <w:color w:val="auto"/>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780CD">
                  <w:pPr>
                    <w:jc w:val="center"/>
                    <w:rPr>
                      <w:rFonts w:hint="eastAsia" w:ascii="宋体" w:hAnsi="宋体" w:eastAsia="宋体" w:cs="宋体"/>
                      <w:i w:val="0"/>
                      <w:iCs w:val="0"/>
                      <w:color w:val="auto"/>
                      <w:sz w:val="21"/>
                      <w:szCs w:val="21"/>
                      <w:u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6A143">
                  <w:pPr>
                    <w:jc w:val="center"/>
                    <w:rPr>
                      <w:rFonts w:hint="default" w:ascii="Times New Roman" w:hAnsi="Times New Roman" w:eastAsia="宋体" w:cs="Times New Roman"/>
                      <w:i w:val="0"/>
                      <w:iCs w:val="0"/>
                      <w:color w:val="auto"/>
                      <w:sz w:val="21"/>
                      <w:szCs w:val="21"/>
                      <w:u w:val="none"/>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DD6E4">
                  <w:pPr>
                    <w:jc w:val="center"/>
                    <w:rPr>
                      <w:rFonts w:hint="eastAsia" w:ascii="宋体" w:hAnsi="宋体" w:eastAsia="宋体" w:cs="宋体"/>
                      <w:i w:val="0"/>
                      <w:iCs w:val="0"/>
                      <w:color w:val="auto"/>
                      <w:sz w:val="21"/>
                      <w:szCs w:val="21"/>
                      <w:u w:val="none"/>
                    </w:rPr>
                  </w:pPr>
                </w:p>
              </w:tc>
              <w:tc>
                <w:tcPr>
                  <w:tcW w:w="1076"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667C8935">
                  <w:pPr>
                    <w:jc w:val="center"/>
                    <w:rPr>
                      <w:rFonts w:hint="default" w:ascii="Times New Roman" w:hAnsi="Times New Roman" w:eastAsia="宋体" w:cs="Times New Roman"/>
                      <w:i w:val="0"/>
                      <w:iCs w:val="0"/>
                      <w:color w:val="auto"/>
                      <w:sz w:val="21"/>
                      <w:szCs w:val="21"/>
                      <w:u w:val="none"/>
                    </w:rPr>
                  </w:pPr>
                </w:p>
              </w:tc>
            </w:tr>
            <w:tr w14:paraId="1F8BC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466"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3377A41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23C7C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废弃样品及分析产物</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73180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实验研发</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022C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HW49 900-047-49</w:t>
                  </w: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E9CA7">
                  <w:pPr>
                    <w:jc w:val="center"/>
                    <w:rPr>
                      <w:rFonts w:hint="eastAsia" w:ascii="宋体" w:hAnsi="宋体" w:eastAsia="宋体" w:cs="宋体"/>
                      <w:i w:val="0"/>
                      <w:iCs w:val="0"/>
                      <w:color w:val="auto"/>
                      <w:sz w:val="21"/>
                      <w:szCs w:val="21"/>
                      <w:u w:val="none"/>
                    </w:rPr>
                  </w:pPr>
                </w:p>
              </w:tc>
              <w:tc>
                <w:tcPr>
                  <w:tcW w:w="1076"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6F2B609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0.01</w:t>
                  </w:r>
                  <w:r>
                    <w:rPr>
                      <w:rFonts w:hint="default" w:ascii="Times New Roman" w:hAnsi="Times New Roman" w:eastAsia="宋体" w:cs="Times New Roman"/>
                      <w:i w:val="0"/>
                      <w:iCs w:val="0"/>
                      <w:color w:val="auto"/>
                      <w:kern w:val="0"/>
                      <w:sz w:val="21"/>
                      <w:szCs w:val="21"/>
                      <w:u w:val="none"/>
                      <w:lang w:val="en-US" w:eastAsia="zh-CN" w:bidi="ar"/>
                    </w:rPr>
                    <w:t>t/a</w:t>
                  </w:r>
                </w:p>
              </w:tc>
            </w:tr>
            <w:tr w14:paraId="22036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19A98C35">
                  <w:pPr>
                    <w:jc w:val="center"/>
                    <w:rPr>
                      <w:rFonts w:hint="default" w:ascii="Times New Roman" w:hAnsi="Times New Roman" w:eastAsia="宋体" w:cs="Times New Roman"/>
                      <w:i w:val="0"/>
                      <w:iCs w:val="0"/>
                      <w:color w:val="auto"/>
                      <w:sz w:val="21"/>
                      <w:szCs w:val="21"/>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B8C2A">
                  <w:pPr>
                    <w:jc w:val="center"/>
                    <w:rPr>
                      <w:rFonts w:hint="eastAsia" w:ascii="宋体" w:hAnsi="宋体" w:eastAsia="宋体" w:cs="宋体"/>
                      <w:i w:val="0"/>
                      <w:iCs w:val="0"/>
                      <w:color w:val="auto"/>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D3A42">
                  <w:pPr>
                    <w:jc w:val="center"/>
                    <w:rPr>
                      <w:rFonts w:hint="eastAsia" w:ascii="宋体" w:hAnsi="宋体" w:eastAsia="宋体" w:cs="宋体"/>
                      <w:i w:val="0"/>
                      <w:iCs w:val="0"/>
                      <w:color w:val="auto"/>
                      <w:sz w:val="21"/>
                      <w:szCs w:val="21"/>
                      <w:u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A3CCEF">
                  <w:pPr>
                    <w:jc w:val="center"/>
                    <w:rPr>
                      <w:rFonts w:hint="default" w:ascii="Times New Roman" w:hAnsi="Times New Roman" w:eastAsia="宋体" w:cs="Times New Roman"/>
                      <w:i w:val="0"/>
                      <w:iCs w:val="0"/>
                      <w:color w:val="auto"/>
                      <w:sz w:val="21"/>
                      <w:szCs w:val="21"/>
                      <w:u w:val="none"/>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E66FF">
                  <w:pPr>
                    <w:jc w:val="center"/>
                    <w:rPr>
                      <w:rFonts w:hint="eastAsia" w:ascii="宋体" w:hAnsi="宋体" w:eastAsia="宋体" w:cs="宋体"/>
                      <w:i w:val="0"/>
                      <w:iCs w:val="0"/>
                      <w:color w:val="auto"/>
                      <w:sz w:val="21"/>
                      <w:szCs w:val="21"/>
                      <w:u w:val="none"/>
                    </w:rPr>
                  </w:pPr>
                </w:p>
              </w:tc>
              <w:tc>
                <w:tcPr>
                  <w:tcW w:w="1076"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34AF996F">
                  <w:pPr>
                    <w:jc w:val="center"/>
                    <w:rPr>
                      <w:rFonts w:hint="default" w:ascii="Times New Roman" w:hAnsi="Times New Roman" w:eastAsia="宋体" w:cs="Times New Roman"/>
                      <w:i w:val="0"/>
                      <w:iCs w:val="0"/>
                      <w:color w:val="auto"/>
                      <w:sz w:val="21"/>
                      <w:szCs w:val="21"/>
                      <w:u w:val="none"/>
                    </w:rPr>
                  </w:pPr>
                </w:p>
              </w:tc>
            </w:tr>
            <w:tr w14:paraId="79375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48B7416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D6F14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cs="宋体"/>
                      <w:color w:val="auto"/>
                      <w:kern w:val="0"/>
                      <w:szCs w:val="21"/>
                      <w:u w:val="none"/>
                      <w:lang w:bidi="ar"/>
                    </w:rPr>
                    <w:t>废化学试容器</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20FDD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实验研发</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CA8E7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HW49 900-047-49</w:t>
                  </w: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404E3E">
                  <w:pPr>
                    <w:jc w:val="center"/>
                    <w:rPr>
                      <w:rFonts w:hint="eastAsia" w:ascii="宋体" w:hAnsi="宋体" w:eastAsia="宋体" w:cs="宋体"/>
                      <w:i w:val="0"/>
                      <w:iCs w:val="0"/>
                      <w:color w:val="auto"/>
                      <w:sz w:val="21"/>
                      <w:szCs w:val="21"/>
                      <w:u w:val="none"/>
                    </w:rPr>
                  </w:pPr>
                </w:p>
              </w:tc>
              <w:tc>
                <w:tcPr>
                  <w:tcW w:w="1076"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3450670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0.01</w:t>
                  </w:r>
                  <w:r>
                    <w:rPr>
                      <w:rFonts w:hint="default" w:ascii="Times New Roman" w:hAnsi="Times New Roman" w:eastAsia="宋体" w:cs="Times New Roman"/>
                      <w:i w:val="0"/>
                      <w:iCs w:val="0"/>
                      <w:color w:val="auto"/>
                      <w:kern w:val="0"/>
                      <w:sz w:val="21"/>
                      <w:szCs w:val="21"/>
                      <w:u w:val="none"/>
                      <w:lang w:val="en-US" w:eastAsia="zh-CN" w:bidi="ar"/>
                    </w:rPr>
                    <w:t>t/a</w:t>
                  </w:r>
                </w:p>
              </w:tc>
            </w:tr>
            <w:tr w14:paraId="74846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jc w:val="center"/>
              </w:trPr>
              <w:tc>
                <w:tcPr>
                  <w:tcW w:w="466"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E5766F5">
                  <w:pPr>
                    <w:jc w:val="center"/>
                    <w:rPr>
                      <w:rFonts w:hint="default" w:ascii="Times New Roman" w:hAnsi="Times New Roman" w:eastAsia="宋体" w:cs="Times New Roman"/>
                      <w:i w:val="0"/>
                      <w:iCs w:val="0"/>
                      <w:color w:val="auto"/>
                      <w:sz w:val="21"/>
                      <w:szCs w:val="21"/>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A414F">
                  <w:pPr>
                    <w:jc w:val="center"/>
                    <w:rPr>
                      <w:rFonts w:hint="eastAsia" w:ascii="宋体" w:hAnsi="宋体" w:eastAsia="宋体" w:cs="宋体"/>
                      <w:i w:val="0"/>
                      <w:iCs w:val="0"/>
                      <w:color w:val="auto"/>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42BAE3">
                  <w:pPr>
                    <w:jc w:val="center"/>
                    <w:rPr>
                      <w:rFonts w:hint="eastAsia" w:ascii="宋体" w:hAnsi="宋体" w:eastAsia="宋体" w:cs="宋体"/>
                      <w:i w:val="0"/>
                      <w:iCs w:val="0"/>
                      <w:color w:val="auto"/>
                      <w:sz w:val="21"/>
                      <w:szCs w:val="21"/>
                      <w:u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18890">
                  <w:pPr>
                    <w:jc w:val="center"/>
                    <w:rPr>
                      <w:rFonts w:hint="default" w:ascii="Times New Roman" w:hAnsi="Times New Roman" w:eastAsia="宋体" w:cs="Times New Roman"/>
                      <w:i w:val="0"/>
                      <w:iCs w:val="0"/>
                      <w:color w:val="auto"/>
                      <w:sz w:val="21"/>
                      <w:szCs w:val="21"/>
                      <w:u w:val="none"/>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E8B5B">
                  <w:pPr>
                    <w:jc w:val="center"/>
                    <w:rPr>
                      <w:rFonts w:hint="eastAsia" w:ascii="宋体" w:hAnsi="宋体" w:eastAsia="宋体" w:cs="宋体"/>
                      <w:i w:val="0"/>
                      <w:iCs w:val="0"/>
                      <w:color w:val="auto"/>
                      <w:sz w:val="21"/>
                      <w:szCs w:val="21"/>
                      <w:u w:val="none"/>
                    </w:rPr>
                  </w:pPr>
                </w:p>
              </w:tc>
              <w:tc>
                <w:tcPr>
                  <w:tcW w:w="1076"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0018F8CA">
                  <w:pPr>
                    <w:jc w:val="center"/>
                    <w:rPr>
                      <w:rFonts w:hint="default" w:ascii="Times New Roman" w:hAnsi="Times New Roman" w:eastAsia="宋体" w:cs="Times New Roman"/>
                      <w:i w:val="0"/>
                      <w:iCs w:val="0"/>
                      <w:color w:val="auto"/>
                      <w:sz w:val="21"/>
                      <w:szCs w:val="21"/>
                      <w:u w:val="none"/>
                    </w:rPr>
                  </w:pPr>
                </w:p>
              </w:tc>
            </w:tr>
            <w:tr w14:paraId="51819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197D4C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6</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DA0FC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废活性炭</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EC943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实验研发</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39E9E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HW49 900-047-49</w:t>
                  </w: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4967A">
                  <w:pPr>
                    <w:jc w:val="center"/>
                    <w:rPr>
                      <w:rFonts w:hint="eastAsia" w:ascii="宋体" w:hAnsi="宋体" w:eastAsia="宋体" w:cs="宋体"/>
                      <w:i w:val="0"/>
                      <w:iCs w:val="0"/>
                      <w:color w:val="auto"/>
                      <w:sz w:val="21"/>
                      <w:szCs w:val="21"/>
                      <w:u w:val="none"/>
                    </w:rPr>
                  </w:pPr>
                </w:p>
              </w:tc>
              <w:tc>
                <w:tcPr>
                  <w:tcW w:w="1076"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087A519A">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0.65t/a</w:t>
                  </w:r>
                </w:p>
              </w:tc>
            </w:tr>
            <w:tr w14:paraId="2E7F0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344CEC6">
                  <w:pPr>
                    <w:jc w:val="center"/>
                    <w:rPr>
                      <w:rFonts w:hint="default" w:ascii="Times New Roman" w:hAnsi="Times New Roman" w:eastAsia="宋体" w:cs="Times New Roman"/>
                      <w:i w:val="0"/>
                      <w:iCs w:val="0"/>
                      <w:color w:val="auto"/>
                      <w:sz w:val="21"/>
                      <w:szCs w:val="21"/>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C85CD">
                  <w:pPr>
                    <w:jc w:val="center"/>
                    <w:rPr>
                      <w:rFonts w:hint="eastAsia" w:ascii="宋体" w:hAnsi="宋体" w:eastAsia="宋体" w:cs="宋体"/>
                      <w:i w:val="0"/>
                      <w:iCs w:val="0"/>
                      <w:color w:val="auto"/>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F1EB3">
                  <w:pPr>
                    <w:jc w:val="center"/>
                    <w:rPr>
                      <w:rFonts w:hint="eastAsia" w:ascii="宋体" w:hAnsi="宋体" w:eastAsia="宋体" w:cs="宋体"/>
                      <w:i w:val="0"/>
                      <w:iCs w:val="0"/>
                      <w:color w:val="auto"/>
                      <w:sz w:val="21"/>
                      <w:szCs w:val="21"/>
                      <w:u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24888">
                  <w:pPr>
                    <w:jc w:val="center"/>
                    <w:rPr>
                      <w:rFonts w:hint="default" w:ascii="Times New Roman" w:hAnsi="Times New Roman" w:eastAsia="宋体" w:cs="Times New Roman"/>
                      <w:i w:val="0"/>
                      <w:iCs w:val="0"/>
                      <w:color w:val="auto"/>
                      <w:sz w:val="21"/>
                      <w:szCs w:val="21"/>
                      <w:u w:val="none"/>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C8225">
                  <w:pPr>
                    <w:jc w:val="center"/>
                    <w:rPr>
                      <w:rFonts w:hint="eastAsia" w:ascii="宋体" w:hAnsi="宋体" w:eastAsia="宋体" w:cs="宋体"/>
                      <w:i w:val="0"/>
                      <w:iCs w:val="0"/>
                      <w:color w:val="auto"/>
                      <w:sz w:val="21"/>
                      <w:szCs w:val="21"/>
                      <w:u w:val="none"/>
                    </w:rPr>
                  </w:pPr>
                </w:p>
              </w:tc>
              <w:tc>
                <w:tcPr>
                  <w:tcW w:w="1076"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0F713CE0">
                  <w:pPr>
                    <w:jc w:val="center"/>
                    <w:rPr>
                      <w:rFonts w:hint="default" w:ascii="Times New Roman" w:hAnsi="Times New Roman" w:eastAsia="宋体" w:cs="Times New Roman"/>
                      <w:i w:val="0"/>
                      <w:iCs w:val="0"/>
                      <w:color w:val="auto"/>
                      <w:sz w:val="21"/>
                      <w:szCs w:val="21"/>
                      <w:u w:val="none"/>
                    </w:rPr>
                  </w:pPr>
                </w:p>
              </w:tc>
            </w:tr>
            <w:tr w14:paraId="13698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466"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1C7595D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7</w:t>
                  </w:r>
                </w:p>
              </w:tc>
              <w:tc>
                <w:tcPr>
                  <w:tcW w:w="15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515AE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废水处理污泥</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EB6E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实验研发</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1524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7C65825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color w:val="auto"/>
                      <w:sz w:val="21"/>
                      <w:szCs w:val="21"/>
                      <w:highlight w:val="none"/>
                      <w:lang w:val="en-US" w:eastAsia="zh-CN"/>
                    </w:rPr>
                    <w:t>772</w:t>
                  </w:r>
                  <w:r>
                    <w:rPr>
                      <w:rFonts w:hint="default"/>
                      <w:color w:val="auto"/>
                      <w:sz w:val="21"/>
                      <w:szCs w:val="21"/>
                      <w:highlight w:val="none"/>
                      <w:lang w:val="en-US" w:eastAsia="zh-CN"/>
                    </w:rPr>
                    <w:t>-</w:t>
                  </w:r>
                  <w:r>
                    <w:rPr>
                      <w:rFonts w:hint="eastAsia"/>
                      <w:color w:val="auto"/>
                      <w:sz w:val="21"/>
                      <w:szCs w:val="21"/>
                      <w:highlight w:val="none"/>
                      <w:lang w:val="en-US" w:eastAsia="zh-CN"/>
                    </w:rPr>
                    <w:t>006</w:t>
                  </w:r>
                  <w:r>
                    <w:rPr>
                      <w:rFonts w:hint="default"/>
                      <w:color w:val="auto"/>
                      <w:sz w:val="21"/>
                      <w:szCs w:val="21"/>
                      <w:highlight w:val="none"/>
                      <w:lang w:val="en-US" w:eastAsia="zh-CN"/>
                    </w:rPr>
                    <w:t>-</w:t>
                  </w:r>
                  <w:r>
                    <w:rPr>
                      <w:rFonts w:hint="eastAsia"/>
                      <w:color w:val="auto"/>
                      <w:sz w:val="21"/>
                      <w:szCs w:val="21"/>
                      <w:highlight w:val="none"/>
                      <w:lang w:val="en-US" w:eastAsia="zh-CN"/>
                    </w:rPr>
                    <w:t>49</w:t>
                  </w:r>
                </w:p>
              </w:tc>
              <w:tc>
                <w:tcPr>
                  <w:tcW w:w="2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AC7BA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尚未处置，</w:t>
                  </w:r>
                  <w:r>
                    <w:rPr>
                      <w:rFonts w:hint="eastAsia" w:ascii="宋体" w:hAnsi="宋体" w:cs="宋体"/>
                      <w:i w:val="0"/>
                      <w:iCs w:val="0"/>
                      <w:color w:val="auto"/>
                      <w:kern w:val="0"/>
                      <w:sz w:val="21"/>
                      <w:szCs w:val="21"/>
                      <w:u w:val="none"/>
                      <w:lang w:val="en-US" w:eastAsia="zh-CN" w:bidi="ar"/>
                    </w:rPr>
                    <w:t>拟</w:t>
                  </w:r>
                  <w:r>
                    <w:rPr>
                      <w:rFonts w:hint="eastAsia" w:ascii="宋体" w:hAnsi="宋体" w:eastAsia="宋体" w:cs="宋体"/>
                      <w:i w:val="0"/>
                      <w:iCs w:val="0"/>
                      <w:color w:val="auto"/>
                      <w:kern w:val="0"/>
                      <w:sz w:val="21"/>
                      <w:szCs w:val="21"/>
                      <w:u w:val="none"/>
                      <w:lang w:val="en-US" w:eastAsia="zh-CN" w:bidi="ar"/>
                    </w:rPr>
                    <w:t>委托有资质单位外运处置</w:t>
                  </w:r>
                </w:p>
              </w:tc>
              <w:tc>
                <w:tcPr>
                  <w:tcW w:w="1076"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0A0065B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0.29kg</w:t>
                  </w:r>
                  <w:r>
                    <w:rPr>
                      <w:rFonts w:hint="default" w:ascii="Times New Roman" w:hAnsi="Times New Roman" w:eastAsia="宋体" w:cs="Times New Roman"/>
                      <w:i w:val="0"/>
                      <w:iCs w:val="0"/>
                      <w:color w:val="auto"/>
                      <w:kern w:val="0"/>
                      <w:sz w:val="21"/>
                      <w:szCs w:val="21"/>
                      <w:u w:val="none"/>
                      <w:lang w:val="en-US" w:eastAsia="zh-CN" w:bidi="ar"/>
                    </w:rPr>
                    <w:t>/a</w:t>
                  </w:r>
                </w:p>
              </w:tc>
            </w:tr>
            <w:tr w14:paraId="18023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466"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3EDD02BE">
                  <w:pPr>
                    <w:jc w:val="center"/>
                    <w:rPr>
                      <w:rFonts w:hint="default" w:ascii="Times New Roman" w:hAnsi="Times New Roman" w:eastAsia="宋体" w:cs="Times New Roman"/>
                      <w:i w:val="0"/>
                      <w:iCs w:val="0"/>
                      <w:color w:val="auto"/>
                      <w:sz w:val="21"/>
                      <w:szCs w:val="21"/>
                      <w:u w:val="none"/>
                    </w:rPr>
                  </w:pPr>
                </w:p>
              </w:tc>
              <w:tc>
                <w:tcPr>
                  <w:tcW w:w="15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03A60">
                  <w:pPr>
                    <w:jc w:val="center"/>
                    <w:rPr>
                      <w:rFonts w:hint="eastAsia" w:ascii="宋体" w:hAnsi="宋体" w:eastAsia="宋体" w:cs="宋体"/>
                      <w:i w:val="0"/>
                      <w:iCs w:val="0"/>
                      <w:color w:val="auto"/>
                      <w:sz w:val="21"/>
                      <w:szCs w:val="21"/>
                      <w:u w:val="none"/>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316D5">
                  <w:pPr>
                    <w:jc w:val="center"/>
                    <w:rPr>
                      <w:rFonts w:hint="eastAsia" w:ascii="宋体" w:hAnsi="宋体" w:eastAsia="宋体" w:cs="宋体"/>
                      <w:i w:val="0"/>
                      <w:iCs w:val="0"/>
                      <w:color w:val="auto"/>
                      <w:sz w:val="21"/>
                      <w:szCs w:val="21"/>
                      <w:u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F14CE">
                  <w:pPr>
                    <w:jc w:val="center"/>
                    <w:rPr>
                      <w:rFonts w:hint="eastAsia" w:ascii="宋体" w:hAnsi="宋体" w:eastAsia="宋体" w:cs="宋体"/>
                      <w:i w:val="0"/>
                      <w:iCs w:val="0"/>
                      <w:color w:val="auto"/>
                      <w:sz w:val="21"/>
                      <w:szCs w:val="21"/>
                      <w:u w:val="none"/>
                    </w:rPr>
                  </w:pPr>
                </w:p>
              </w:tc>
              <w:tc>
                <w:tcPr>
                  <w:tcW w:w="2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18A32">
                  <w:pPr>
                    <w:jc w:val="center"/>
                    <w:rPr>
                      <w:rFonts w:hint="eastAsia" w:ascii="宋体" w:hAnsi="宋体" w:eastAsia="宋体" w:cs="宋体"/>
                      <w:i w:val="0"/>
                      <w:iCs w:val="0"/>
                      <w:color w:val="auto"/>
                      <w:sz w:val="21"/>
                      <w:szCs w:val="21"/>
                      <w:u w:val="none"/>
                    </w:rPr>
                  </w:pPr>
                </w:p>
              </w:tc>
              <w:tc>
                <w:tcPr>
                  <w:tcW w:w="1076"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384B5182">
                  <w:pPr>
                    <w:jc w:val="center"/>
                    <w:rPr>
                      <w:rFonts w:hint="default" w:ascii="Times New Roman" w:hAnsi="Times New Roman" w:eastAsia="宋体" w:cs="Times New Roman"/>
                      <w:i w:val="0"/>
                      <w:iCs w:val="0"/>
                      <w:color w:val="auto"/>
                      <w:sz w:val="21"/>
                      <w:szCs w:val="21"/>
                      <w:u w:val="none"/>
                    </w:rPr>
                  </w:pPr>
                </w:p>
              </w:tc>
            </w:tr>
            <w:tr w14:paraId="415AD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466"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6E286B45">
                  <w:pPr>
                    <w:keepNext w:val="0"/>
                    <w:keepLines w:val="0"/>
                    <w:widowControl/>
                    <w:suppressLineNumbers w:val="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2"/>
                      <w:sz w:val="21"/>
                      <w:szCs w:val="21"/>
                      <w:u w:val="none"/>
                      <w:lang w:val="en-US" w:eastAsia="zh-CN" w:bidi="ar-SA"/>
                    </w:rPr>
                    <w:t>8</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005D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废化学试剂</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734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实验研</w:t>
                  </w:r>
                  <w:r>
                    <w:rPr>
                      <w:rFonts w:hint="eastAsia" w:ascii="宋体" w:hAnsi="宋体" w:eastAsia="宋体" w:cs="宋体"/>
                      <w:i w:val="0"/>
                      <w:iCs w:val="0"/>
                      <w:color w:val="auto"/>
                      <w:kern w:val="0"/>
                      <w:sz w:val="20"/>
                      <w:szCs w:val="20"/>
                      <w:u w:val="none"/>
                      <w:lang w:val="en-US" w:eastAsia="zh-CN" w:bidi="ar"/>
                    </w:rPr>
                    <w:t>发</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D767">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HW03 900-002-03</w:t>
                  </w:r>
                </w:p>
              </w:tc>
              <w:tc>
                <w:tcPr>
                  <w:tcW w:w="2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2889">
                  <w:pPr>
                    <w:keepNext w:val="0"/>
                    <w:keepLines w:val="0"/>
                    <w:widowControl/>
                    <w:suppressLineNumbers w:val="0"/>
                    <w:jc w:val="center"/>
                    <w:textAlignment w:val="center"/>
                    <w:rPr>
                      <w:rFonts w:hint="eastAsia" w:ascii="Times New Roman" w:hAnsi="Times New Roman" w:eastAsia="宋体" w:cs="Times New Roman"/>
                      <w:i w:val="0"/>
                      <w:iCs w:val="0"/>
                      <w:color w:val="auto"/>
                      <w:kern w:val="2"/>
                      <w:sz w:val="21"/>
                      <w:szCs w:val="21"/>
                      <w:u w:val="none"/>
                      <w:lang w:val="en-US" w:eastAsia="zh-CN" w:bidi="ar-SA"/>
                    </w:rPr>
                  </w:pPr>
                  <w:r>
                    <w:rPr>
                      <w:rFonts w:hint="eastAsia"/>
                      <w:color w:val="auto"/>
                      <w:sz w:val="21"/>
                      <w:szCs w:val="21"/>
                      <w:highlight w:val="none"/>
                      <w:u w:val="none"/>
                      <w:vertAlign w:val="baseline"/>
                      <w:lang w:val="en-US" w:eastAsia="zh-CN"/>
                    </w:rPr>
                    <w:t>现有废化学试剂目前与实验废液混合后按实验废液进行处置</w:t>
                  </w:r>
                  <w:r>
                    <w:rPr>
                      <w:rFonts w:hint="eastAsia" w:ascii="宋体" w:hAnsi="宋体" w:eastAsia="宋体" w:cs="宋体"/>
                      <w:i w:val="0"/>
                      <w:iCs w:val="0"/>
                      <w:color w:val="auto"/>
                      <w:kern w:val="0"/>
                      <w:sz w:val="21"/>
                      <w:szCs w:val="21"/>
                      <w:u w:val="none"/>
                      <w:lang w:val="en-US" w:eastAsia="zh-CN" w:bidi="ar"/>
                    </w:rPr>
                    <w:t>，定期交由陕西水发环境有限公司统一处置</w:t>
                  </w:r>
                </w:p>
              </w:tc>
              <w:tc>
                <w:tcPr>
                  <w:tcW w:w="1076"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C7F735B">
                  <w:pPr>
                    <w:jc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4.70kg</w:t>
                  </w:r>
                </w:p>
                <w:p w14:paraId="0CB52686">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/a</w:t>
                  </w:r>
                </w:p>
              </w:tc>
            </w:tr>
          </w:tbl>
          <w:p w14:paraId="4491D5F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color w:val="auto"/>
                <w:sz w:val="21"/>
                <w:highlight w:val="none"/>
              </w:rPr>
            </w:pPr>
          </w:p>
          <w:p w14:paraId="761F76ED">
            <w:pPr>
              <w:pStyle w:val="83"/>
              <w:keepNext w:val="0"/>
              <w:keepLines w:val="0"/>
              <w:pageBreakBefore w:val="0"/>
              <w:widowControl w:val="0"/>
              <w:kinsoku/>
              <w:wordWrap/>
              <w:overflowPunct/>
              <w:topLinePunct w:val="0"/>
              <w:autoSpaceDE/>
              <w:autoSpaceDN/>
              <w:bidi w:val="0"/>
              <w:adjustRightInd/>
              <w:snapToGrid/>
              <w:spacing w:before="0" w:line="360" w:lineRule="auto"/>
              <w:ind w:left="605"/>
              <w:textAlignment w:val="auto"/>
              <w:rPr>
                <w:color w:val="auto"/>
                <w:sz w:val="24"/>
                <w:szCs w:val="24"/>
                <w:highlight w:val="none"/>
              </w:rPr>
            </w:pPr>
            <w:r>
              <w:rPr>
                <w:rFonts w:ascii="Times New Roman" w:hAnsi="Times New Roman" w:eastAsia="Times New Roman" w:cs="Times New Roman"/>
                <w:b/>
                <w:bCs/>
                <w:color w:val="auto"/>
                <w:spacing w:val="2"/>
                <w:sz w:val="24"/>
                <w:szCs w:val="24"/>
                <w:highlight w:val="none"/>
              </w:rPr>
              <w:t>4</w:t>
            </w:r>
            <w:r>
              <w:rPr>
                <w:rFonts w:ascii="Times New Roman" w:hAnsi="Times New Roman" w:eastAsia="Times New Roman" w:cs="Times New Roman"/>
                <w:b/>
                <w:bCs/>
                <w:color w:val="auto"/>
                <w:spacing w:val="-18"/>
                <w:sz w:val="24"/>
                <w:szCs w:val="24"/>
                <w:highlight w:val="none"/>
              </w:rPr>
              <w:t xml:space="preserve"> </w:t>
            </w:r>
            <w:r>
              <w:rPr>
                <w:b/>
                <w:bCs/>
                <w:color w:val="auto"/>
                <w:spacing w:val="2"/>
                <w:sz w:val="24"/>
                <w:szCs w:val="24"/>
                <w:highlight w:val="none"/>
              </w:rPr>
              <w:t>、现有工程污染物排放量核算</w:t>
            </w:r>
          </w:p>
          <w:p w14:paraId="3A1F2375">
            <w:pPr>
              <w:pStyle w:val="83"/>
              <w:keepNext w:val="0"/>
              <w:keepLines w:val="0"/>
              <w:pageBreakBefore w:val="0"/>
              <w:widowControl w:val="0"/>
              <w:kinsoku/>
              <w:wordWrap/>
              <w:overflowPunct/>
              <w:topLinePunct w:val="0"/>
              <w:autoSpaceDE/>
              <w:autoSpaceDN/>
              <w:bidi w:val="0"/>
              <w:adjustRightInd/>
              <w:snapToGrid/>
              <w:spacing w:before="0" w:line="360" w:lineRule="auto"/>
              <w:ind w:firstLine="250" w:firstLineChars="100"/>
              <w:textAlignment w:val="auto"/>
              <w:outlineLvl w:val="1"/>
              <w:rPr>
                <w:rFonts w:hint="default"/>
                <w:color w:val="auto"/>
                <w:spacing w:val="6"/>
                <w:sz w:val="24"/>
                <w:szCs w:val="24"/>
                <w:highlight w:val="none"/>
                <w:lang w:val="en-US" w:eastAsia="zh-CN"/>
              </w:rPr>
            </w:pPr>
            <w:r>
              <w:rPr>
                <w:color w:val="auto"/>
                <w:spacing w:val="5"/>
                <w:sz w:val="24"/>
                <w:szCs w:val="24"/>
                <w:highlight w:val="none"/>
              </w:rPr>
              <w:t>根据现有工程竣工环境保护验收监测报告以及建</w:t>
            </w:r>
            <w:r>
              <w:rPr>
                <w:color w:val="auto"/>
                <w:spacing w:val="4"/>
                <w:sz w:val="24"/>
                <w:szCs w:val="24"/>
                <w:highlight w:val="none"/>
              </w:rPr>
              <w:t>设单</w:t>
            </w:r>
            <w:r>
              <w:rPr>
                <w:color w:val="auto"/>
                <w:spacing w:val="6"/>
                <w:sz w:val="24"/>
                <w:szCs w:val="24"/>
                <w:highlight w:val="none"/>
              </w:rPr>
              <w:t>位提供的数据及资料</w:t>
            </w:r>
            <w:r>
              <w:rPr>
                <w:rFonts w:hint="eastAsia"/>
                <w:color w:val="auto"/>
                <w:spacing w:val="6"/>
                <w:sz w:val="24"/>
                <w:szCs w:val="24"/>
                <w:highlight w:val="none"/>
                <w:lang w:val="en-US" w:eastAsia="zh-CN"/>
              </w:rPr>
              <w:t>进行核算现有工程污染物排放量</w:t>
            </w:r>
            <w:r>
              <w:rPr>
                <w:rFonts w:hint="eastAsia"/>
                <w:color w:val="auto"/>
                <w:spacing w:val="6"/>
                <w:sz w:val="24"/>
                <w:szCs w:val="24"/>
                <w:highlight w:val="none"/>
                <w:lang w:eastAsia="zh-CN"/>
              </w:rPr>
              <w:t>。</w:t>
            </w:r>
            <w:r>
              <w:rPr>
                <w:rFonts w:hint="eastAsia"/>
                <w:color w:val="auto"/>
                <w:spacing w:val="6"/>
                <w:sz w:val="24"/>
                <w:szCs w:val="24"/>
                <w:highlight w:val="none"/>
                <w:lang w:val="en-US" w:eastAsia="zh-CN"/>
              </w:rPr>
              <w:t>涉及参数如下：</w:t>
            </w:r>
          </w:p>
          <w:p w14:paraId="3896598C">
            <w:pPr>
              <w:pStyle w:val="83"/>
              <w:keepNext w:val="0"/>
              <w:keepLines w:val="0"/>
              <w:pageBreakBefore w:val="0"/>
              <w:widowControl w:val="0"/>
              <w:kinsoku/>
              <w:wordWrap/>
              <w:overflowPunct/>
              <w:topLinePunct w:val="0"/>
              <w:autoSpaceDE/>
              <w:autoSpaceDN/>
              <w:bidi w:val="0"/>
              <w:adjustRightInd/>
              <w:snapToGrid/>
              <w:spacing w:before="0" w:line="360" w:lineRule="auto"/>
              <w:ind w:firstLine="252" w:firstLineChars="100"/>
              <w:textAlignment w:val="auto"/>
              <w:outlineLvl w:val="1"/>
              <w:rPr>
                <w:rFonts w:hint="eastAsia" w:ascii="Times New Roman" w:hAnsi="Times New Roman" w:cs="Times New Roman"/>
                <w:color w:val="auto"/>
                <w:spacing w:val="6"/>
                <w:sz w:val="24"/>
                <w:szCs w:val="24"/>
                <w:highlight w:val="none"/>
                <w:vertAlign w:val="baseline"/>
                <w:lang w:val="en-US" w:eastAsia="zh-CN"/>
              </w:rPr>
            </w:pPr>
            <w:r>
              <w:rPr>
                <w:rFonts w:hint="default" w:ascii="Times New Roman" w:hAnsi="Times New Roman" w:cs="Times New Roman"/>
                <w:color w:val="auto"/>
                <w:spacing w:val="6"/>
                <w:sz w:val="24"/>
                <w:szCs w:val="24"/>
                <w:highlight w:val="none"/>
                <w:lang w:eastAsia="zh-CN"/>
              </w:rPr>
              <w:t>（</w:t>
            </w:r>
            <w:r>
              <w:rPr>
                <w:rFonts w:hint="default" w:ascii="Times New Roman" w:hAnsi="Times New Roman" w:cs="Times New Roman"/>
                <w:color w:val="auto"/>
                <w:spacing w:val="6"/>
                <w:sz w:val="24"/>
                <w:szCs w:val="24"/>
                <w:highlight w:val="none"/>
                <w:lang w:val="en-US" w:eastAsia="zh-CN"/>
              </w:rPr>
              <w:t>1</w:t>
            </w:r>
            <w:r>
              <w:rPr>
                <w:rFonts w:hint="default" w:ascii="Times New Roman" w:hAnsi="Times New Roman" w:cs="Times New Roman"/>
                <w:color w:val="auto"/>
                <w:spacing w:val="6"/>
                <w:sz w:val="24"/>
                <w:szCs w:val="24"/>
                <w:highlight w:val="none"/>
                <w:lang w:eastAsia="zh-CN"/>
              </w:rPr>
              <w:t>）</w:t>
            </w:r>
            <w:r>
              <w:rPr>
                <w:rFonts w:hint="default" w:ascii="Times New Roman" w:hAnsi="Times New Roman" w:cs="Times New Roman"/>
                <w:color w:val="auto"/>
                <w:spacing w:val="6"/>
                <w:sz w:val="24"/>
                <w:szCs w:val="24"/>
                <w:highlight w:val="none"/>
                <w:lang w:val="en-US" w:eastAsia="zh-CN"/>
              </w:rPr>
              <w:t>废气经通风柜收集</w:t>
            </w:r>
            <w:r>
              <w:rPr>
                <w:rFonts w:hint="eastAsia" w:ascii="Times New Roman" w:hAnsi="Times New Roman" w:cs="Times New Roman"/>
                <w:color w:val="auto"/>
                <w:spacing w:val="6"/>
                <w:sz w:val="24"/>
                <w:szCs w:val="24"/>
                <w:highlight w:val="none"/>
                <w:lang w:val="en-US" w:eastAsia="zh-CN"/>
              </w:rPr>
              <w:t>（收集效率按80%）</w:t>
            </w:r>
            <w:r>
              <w:rPr>
                <w:rFonts w:hint="default" w:ascii="Times New Roman" w:hAnsi="Times New Roman" w:cs="Times New Roman"/>
                <w:color w:val="auto"/>
                <w:spacing w:val="6"/>
                <w:sz w:val="24"/>
                <w:szCs w:val="24"/>
                <w:highlight w:val="none"/>
                <w:lang w:val="en-US" w:eastAsia="zh-CN"/>
              </w:rPr>
              <w:t>通过6套</w:t>
            </w:r>
            <w:r>
              <w:rPr>
                <w:rFonts w:hint="eastAsia" w:ascii="Times New Roman" w:hAnsi="Times New Roman" w:cs="Times New Roman"/>
                <w:color w:val="auto"/>
                <w:spacing w:val="6"/>
                <w:sz w:val="24"/>
                <w:szCs w:val="24"/>
                <w:highlight w:val="none"/>
                <w:lang w:val="en-US" w:eastAsia="zh-CN"/>
              </w:rPr>
              <w:t>活性炭</w:t>
            </w:r>
            <w:r>
              <w:rPr>
                <w:rFonts w:hint="default" w:ascii="Times New Roman" w:hAnsi="Times New Roman" w:cs="Times New Roman"/>
                <w:color w:val="auto"/>
                <w:spacing w:val="6"/>
                <w:sz w:val="24"/>
                <w:szCs w:val="24"/>
                <w:highlight w:val="none"/>
                <w:lang w:val="en-US" w:eastAsia="zh-CN"/>
              </w:rPr>
              <w:t>吸附装置处理后通过3个28m高排气筒</w:t>
            </w:r>
            <w:r>
              <w:rPr>
                <w:rFonts w:hint="eastAsia" w:ascii="Times New Roman" w:hAnsi="Times New Roman" w:cs="Times New Roman"/>
                <w:color w:val="auto"/>
                <w:spacing w:val="6"/>
                <w:sz w:val="24"/>
                <w:szCs w:val="24"/>
                <w:highlight w:val="none"/>
                <w:lang w:val="en-US" w:eastAsia="zh-CN"/>
              </w:rPr>
              <w:t>排放</w:t>
            </w:r>
            <w:r>
              <w:rPr>
                <w:rFonts w:hint="default" w:ascii="Times New Roman" w:hAnsi="Times New Roman" w:cs="Times New Roman"/>
                <w:color w:val="auto"/>
                <w:spacing w:val="6"/>
                <w:sz w:val="24"/>
                <w:szCs w:val="24"/>
                <w:highlight w:val="none"/>
                <w:lang w:val="en-US" w:eastAsia="zh-CN"/>
              </w:rPr>
              <w:t>。排放</w:t>
            </w:r>
            <w:r>
              <w:rPr>
                <w:rFonts w:hint="eastAsia"/>
                <w:color w:val="auto"/>
                <w:spacing w:val="6"/>
                <w:sz w:val="24"/>
                <w:szCs w:val="24"/>
                <w:highlight w:val="none"/>
                <w:lang w:val="en-US" w:eastAsia="zh-CN"/>
              </w:rPr>
              <w:t>量按满负荷工况进行核算，即</w:t>
            </w:r>
            <w:r>
              <w:rPr>
                <w:rFonts w:hint="default" w:ascii="Times New Roman" w:hAnsi="Times New Roman" w:cs="Times New Roman"/>
                <w:color w:val="auto"/>
                <w:spacing w:val="6"/>
                <w:sz w:val="24"/>
                <w:szCs w:val="24"/>
                <w:highlight w:val="none"/>
                <w:lang w:val="en-US" w:eastAsia="zh-CN"/>
              </w:rPr>
              <w:t>最大工作时间为980h，探试实验室和小试实验室风机设计最大风量</w:t>
            </w:r>
            <w:r>
              <w:rPr>
                <w:rFonts w:hint="eastAsia" w:ascii="Times New Roman" w:hAnsi="Times New Roman" w:cs="Times New Roman"/>
                <w:color w:val="auto"/>
                <w:spacing w:val="6"/>
                <w:sz w:val="24"/>
                <w:szCs w:val="24"/>
                <w:highlight w:val="none"/>
                <w:lang w:val="en-US" w:eastAsia="zh-CN"/>
              </w:rPr>
              <w:t>分别</w:t>
            </w:r>
            <w:r>
              <w:rPr>
                <w:rFonts w:hint="default" w:ascii="Times New Roman" w:hAnsi="Times New Roman" w:cs="Times New Roman"/>
                <w:color w:val="auto"/>
                <w:spacing w:val="6"/>
                <w:sz w:val="24"/>
                <w:szCs w:val="24"/>
                <w:highlight w:val="none"/>
                <w:lang w:val="en-US" w:eastAsia="zh-CN"/>
              </w:rPr>
              <w:t>为20000m</w:t>
            </w:r>
            <w:r>
              <w:rPr>
                <w:rFonts w:hint="default" w:ascii="Times New Roman" w:hAnsi="Times New Roman" w:cs="Times New Roman"/>
                <w:color w:val="auto"/>
                <w:spacing w:val="6"/>
                <w:sz w:val="24"/>
                <w:szCs w:val="24"/>
                <w:highlight w:val="none"/>
                <w:vertAlign w:val="superscript"/>
                <w:lang w:val="en-US" w:eastAsia="zh-CN"/>
              </w:rPr>
              <w:t>3</w:t>
            </w:r>
            <w:r>
              <w:rPr>
                <w:rFonts w:hint="default" w:ascii="Times New Roman" w:hAnsi="Times New Roman" w:cs="Times New Roman"/>
                <w:color w:val="auto"/>
                <w:spacing w:val="6"/>
                <w:sz w:val="24"/>
                <w:szCs w:val="24"/>
                <w:highlight w:val="none"/>
                <w:vertAlign w:val="baseline"/>
                <w:lang w:val="en-US" w:eastAsia="zh-CN"/>
              </w:rPr>
              <w:t>/h，</w:t>
            </w:r>
            <w:r>
              <w:rPr>
                <w:rFonts w:hint="eastAsia" w:ascii="Times New Roman" w:hAnsi="Times New Roman" w:cs="Times New Roman"/>
                <w:color w:val="auto"/>
                <w:spacing w:val="6"/>
                <w:sz w:val="24"/>
                <w:szCs w:val="24"/>
                <w:highlight w:val="none"/>
                <w:vertAlign w:val="baseline"/>
                <w:lang w:val="en-US" w:eastAsia="zh-CN"/>
              </w:rPr>
              <w:t>分析实验室风机设计风量为36000</w:t>
            </w:r>
            <w:r>
              <w:rPr>
                <w:rFonts w:hint="default" w:ascii="Times New Roman" w:hAnsi="Times New Roman" w:cs="Times New Roman"/>
                <w:color w:val="auto"/>
                <w:spacing w:val="6"/>
                <w:sz w:val="24"/>
                <w:szCs w:val="24"/>
                <w:highlight w:val="none"/>
                <w:lang w:val="en-US" w:eastAsia="zh-CN"/>
              </w:rPr>
              <w:t>m</w:t>
            </w:r>
            <w:r>
              <w:rPr>
                <w:rFonts w:hint="default" w:ascii="Times New Roman" w:hAnsi="Times New Roman" w:cs="Times New Roman"/>
                <w:color w:val="auto"/>
                <w:spacing w:val="6"/>
                <w:sz w:val="24"/>
                <w:szCs w:val="24"/>
                <w:highlight w:val="none"/>
                <w:vertAlign w:val="superscript"/>
                <w:lang w:val="en-US" w:eastAsia="zh-CN"/>
              </w:rPr>
              <w:t>3</w:t>
            </w:r>
            <w:r>
              <w:rPr>
                <w:rFonts w:hint="default" w:ascii="Times New Roman" w:hAnsi="Times New Roman" w:cs="Times New Roman"/>
                <w:color w:val="auto"/>
                <w:spacing w:val="6"/>
                <w:sz w:val="24"/>
                <w:szCs w:val="24"/>
                <w:highlight w:val="none"/>
                <w:vertAlign w:val="baseline"/>
                <w:lang w:val="en-US" w:eastAsia="zh-CN"/>
              </w:rPr>
              <w:t>/h</w:t>
            </w:r>
            <w:r>
              <w:rPr>
                <w:rFonts w:hint="eastAsia" w:ascii="Times New Roman" w:hAnsi="Times New Roman" w:cs="Times New Roman"/>
                <w:color w:val="auto"/>
                <w:spacing w:val="6"/>
                <w:sz w:val="24"/>
                <w:szCs w:val="24"/>
                <w:highlight w:val="none"/>
                <w:vertAlign w:val="baseline"/>
                <w:lang w:val="en-US" w:eastAsia="zh-CN"/>
              </w:rPr>
              <w:t>。</w:t>
            </w:r>
          </w:p>
          <w:p w14:paraId="3593E7EE">
            <w:pPr>
              <w:pStyle w:val="83"/>
              <w:keepNext w:val="0"/>
              <w:keepLines w:val="0"/>
              <w:pageBreakBefore w:val="0"/>
              <w:widowControl w:val="0"/>
              <w:numPr>
                <w:ilvl w:val="0"/>
                <w:numId w:val="3"/>
              </w:numPr>
              <w:kinsoku/>
              <w:wordWrap/>
              <w:overflowPunct/>
              <w:topLinePunct w:val="0"/>
              <w:autoSpaceDE/>
              <w:autoSpaceDN/>
              <w:bidi w:val="0"/>
              <w:adjustRightInd/>
              <w:snapToGrid/>
              <w:spacing w:before="0" w:line="360" w:lineRule="auto"/>
              <w:ind w:left="-62" w:firstLine="482" w:firstLineChars="0"/>
              <w:textAlignment w:val="auto"/>
              <w:outlineLvl w:val="1"/>
              <w:rPr>
                <w:rFonts w:hint="eastAsia" w:ascii="Times New Roman" w:hAnsi="Times New Roman" w:cs="Times New Roman"/>
                <w:color w:val="auto"/>
                <w:spacing w:val="6"/>
                <w:sz w:val="24"/>
                <w:szCs w:val="24"/>
                <w:highlight w:val="none"/>
                <w:lang w:eastAsia="zh-CN"/>
              </w:rPr>
            </w:pPr>
            <w:r>
              <w:rPr>
                <w:rFonts w:hint="eastAsia" w:ascii="Times New Roman" w:hAnsi="Times New Roman" w:cs="Times New Roman"/>
                <w:color w:val="auto"/>
                <w:spacing w:val="6"/>
                <w:sz w:val="24"/>
                <w:szCs w:val="24"/>
                <w:highlight w:val="none"/>
                <w:vertAlign w:val="baseline"/>
                <w:lang w:val="en-US" w:eastAsia="zh-CN"/>
              </w:rPr>
              <w:t>现有</w:t>
            </w:r>
            <w:r>
              <w:rPr>
                <w:rFonts w:hint="eastAsia"/>
                <w:color w:val="auto"/>
                <w:sz w:val="24"/>
                <w:highlight w:val="none"/>
                <w:lang w:val="en-US" w:eastAsia="zh-CN"/>
              </w:rPr>
              <w:t>实验过程中</w:t>
            </w:r>
            <w:r>
              <w:rPr>
                <w:rFonts w:hint="eastAsia"/>
                <w:color w:val="auto"/>
                <w:sz w:val="24"/>
                <w:highlight w:val="none"/>
              </w:rPr>
              <w:t>第</w:t>
            </w:r>
            <w:r>
              <w:rPr>
                <w:rFonts w:hint="eastAsia"/>
                <w:color w:val="auto"/>
                <w:sz w:val="24"/>
                <w:highlight w:val="none"/>
                <w:lang w:val="en-US" w:eastAsia="zh-CN"/>
              </w:rPr>
              <w:t>三、四</w:t>
            </w:r>
            <w:r>
              <w:rPr>
                <w:rFonts w:hint="eastAsia"/>
                <w:color w:val="auto"/>
                <w:sz w:val="24"/>
                <w:highlight w:val="none"/>
              </w:rPr>
              <w:t>次清洗废水</w:t>
            </w:r>
            <w:r>
              <w:rPr>
                <w:rFonts w:hint="eastAsia"/>
                <w:color w:val="auto"/>
                <w:sz w:val="24"/>
                <w:highlight w:val="none"/>
                <w:lang w:val="en-US" w:eastAsia="zh-CN"/>
              </w:rPr>
              <w:t>与台面、地面清洗废水（以下简称“清洗废水”）</w:t>
            </w:r>
            <w:r>
              <w:rPr>
                <w:rFonts w:hint="eastAsia" w:ascii="Times New Roman" w:hAnsi="Times New Roman" w:cs="Times New Roman"/>
                <w:color w:val="auto"/>
                <w:spacing w:val="6"/>
                <w:sz w:val="24"/>
                <w:szCs w:val="24"/>
                <w:highlight w:val="none"/>
                <w:vertAlign w:val="baseline"/>
                <w:lang w:val="en-US" w:eastAsia="zh-CN"/>
              </w:rPr>
              <w:t>排放量为147m</w:t>
            </w:r>
            <w:r>
              <w:rPr>
                <w:rFonts w:hint="eastAsia" w:ascii="Times New Roman" w:hAnsi="Times New Roman" w:cs="Times New Roman"/>
                <w:color w:val="auto"/>
                <w:spacing w:val="6"/>
                <w:sz w:val="24"/>
                <w:szCs w:val="24"/>
                <w:highlight w:val="none"/>
                <w:vertAlign w:val="superscript"/>
                <w:lang w:val="en-US" w:eastAsia="zh-CN"/>
              </w:rPr>
              <w:t>3</w:t>
            </w:r>
            <w:r>
              <w:rPr>
                <w:rFonts w:hint="eastAsia" w:ascii="Times New Roman" w:hAnsi="Times New Roman" w:cs="Times New Roman"/>
                <w:color w:val="auto"/>
                <w:spacing w:val="6"/>
                <w:sz w:val="24"/>
                <w:szCs w:val="24"/>
                <w:highlight w:val="none"/>
                <w:vertAlign w:val="baseline"/>
                <w:lang w:val="en-US" w:eastAsia="zh-CN"/>
              </w:rPr>
              <w:t>/a，现有生活污水排放量为600m</w:t>
            </w:r>
            <w:r>
              <w:rPr>
                <w:rFonts w:hint="eastAsia" w:ascii="Times New Roman" w:hAnsi="Times New Roman" w:cs="Times New Roman"/>
                <w:color w:val="auto"/>
                <w:spacing w:val="6"/>
                <w:sz w:val="24"/>
                <w:szCs w:val="24"/>
                <w:highlight w:val="none"/>
                <w:vertAlign w:val="superscript"/>
                <w:lang w:val="en-US" w:eastAsia="zh-CN"/>
              </w:rPr>
              <w:t>3</w:t>
            </w:r>
            <w:r>
              <w:rPr>
                <w:rFonts w:hint="eastAsia" w:ascii="Times New Roman" w:hAnsi="Times New Roman" w:cs="Times New Roman"/>
                <w:color w:val="auto"/>
                <w:spacing w:val="6"/>
                <w:sz w:val="24"/>
                <w:szCs w:val="24"/>
                <w:highlight w:val="none"/>
                <w:vertAlign w:val="baseline"/>
                <w:lang w:val="en-US" w:eastAsia="zh-CN"/>
              </w:rPr>
              <w:t>/a，则废水总量合计为747m</w:t>
            </w:r>
            <w:r>
              <w:rPr>
                <w:rFonts w:hint="eastAsia" w:ascii="Times New Roman" w:hAnsi="Times New Roman" w:cs="Times New Roman"/>
                <w:color w:val="auto"/>
                <w:spacing w:val="6"/>
                <w:sz w:val="24"/>
                <w:szCs w:val="24"/>
                <w:highlight w:val="none"/>
                <w:vertAlign w:val="superscript"/>
                <w:lang w:val="en-US" w:eastAsia="zh-CN"/>
              </w:rPr>
              <w:t>3</w:t>
            </w:r>
            <w:r>
              <w:rPr>
                <w:rFonts w:hint="eastAsia" w:ascii="Times New Roman" w:hAnsi="Times New Roman" w:cs="Times New Roman"/>
                <w:color w:val="auto"/>
                <w:spacing w:val="6"/>
                <w:sz w:val="24"/>
                <w:szCs w:val="24"/>
                <w:highlight w:val="none"/>
                <w:vertAlign w:val="baseline"/>
                <w:lang w:val="en-US" w:eastAsia="zh-CN"/>
              </w:rPr>
              <w:t>/a。清洗废水经废水处理设施（</w:t>
            </w:r>
            <w:r>
              <w:rPr>
                <w:rFonts w:hint="eastAsia"/>
                <w:color w:val="auto"/>
                <w:sz w:val="24"/>
                <w:szCs w:val="24"/>
                <w:highlight w:val="none"/>
                <w:lang w:val="en-US" w:eastAsia="zh-CN"/>
              </w:rPr>
              <w:t>酸碱中和+絮凝沉淀+光催化反应+微电解反应+电化学氧化+消毒</w:t>
            </w:r>
            <w:r>
              <w:rPr>
                <w:rFonts w:hint="eastAsia" w:ascii="Times New Roman" w:hAnsi="Times New Roman" w:cs="Times New Roman"/>
                <w:color w:val="auto"/>
                <w:spacing w:val="6"/>
                <w:sz w:val="24"/>
                <w:szCs w:val="24"/>
                <w:highlight w:val="none"/>
                <w:vertAlign w:val="baseline"/>
                <w:lang w:val="en-US" w:eastAsia="zh-CN"/>
              </w:rPr>
              <w:t>）预处理后与</w:t>
            </w:r>
            <w:r>
              <w:rPr>
                <w:rFonts w:hint="eastAsia" w:ascii="Times New Roman" w:hAnsi="Times New Roman" w:cs="Times New Roman"/>
                <w:color w:val="auto"/>
                <w:spacing w:val="6"/>
                <w:sz w:val="24"/>
                <w:szCs w:val="24"/>
                <w:highlight w:val="none"/>
                <w:lang w:eastAsia="zh-CN"/>
              </w:rPr>
              <w:t>同生活污水一起进入园区化粪池处理，再通过市政污水管网排入西安净水处理有限责任公司第六再生水厂进一步处理。职工生活污水参考《生活污染源产排污系数手册》(2021年)中表1-1，COD460mg/L，氨氮52.2mg/L，其他项目参考《给排水设计手册》（第五册城镇排水）典型生活污水水质示例，本项目生活污水中主要污染指标浓度选取为BOD5220mg/L，SS200mg/L。</w:t>
            </w:r>
          </w:p>
          <w:p w14:paraId="669ED382">
            <w:pPr>
              <w:pStyle w:val="83"/>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420" w:firstLine="252" w:firstLineChars="100"/>
              <w:textAlignment w:val="auto"/>
              <w:outlineLvl w:val="1"/>
              <w:rPr>
                <w:rFonts w:hint="default" w:ascii="Times New Roman" w:hAnsi="Times New Roman" w:cs="Times New Roman"/>
                <w:color w:val="auto"/>
                <w:spacing w:val="6"/>
                <w:sz w:val="24"/>
                <w:szCs w:val="24"/>
                <w:highlight w:val="none"/>
                <w:lang w:val="en-US" w:eastAsia="zh-CN"/>
              </w:rPr>
            </w:pPr>
            <w:r>
              <w:rPr>
                <w:rFonts w:hint="eastAsia" w:ascii="Times New Roman" w:hAnsi="Times New Roman" w:cs="Times New Roman"/>
                <w:color w:val="auto"/>
                <w:spacing w:val="6"/>
                <w:sz w:val="24"/>
                <w:szCs w:val="24"/>
                <w:highlight w:val="none"/>
                <w:lang w:val="en-US" w:eastAsia="zh-CN"/>
              </w:rPr>
              <w:t>现有工程污染物排放情况如表2-17所示。</w:t>
            </w:r>
          </w:p>
          <w:p w14:paraId="562C9648">
            <w:pPr>
              <w:pStyle w:val="83"/>
              <w:spacing w:before="184" w:line="212" w:lineRule="auto"/>
              <w:ind w:left="2287"/>
              <w:outlineLvl w:val="1"/>
              <w:rPr>
                <w:color w:val="auto"/>
                <w:sz w:val="24"/>
                <w:szCs w:val="24"/>
                <w:highlight w:val="none"/>
              </w:rPr>
            </w:pPr>
            <w:r>
              <w:rPr>
                <w:b/>
                <w:bCs/>
                <w:color w:val="auto"/>
                <w:spacing w:val="-2"/>
                <w:sz w:val="24"/>
                <w:szCs w:val="24"/>
                <w:highlight w:val="none"/>
              </w:rPr>
              <w:t>表</w:t>
            </w:r>
            <w:r>
              <w:rPr>
                <w:color w:val="auto"/>
                <w:spacing w:val="-55"/>
                <w:sz w:val="24"/>
                <w:szCs w:val="24"/>
                <w:highlight w:val="none"/>
              </w:rPr>
              <w:t xml:space="preserve"> </w:t>
            </w:r>
            <w:r>
              <w:rPr>
                <w:rFonts w:ascii="Times New Roman" w:hAnsi="Times New Roman" w:eastAsia="Times New Roman" w:cs="Times New Roman"/>
                <w:b/>
                <w:bCs/>
                <w:color w:val="auto"/>
                <w:spacing w:val="-2"/>
                <w:sz w:val="24"/>
                <w:szCs w:val="24"/>
                <w:highlight w:val="none"/>
              </w:rPr>
              <w:t>2-1</w:t>
            </w:r>
            <w:r>
              <w:rPr>
                <w:rFonts w:hint="eastAsia" w:ascii="Times New Roman" w:hAnsi="Times New Roman" w:cs="Times New Roman"/>
                <w:b/>
                <w:bCs/>
                <w:color w:val="auto"/>
                <w:spacing w:val="-2"/>
                <w:sz w:val="24"/>
                <w:szCs w:val="24"/>
                <w:highlight w:val="none"/>
                <w:lang w:val="en-US" w:eastAsia="zh-CN"/>
              </w:rPr>
              <w:t>7</w:t>
            </w:r>
            <w:r>
              <w:rPr>
                <w:rFonts w:hint="eastAsia" w:ascii="Times New Roman" w:hAnsi="Times New Roman" w:eastAsia="宋体" w:cs="Times New Roman"/>
                <w:b/>
                <w:bCs/>
                <w:color w:val="auto"/>
                <w:spacing w:val="-2"/>
                <w:sz w:val="24"/>
                <w:szCs w:val="24"/>
                <w:highlight w:val="none"/>
                <w:lang w:val="en-US" w:eastAsia="zh-CN"/>
              </w:rPr>
              <w:t xml:space="preserve"> </w:t>
            </w:r>
            <w:r>
              <w:rPr>
                <w:rFonts w:ascii="Times New Roman" w:hAnsi="Times New Roman" w:eastAsia="Times New Roman" w:cs="Times New Roman"/>
                <w:b/>
                <w:bCs/>
                <w:color w:val="auto"/>
                <w:spacing w:val="-2"/>
                <w:sz w:val="24"/>
                <w:szCs w:val="24"/>
                <w:highlight w:val="none"/>
              </w:rPr>
              <w:t xml:space="preserve"> </w:t>
            </w:r>
            <w:r>
              <w:rPr>
                <w:b/>
                <w:bCs/>
                <w:color w:val="auto"/>
                <w:spacing w:val="-2"/>
                <w:sz w:val="24"/>
                <w:szCs w:val="24"/>
                <w:highlight w:val="none"/>
              </w:rPr>
              <w:t>现有工程污染物排放汇总</w:t>
            </w:r>
          </w:p>
          <w:tbl>
            <w:tblPr>
              <w:tblStyle w:val="30"/>
              <w:tblW w:w="777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54"/>
              <w:gridCol w:w="968"/>
              <w:gridCol w:w="961"/>
              <w:gridCol w:w="1004"/>
              <w:gridCol w:w="1168"/>
              <w:gridCol w:w="1381"/>
              <w:gridCol w:w="1641"/>
            </w:tblGrid>
            <w:tr w14:paraId="38EC39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71" w:hRule="atLeast"/>
                <w:jc w:val="center"/>
              </w:trPr>
              <w:tc>
                <w:tcPr>
                  <w:tcW w:w="654" w:type="dxa"/>
                  <w:tcBorders>
                    <w:tl2br w:val="nil"/>
                    <w:tr2bl w:val="nil"/>
                  </w:tcBorders>
                  <w:shd w:val="clear" w:color="auto" w:fill="auto"/>
                  <w:vAlign w:val="center"/>
                </w:tcPr>
                <w:p w14:paraId="2DA32920">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类别</w:t>
                  </w:r>
                </w:p>
              </w:tc>
              <w:tc>
                <w:tcPr>
                  <w:tcW w:w="968" w:type="dxa"/>
                  <w:tcBorders>
                    <w:tl2br w:val="nil"/>
                    <w:tr2bl w:val="nil"/>
                  </w:tcBorders>
                  <w:shd w:val="clear" w:color="auto" w:fill="auto"/>
                  <w:vAlign w:val="center"/>
                </w:tcPr>
                <w:p w14:paraId="033EB99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排放源</w:t>
                  </w:r>
                </w:p>
              </w:tc>
              <w:tc>
                <w:tcPr>
                  <w:tcW w:w="961" w:type="dxa"/>
                  <w:tcBorders>
                    <w:tl2br w:val="nil"/>
                    <w:tr2bl w:val="nil"/>
                  </w:tcBorders>
                  <w:shd w:val="clear" w:color="auto" w:fill="auto"/>
                  <w:vAlign w:val="center"/>
                </w:tcPr>
                <w:p w14:paraId="49571467">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污染物</w:t>
                  </w:r>
                </w:p>
              </w:tc>
              <w:tc>
                <w:tcPr>
                  <w:tcW w:w="1004" w:type="dxa"/>
                  <w:tcBorders>
                    <w:tl2br w:val="nil"/>
                    <w:tr2bl w:val="nil"/>
                  </w:tcBorders>
                  <w:shd w:val="clear" w:color="auto" w:fill="auto"/>
                  <w:vAlign w:val="center"/>
                </w:tcPr>
                <w:p w14:paraId="7E1BCFAF">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排放浓度/固废产生量</w:t>
                  </w:r>
                </w:p>
              </w:tc>
              <w:tc>
                <w:tcPr>
                  <w:tcW w:w="1168" w:type="dxa"/>
                  <w:tcBorders>
                    <w:tl2br w:val="nil"/>
                    <w:tr2bl w:val="nil"/>
                  </w:tcBorders>
                  <w:shd w:val="clear" w:color="auto" w:fill="auto"/>
                  <w:vAlign w:val="center"/>
                </w:tcPr>
                <w:p w14:paraId="6758402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排放量</w:t>
                  </w:r>
                </w:p>
              </w:tc>
              <w:tc>
                <w:tcPr>
                  <w:tcW w:w="1381" w:type="dxa"/>
                  <w:tcBorders>
                    <w:tl2br w:val="nil"/>
                    <w:tr2bl w:val="nil"/>
                  </w:tcBorders>
                  <w:shd w:val="clear" w:color="auto" w:fill="auto"/>
                  <w:vAlign w:val="center"/>
                </w:tcPr>
                <w:p w14:paraId="6C8D0A18">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污染防治措施</w:t>
                  </w:r>
                </w:p>
              </w:tc>
              <w:tc>
                <w:tcPr>
                  <w:tcW w:w="1641" w:type="dxa"/>
                  <w:tcBorders>
                    <w:tl2br w:val="nil"/>
                    <w:tr2bl w:val="nil"/>
                  </w:tcBorders>
                  <w:shd w:val="clear" w:color="auto" w:fill="auto"/>
                  <w:vAlign w:val="center"/>
                </w:tcPr>
                <w:p w14:paraId="41F2FE89">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处理效果及标准要求</w:t>
                  </w:r>
                </w:p>
              </w:tc>
            </w:tr>
            <w:tr w14:paraId="1DDF7D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46" w:hRule="atLeast"/>
                <w:jc w:val="center"/>
              </w:trPr>
              <w:tc>
                <w:tcPr>
                  <w:tcW w:w="654" w:type="dxa"/>
                  <w:vMerge w:val="restart"/>
                  <w:tcBorders>
                    <w:tl2br w:val="nil"/>
                    <w:tr2bl w:val="nil"/>
                  </w:tcBorders>
                  <w:shd w:val="clear" w:color="auto" w:fill="auto"/>
                  <w:vAlign w:val="center"/>
                </w:tcPr>
                <w:p w14:paraId="05A463A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废气</w:t>
                  </w:r>
                </w:p>
              </w:tc>
              <w:tc>
                <w:tcPr>
                  <w:tcW w:w="968" w:type="dxa"/>
                  <w:tcBorders>
                    <w:tl2br w:val="nil"/>
                    <w:tr2bl w:val="nil"/>
                  </w:tcBorders>
                  <w:shd w:val="clear" w:color="auto" w:fill="auto"/>
                  <w:vAlign w:val="center"/>
                </w:tcPr>
                <w:p w14:paraId="40FD833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排气筒（DA001）</w:t>
                  </w:r>
                </w:p>
              </w:tc>
              <w:tc>
                <w:tcPr>
                  <w:tcW w:w="961" w:type="dxa"/>
                  <w:tcBorders>
                    <w:tl2br w:val="nil"/>
                    <w:tr2bl w:val="nil"/>
                  </w:tcBorders>
                  <w:shd w:val="clear" w:color="auto" w:fill="auto"/>
                  <w:vAlign w:val="center"/>
                </w:tcPr>
                <w:p w14:paraId="44091618">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非甲烷总烃</w:t>
                  </w:r>
                </w:p>
              </w:tc>
              <w:tc>
                <w:tcPr>
                  <w:tcW w:w="1004" w:type="dxa"/>
                  <w:tcBorders>
                    <w:tl2br w:val="nil"/>
                    <w:tr2bl w:val="nil"/>
                  </w:tcBorders>
                  <w:shd w:val="clear" w:color="auto" w:fill="auto"/>
                  <w:vAlign w:val="center"/>
                </w:tcPr>
                <w:p w14:paraId="6CF1714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1.18</w:t>
                  </w: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168" w:type="dxa"/>
                  <w:tcBorders>
                    <w:tl2br w:val="nil"/>
                    <w:tr2bl w:val="nil"/>
                  </w:tcBorders>
                  <w:shd w:val="clear" w:color="auto" w:fill="auto"/>
                  <w:vAlign w:val="center"/>
                </w:tcPr>
                <w:p w14:paraId="004FBFF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0.023</w:t>
                  </w:r>
                  <w:r>
                    <w:rPr>
                      <w:rFonts w:hint="default" w:ascii="Times New Roman" w:hAnsi="Times New Roman" w:eastAsia="宋体" w:cs="Times New Roman"/>
                      <w:i w:val="0"/>
                      <w:iCs w:val="0"/>
                      <w:color w:val="auto"/>
                      <w:kern w:val="0"/>
                      <w:sz w:val="21"/>
                      <w:szCs w:val="21"/>
                      <w:u w:val="none"/>
                      <w:lang w:val="en-US" w:eastAsia="zh-CN" w:bidi="ar"/>
                    </w:rPr>
                    <w:t>t/a</w:t>
                  </w:r>
                </w:p>
              </w:tc>
              <w:tc>
                <w:tcPr>
                  <w:tcW w:w="1381" w:type="dxa"/>
                  <w:tcBorders>
                    <w:tl2br w:val="nil"/>
                    <w:tr2bl w:val="nil"/>
                  </w:tcBorders>
                  <w:shd w:val="clear" w:color="auto" w:fill="auto"/>
                  <w:vAlign w:val="top"/>
                </w:tcPr>
                <w:p w14:paraId="57531764">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依托通风柜+2套活性炭吸附装置（TA004+TA005）+28m高排气筒（DA001）</w:t>
                  </w:r>
                </w:p>
              </w:tc>
              <w:tc>
                <w:tcPr>
                  <w:tcW w:w="1641" w:type="dxa"/>
                  <w:vMerge w:val="restart"/>
                  <w:tcBorders>
                    <w:tl2br w:val="nil"/>
                    <w:tr2bl w:val="nil"/>
                  </w:tcBorders>
                  <w:shd w:val="clear" w:color="auto" w:fill="auto"/>
                  <w:vAlign w:val="center"/>
                </w:tcPr>
                <w:p w14:paraId="21DF1D4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《制药工业大气污染物排放标准》（GB37823-2019）表2</w:t>
                  </w:r>
                </w:p>
              </w:tc>
            </w:tr>
            <w:tr w14:paraId="255AF7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846" w:hRule="atLeast"/>
                <w:jc w:val="center"/>
              </w:trPr>
              <w:tc>
                <w:tcPr>
                  <w:tcW w:w="654" w:type="dxa"/>
                  <w:vMerge w:val="continue"/>
                  <w:tcBorders>
                    <w:tl2br w:val="nil"/>
                    <w:tr2bl w:val="nil"/>
                  </w:tcBorders>
                  <w:shd w:val="clear" w:color="auto" w:fill="auto"/>
                  <w:vAlign w:val="center"/>
                </w:tcPr>
                <w:p w14:paraId="35E02CCA">
                  <w:pPr>
                    <w:jc w:val="center"/>
                    <w:rPr>
                      <w:rFonts w:hint="default" w:ascii="Times New Roman" w:hAnsi="Times New Roman" w:eastAsia="宋体" w:cs="Times New Roman"/>
                      <w:i w:val="0"/>
                      <w:iCs w:val="0"/>
                      <w:color w:val="auto"/>
                      <w:sz w:val="21"/>
                      <w:szCs w:val="21"/>
                      <w:u w:val="none"/>
                    </w:rPr>
                  </w:pPr>
                </w:p>
              </w:tc>
              <w:tc>
                <w:tcPr>
                  <w:tcW w:w="968" w:type="dxa"/>
                  <w:tcBorders>
                    <w:tl2br w:val="nil"/>
                    <w:tr2bl w:val="nil"/>
                  </w:tcBorders>
                  <w:shd w:val="clear" w:color="auto" w:fill="auto"/>
                  <w:vAlign w:val="center"/>
                </w:tcPr>
                <w:p w14:paraId="3208F8A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排气筒（DA002）</w:t>
                  </w:r>
                </w:p>
              </w:tc>
              <w:tc>
                <w:tcPr>
                  <w:tcW w:w="961" w:type="dxa"/>
                  <w:tcBorders>
                    <w:tl2br w:val="nil"/>
                    <w:tr2bl w:val="nil"/>
                  </w:tcBorders>
                  <w:shd w:val="clear" w:color="auto" w:fill="auto"/>
                  <w:vAlign w:val="center"/>
                </w:tcPr>
                <w:p w14:paraId="3646110C">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非甲烷总烃</w:t>
                  </w:r>
                </w:p>
              </w:tc>
              <w:tc>
                <w:tcPr>
                  <w:tcW w:w="1004" w:type="dxa"/>
                  <w:tcBorders>
                    <w:tl2br w:val="nil"/>
                    <w:tr2bl w:val="nil"/>
                  </w:tcBorders>
                  <w:shd w:val="clear" w:color="auto" w:fill="auto"/>
                  <w:vAlign w:val="center"/>
                </w:tcPr>
                <w:p w14:paraId="30BE839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1.55</w:t>
                  </w: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168" w:type="dxa"/>
                  <w:tcBorders>
                    <w:tl2br w:val="nil"/>
                    <w:tr2bl w:val="nil"/>
                  </w:tcBorders>
                  <w:shd w:val="clear" w:color="auto" w:fill="auto"/>
                  <w:vAlign w:val="center"/>
                </w:tcPr>
                <w:p w14:paraId="483D21A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cs="Times New Roman"/>
                      <w:i w:val="0"/>
                      <w:iCs w:val="0"/>
                      <w:color w:val="auto"/>
                      <w:kern w:val="0"/>
                      <w:sz w:val="21"/>
                      <w:szCs w:val="21"/>
                      <w:u w:val="none"/>
                      <w:lang w:val="en-US" w:eastAsia="zh-CN" w:bidi="ar"/>
                    </w:rPr>
                    <w:t>31</w:t>
                  </w:r>
                  <w:r>
                    <w:rPr>
                      <w:rFonts w:hint="default" w:ascii="Times New Roman" w:hAnsi="Times New Roman" w:eastAsia="宋体" w:cs="Times New Roman"/>
                      <w:i w:val="0"/>
                      <w:iCs w:val="0"/>
                      <w:color w:val="auto"/>
                      <w:kern w:val="0"/>
                      <w:sz w:val="21"/>
                      <w:szCs w:val="21"/>
                      <w:u w:val="none"/>
                      <w:lang w:val="en-US" w:eastAsia="zh-CN" w:bidi="ar"/>
                    </w:rPr>
                    <w:t>/a</w:t>
                  </w:r>
                </w:p>
              </w:tc>
              <w:tc>
                <w:tcPr>
                  <w:tcW w:w="1381" w:type="dxa"/>
                  <w:tcBorders>
                    <w:tl2br w:val="nil"/>
                    <w:tr2bl w:val="nil"/>
                  </w:tcBorders>
                  <w:shd w:val="clear" w:color="auto" w:fill="auto"/>
                  <w:vAlign w:val="top"/>
                </w:tcPr>
                <w:p w14:paraId="69F241B6">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依托通风柜+3套活性炭吸附装置（TA001+TA002+TA003）+28m高排气筒（DA002）</w:t>
                  </w:r>
                </w:p>
              </w:tc>
              <w:tc>
                <w:tcPr>
                  <w:tcW w:w="1641" w:type="dxa"/>
                  <w:vMerge w:val="continue"/>
                  <w:tcBorders>
                    <w:tl2br w:val="nil"/>
                    <w:tr2bl w:val="nil"/>
                  </w:tcBorders>
                  <w:shd w:val="clear" w:color="auto" w:fill="auto"/>
                  <w:vAlign w:val="center"/>
                </w:tcPr>
                <w:p w14:paraId="0F205479">
                  <w:pPr>
                    <w:jc w:val="center"/>
                    <w:rPr>
                      <w:rFonts w:hint="default" w:ascii="Times New Roman" w:hAnsi="Times New Roman" w:eastAsia="宋体" w:cs="Times New Roman"/>
                      <w:i w:val="0"/>
                      <w:iCs w:val="0"/>
                      <w:color w:val="auto"/>
                      <w:sz w:val="21"/>
                      <w:szCs w:val="21"/>
                      <w:u w:val="none"/>
                    </w:rPr>
                  </w:pPr>
                </w:p>
              </w:tc>
            </w:tr>
            <w:tr w14:paraId="4533EF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21" w:hRule="atLeast"/>
                <w:jc w:val="center"/>
              </w:trPr>
              <w:tc>
                <w:tcPr>
                  <w:tcW w:w="654" w:type="dxa"/>
                  <w:vMerge w:val="continue"/>
                  <w:tcBorders>
                    <w:tl2br w:val="nil"/>
                    <w:tr2bl w:val="nil"/>
                  </w:tcBorders>
                  <w:shd w:val="clear" w:color="auto" w:fill="auto"/>
                  <w:vAlign w:val="center"/>
                </w:tcPr>
                <w:p w14:paraId="5C202508">
                  <w:pPr>
                    <w:jc w:val="center"/>
                    <w:rPr>
                      <w:rFonts w:hint="default" w:ascii="Times New Roman" w:hAnsi="Times New Roman" w:eastAsia="宋体" w:cs="Times New Roman"/>
                      <w:i w:val="0"/>
                      <w:iCs w:val="0"/>
                      <w:color w:val="auto"/>
                      <w:sz w:val="21"/>
                      <w:szCs w:val="21"/>
                      <w:u w:val="none"/>
                    </w:rPr>
                  </w:pPr>
                </w:p>
              </w:tc>
              <w:tc>
                <w:tcPr>
                  <w:tcW w:w="968" w:type="dxa"/>
                  <w:tcBorders>
                    <w:tl2br w:val="nil"/>
                    <w:tr2bl w:val="nil"/>
                  </w:tcBorders>
                  <w:shd w:val="clear" w:color="auto" w:fill="auto"/>
                  <w:vAlign w:val="center"/>
                </w:tcPr>
                <w:p w14:paraId="3DFECC4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排气筒（DA003）</w:t>
                  </w:r>
                </w:p>
              </w:tc>
              <w:tc>
                <w:tcPr>
                  <w:tcW w:w="961" w:type="dxa"/>
                  <w:tcBorders>
                    <w:tl2br w:val="nil"/>
                    <w:tr2bl w:val="nil"/>
                  </w:tcBorders>
                  <w:shd w:val="clear" w:color="auto" w:fill="auto"/>
                  <w:vAlign w:val="center"/>
                </w:tcPr>
                <w:p w14:paraId="759E0F61">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非甲烷总烃</w:t>
                  </w:r>
                </w:p>
              </w:tc>
              <w:tc>
                <w:tcPr>
                  <w:tcW w:w="1004" w:type="dxa"/>
                  <w:tcBorders>
                    <w:tl2br w:val="nil"/>
                    <w:tr2bl w:val="nil"/>
                  </w:tcBorders>
                  <w:shd w:val="clear" w:color="auto" w:fill="auto"/>
                  <w:vAlign w:val="center"/>
                </w:tcPr>
                <w:p w14:paraId="2EAC273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0.3</w:t>
                  </w:r>
                  <w:r>
                    <w:rPr>
                      <w:rFonts w:hint="eastAsia" w:cs="Times New Roman"/>
                      <w:i w:val="0"/>
                      <w:iCs w:val="0"/>
                      <w:color w:val="auto"/>
                      <w:kern w:val="0"/>
                      <w:sz w:val="21"/>
                      <w:szCs w:val="21"/>
                      <w:u w:val="none"/>
                      <w:lang w:val="en-US" w:eastAsia="zh-CN" w:bidi="ar"/>
                    </w:rPr>
                    <w:t>6</w:t>
                  </w:r>
                  <w:r>
                    <w:rPr>
                      <w:rFonts w:hint="default" w:ascii="Times New Roman" w:hAnsi="Times New Roman" w:eastAsia="宋体" w:cs="Times New Roman"/>
                      <w:i w:val="0"/>
                      <w:iCs w:val="0"/>
                      <w:color w:val="auto"/>
                      <w:kern w:val="0"/>
                      <w:sz w:val="21"/>
                      <w:szCs w:val="21"/>
                      <w:u w:val="none"/>
                      <w:lang w:val="en-US" w:eastAsia="zh-CN" w:bidi="ar"/>
                    </w:rPr>
                    <w:t>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168" w:type="dxa"/>
                  <w:tcBorders>
                    <w:tl2br w:val="nil"/>
                    <w:tr2bl w:val="nil"/>
                  </w:tcBorders>
                  <w:shd w:val="clear" w:color="auto" w:fill="auto"/>
                  <w:vAlign w:val="center"/>
                </w:tcPr>
                <w:p w14:paraId="1975EE8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0.013t/a</w:t>
                  </w:r>
                </w:p>
              </w:tc>
              <w:tc>
                <w:tcPr>
                  <w:tcW w:w="1381" w:type="dxa"/>
                  <w:tcBorders>
                    <w:tl2br w:val="nil"/>
                    <w:tr2bl w:val="nil"/>
                  </w:tcBorders>
                  <w:shd w:val="clear" w:color="auto" w:fill="auto"/>
                  <w:vAlign w:val="center"/>
                </w:tcPr>
                <w:p w14:paraId="65BF6A9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通风柜+1套活性炭吸附装置（TA006）+28m高排气筒（DA003）</w:t>
                  </w:r>
                </w:p>
              </w:tc>
              <w:tc>
                <w:tcPr>
                  <w:tcW w:w="1641" w:type="dxa"/>
                  <w:vMerge w:val="continue"/>
                  <w:tcBorders>
                    <w:tl2br w:val="nil"/>
                    <w:tr2bl w:val="nil"/>
                  </w:tcBorders>
                  <w:shd w:val="clear" w:color="auto" w:fill="auto"/>
                  <w:vAlign w:val="center"/>
                </w:tcPr>
                <w:p w14:paraId="4E427E0E">
                  <w:pPr>
                    <w:jc w:val="center"/>
                    <w:rPr>
                      <w:rFonts w:hint="default" w:ascii="Times New Roman" w:hAnsi="Times New Roman" w:eastAsia="宋体" w:cs="Times New Roman"/>
                      <w:i w:val="0"/>
                      <w:iCs w:val="0"/>
                      <w:color w:val="auto"/>
                      <w:sz w:val="21"/>
                      <w:szCs w:val="21"/>
                      <w:u w:val="none"/>
                    </w:rPr>
                  </w:pPr>
                </w:p>
              </w:tc>
            </w:tr>
            <w:tr w14:paraId="56DC97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321" w:hRule="atLeast"/>
                <w:jc w:val="center"/>
              </w:trPr>
              <w:tc>
                <w:tcPr>
                  <w:tcW w:w="654" w:type="dxa"/>
                  <w:vMerge w:val="continue"/>
                  <w:tcBorders>
                    <w:tl2br w:val="nil"/>
                    <w:tr2bl w:val="nil"/>
                  </w:tcBorders>
                  <w:shd w:val="clear" w:color="auto" w:fill="auto"/>
                  <w:vAlign w:val="center"/>
                </w:tcPr>
                <w:p w14:paraId="64F71A35">
                  <w:pPr>
                    <w:jc w:val="center"/>
                    <w:rPr>
                      <w:rFonts w:hint="default" w:ascii="Times New Roman" w:hAnsi="Times New Roman" w:eastAsia="宋体" w:cs="Times New Roman"/>
                      <w:i w:val="0"/>
                      <w:iCs w:val="0"/>
                      <w:color w:val="auto"/>
                      <w:sz w:val="21"/>
                      <w:szCs w:val="21"/>
                      <w:u w:val="none"/>
                    </w:rPr>
                  </w:pPr>
                </w:p>
              </w:tc>
              <w:tc>
                <w:tcPr>
                  <w:tcW w:w="968" w:type="dxa"/>
                  <w:tcBorders>
                    <w:tl2br w:val="nil"/>
                    <w:tr2bl w:val="nil"/>
                  </w:tcBorders>
                  <w:shd w:val="clear" w:color="auto" w:fill="auto"/>
                  <w:vAlign w:val="center"/>
                </w:tcPr>
                <w:p w14:paraId="4A8C1F8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无组织</w:t>
                  </w:r>
                </w:p>
              </w:tc>
              <w:tc>
                <w:tcPr>
                  <w:tcW w:w="961" w:type="dxa"/>
                  <w:tcBorders>
                    <w:tl2br w:val="nil"/>
                    <w:tr2bl w:val="nil"/>
                  </w:tcBorders>
                  <w:shd w:val="clear" w:color="auto" w:fill="auto"/>
                  <w:vAlign w:val="center"/>
                </w:tcPr>
                <w:p w14:paraId="03F8D6DE">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非甲烷总烃</w:t>
                  </w:r>
                </w:p>
              </w:tc>
              <w:tc>
                <w:tcPr>
                  <w:tcW w:w="1004" w:type="dxa"/>
                  <w:tcBorders>
                    <w:tl2br w:val="nil"/>
                    <w:tr2bl w:val="nil"/>
                  </w:tcBorders>
                  <w:shd w:val="clear" w:color="auto" w:fill="auto"/>
                  <w:vAlign w:val="center"/>
                </w:tcPr>
                <w:p w14:paraId="12E633B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168" w:type="dxa"/>
                  <w:tcBorders>
                    <w:tl2br w:val="nil"/>
                    <w:tr2bl w:val="nil"/>
                  </w:tcBorders>
                  <w:shd w:val="clear" w:color="auto" w:fill="auto"/>
                  <w:vAlign w:val="center"/>
                </w:tcPr>
                <w:p w14:paraId="1E7D220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.086</w:t>
                  </w:r>
                  <w:r>
                    <w:rPr>
                      <w:rFonts w:hint="default" w:ascii="Times New Roman" w:hAnsi="Times New Roman" w:eastAsia="宋体" w:cs="Times New Roman"/>
                      <w:i w:val="0"/>
                      <w:iCs w:val="0"/>
                      <w:color w:val="auto"/>
                      <w:kern w:val="0"/>
                      <w:sz w:val="21"/>
                      <w:szCs w:val="21"/>
                      <w:u w:val="none"/>
                      <w:lang w:val="en-US" w:eastAsia="zh-CN" w:bidi="ar"/>
                    </w:rPr>
                    <w:t>t/a</w:t>
                  </w:r>
                </w:p>
              </w:tc>
              <w:tc>
                <w:tcPr>
                  <w:tcW w:w="1381" w:type="dxa"/>
                  <w:tcBorders>
                    <w:tl2br w:val="nil"/>
                    <w:tr2bl w:val="nil"/>
                  </w:tcBorders>
                  <w:shd w:val="clear" w:color="auto" w:fill="auto"/>
                  <w:vAlign w:val="center"/>
                </w:tcPr>
                <w:p w14:paraId="0DCDF4E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厂房密闭</w:t>
                  </w:r>
                </w:p>
              </w:tc>
              <w:tc>
                <w:tcPr>
                  <w:tcW w:w="1641" w:type="dxa"/>
                  <w:tcBorders>
                    <w:tl2br w:val="nil"/>
                    <w:tr2bl w:val="nil"/>
                  </w:tcBorders>
                  <w:shd w:val="clear" w:color="auto" w:fill="auto"/>
                  <w:vAlign w:val="center"/>
                </w:tcPr>
                <w:p w14:paraId="1BFE7F2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《挥发性有机物排放控制标准》（DB61/T1061-2017）</w:t>
                  </w:r>
                </w:p>
              </w:tc>
            </w:tr>
            <w:tr w14:paraId="07EAA4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3" w:hRule="atLeast"/>
                <w:jc w:val="center"/>
              </w:trPr>
              <w:tc>
                <w:tcPr>
                  <w:tcW w:w="3587" w:type="dxa"/>
                  <w:gridSpan w:val="4"/>
                  <w:tcBorders>
                    <w:tl2br w:val="nil"/>
                    <w:tr2bl w:val="nil"/>
                  </w:tcBorders>
                  <w:shd w:val="clear" w:color="auto" w:fill="auto"/>
                  <w:vAlign w:val="center"/>
                </w:tcPr>
                <w:p w14:paraId="7096F18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合计</w:t>
                  </w:r>
                </w:p>
              </w:tc>
              <w:tc>
                <w:tcPr>
                  <w:tcW w:w="1168" w:type="dxa"/>
                  <w:tcBorders>
                    <w:tl2br w:val="nil"/>
                    <w:tr2bl w:val="nil"/>
                  </w:tcBorders>
                  <w:shd w:val="clear" w:color="auto" w:fill="auto"/>
                  <w:vAlign w:val="center"/>
                </w:tcPr>
                <w:p w14:paraId="7BB0C23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153</w:t>
                  </w:r>
                  <w:r>
                    <w:rPr>
                      <w:rFonts w:hint="default" w:ascii="Times New Roman" w:hAnsi="Times New Roman" w:eastAsia="宋体" w:cs="Times New Roman"/>
                      <w:i w:val="0"/>
                      <w:iCs w:val="0"/>
                      <w:color w:val="auto"/>
                      <w:kern w:val="0"/>
                      <w:sz w:val="21"/>
                      <w:szCs w:val="21"/>
                      <w:u w:val="none"/>
                      <w:lang w:val="en-US" w:eastAsia="zh-CN" w:bidi="ar"/>
                    </w:rPr>
                    <w:t>t/a</w:t>
                  </w:r>
                </w:p>
              </w:tc>
              <w:tc>
                <w:tcPr>
                  <w:tcW w:w="1381" w:type="dxa"/>
                  <w:tcBorders>
                    <w:tl2br w:val="nil"/>
                    <w:tr2bl w:val="nil"/>
                  </w:tcBorders>
                  <w:shd w:val="clear" w:color="auto" w:fill="auto"/>
                  <w:vAlign w:val="center"/>
                </w:tcPr>
                <w:p w14:paraId="24FB9119">
                  <w:pPr>
                    <w:rPr>
                      <w:rFonts w:hint="eastAsia" w:ascii="Times New Roman" w:hAnsi="Times New Roman" w:eastAsia="宋体" w:cs="Times New Roman"/>
                      <w:i w:val="0"/>
                      <w:iCs w:val="0"/>
                      <w:color w:val="auto"/>
                      <w:sz w:val="21"/>
                      <w:szCs w:val="21"/>
                      <w:u w:val="none"/>
                      <w:lang w:val="en-US" w:eastAsia="zh-CN"/>
                    </w:rPr>
                  </w:pPr>
                  <w:r>
                    <w:rPr>
                      <w:rFonts w:hint="eastAsia" w:ascii="Times New Roman" w:hAnsi="Times New Roman" w:eastAsia="宋体" w:cs="Times New Roman"/>
                      <w:i w:val="0"/>
                      <w:iCs w:val="0"/>
                      <w:color w:val="auto"/>
                      <w:sz w:val="21"/>
                      <w:szCs w:val="21"/>
                      <w:u w:val="none"/>
                      <w:lang w:val="en-US" w:eastAsia="zh-CN"/>
                    </w:rPr>
                    <w:t>/</w:t>
                  </w:r>
                </w:p>
              </w:tc>
              <w:tc>
                <w:tcPr>
                  <w:tcW w:w="1641" w:type="dxa"/>
                  <w:tcBorders>
                    <w:tl2br w:val="nil"/>
                    <w:tr2bl w:val="nil"/>
                  </w:tcBorders>
                  <w:shd w:val="clear" w:color="auto" w:fill="auto"/>
                  <w:vAlign w:val="center"/>
                </w:tcPr>
                <w:p w14:paraId="76EA0C67">
                  <w:pPr>
                    <w:jc w:val="center"/>
                    <w:rPr>
                      <w:rFonts w:hint="default" w:ascii="Times New Roman" w:hAnsi="Times New Roman" w:eastAsia="宋体" w:cs="Times New Roman"/>
                      <w:i w:val="0"/>
                      <w:iCs w:val="0"/>
                      <w:color w:val="auto"/>
                      <w:sz w:val="21"/>
                      <w:szCs w:val="21"/>
                      <w:u w:val="none"/>
                    </w:rPr>
                  </w:pPr>
                </w:p>
              </w:tc>
            </w:tr>
            <w:tr w14:paraId="4F0888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6" w:hRule="atLeast"/>
                <w:jc w:val="center"/>
              </w:trPr>
              <w:tc>
                <w:tcPr>
                  <w:tcW w:w="654" w:type="dxa"/>
                  <w:vMerge w:val="restart"/>
                  <w:tcBorders>
                    <w:tl2br w:val="nil"/>
                    <w:tr2bl w:val="nil"/>
                  </w:tcBorders>
                  <w:shd w:val="clear" w:color="auto" w:fill="auto"/>
                  <w:vAlign w:val="center"/>
                </w:tcPr>
                <w:p w14:paraId="000D42F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废水</w:t>
                  </w:r>
                </w:p>
              </w:tc>
              <w:tc>
                <w:tcPr>
                  <w:tcW w:w="968" w:type="dxa"/>
                  <w:vMerge w:val="restart"/>
                  <w:tcBorders>
                    <w:tl2br w:val="nil"/>
                    <w:tr2bl w:val="nil"/>
                  </w:tcBorders>
                  <w:shd w:val="clear" w:color="auto" w:fill="auto"/>
                  <w:noWrap/>
                  <w:vAlign w:val="center"/>
                </w:tcPr>
                <w:p w14:paraId="6E17D44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生产废水</w:t>
                  </w:r>
                </w:p>
              </w:tc>
              <w:tc>
                <w:tcPr>
                  <w:tcW w:w="961" w:type="dxa"/>
                  <w:tcBorders>
                    <w:tl2br w:val="nil"/>
                    <w:tr2bl w:val="nil"/>
                  </w:tcBorders>
                  <w:shd w:val="clear" w:color="auto" w:fill="auto"/>
                  <w:vAlign w:val="center"/>
                </w:tcPr>
                <w:p w14:paraId="45A93DD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1004" w:type="dxa"/>
                  <w:tcBorders>
                    <w:tl2br w:val="nil"/>
                    <w:tr2bl w:val="nil"/>
                  </w:tcBorders>
                  <w:shd w:val="clear" w:color="auto" w:fill="auto"/>
                  <w:vAlign w:val="center"/>
                </w:tcPr>
                <w:p w14:paraId="6F56324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6mg/L</w:t>
                  </w:r>
                </w:p>
              </w:tc>
              <w:tc>
                <w:tcPr>
                  <w:tcW w:w="1168" w:type="dxa"/>
                  <w:tcBorders>
                    <w:tl2br w:val="nil"/>
                    <w:tr2bl w:val="nil"/>
                  </w:tcBorders>
                  <w:shd w:val="clear" w:color="auto" w:fill="auto"/>
                  <w:vAlign w:val="center"/>
                </w:tcPr>
                <w:p w14:paraId="6D13249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0.00088t/a</w:t>
                  </w:r>
                </w:p>
              </w:tc>
              <w:tc>
                <w:tcPr>
                  <w:tcW w:w="1381" w:type="dxa"/>
                  <w:vMerge w:val="restart"/>
                  <w:tcBorders>
                    <w:tl2br w:val="nil"/>
                    <w:tr2bl w:val="nil"/>
                  </w:tcBorders>
                  <w:shd w:val="clear" w:color="auto" w:fill="auto"/>
                  <w:vAlign w:val="center"/>
                </w:tcPr>
                <w:p w14:paraId="36BEFBC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企业自建污水处理设施+园区化粪池（依托）</w:t>
                  </w:r>
                </w:p>
              </w:tc>
              <w:tc>
                <w:tcPr>
                  <w:tcW w:w="1641" w:type="dxa"/>
                  <w:vMerge w:val="restart"/>
                  <w:tcBorders>
                    <w:tl2br w:val="nil"/>
                    <w:tr2bl w:val="nil"/>
                  </w:tcBorders>
                  <w:shd w:val="clear" w:color="auto" w:fill="auto"/>
                  <w:vAlign w:val="center"/>
                </w:tcPr>
                <w:p w14:paraId="576108E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《污水排入城镇下水道水质标准》（GB/T31962-2015）A级标准及《污水综合排放标准》（GB8978-1996）三级标准</w:t>
                  </w:r>
                </w:p>
              </w:tc>
            </w:tr>
            <w:tr w14:paraId="6CC37A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3D3C2DF0">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551D97D7">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6653C36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1004" w:type="dxa"/>
                  <w:tcBorders>
                    <w:tl2br w:val="nil"/>
                    <w:tr2bl w:val="nil"/>
                  </w:tcBorders>
                  <w:shd w:val="clear" w:color="auto" w:fill="auto"/>
                  <w:vAlign w:val="center"/>
                </w:tcPr>
                <w:p w14:paraId="4D71D26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2.2mg/L</w:t>
                  </w:r>
                </w:p>
              </w:tc>
              <w:tc>
                <w:tcPr>
                  <w:tcW w:w="1168" w:type="dxa"/>
                  <w:tcBorders>
                    <w:tl2br w:val="nil"/>
                    <w:tr2bl w:val="nil"/>
                  </w:tcBorders>
                  <w:shd w:val="clear" w:color="auto" w:fill="auto"/>
                  <w:vAlign w:val="center"/>
                </w:tcPr>
                <w:p w14:paraId="145D79D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0.00032t/a</w:t>
                  </w:r>
                </w:p>
              </w:tc>
              <w:tc>
                <w:tcPr>
                  <w:tcW w:w="1381" w:type="dxa"/>
                  <w:vMerge w:val="continue"/>
                  <w:tcBorders>
                    <w:tl2br w:val="nil"/>
                    <w:tr2bl w:val="nil"/>
                  </w:tcBorders>
                  <w:shd w:val="clear" w:color="auto" w:fill="auto"/>
                  <w:vAlign w:val="center"/>
                </w:tcPr>
                <w:p w14:paraId="1385389B">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21E68FAD">
                  <w:pPr>
                    <w:jc w:val="center"/>
                    <w:rPr>
                      <w:rFonts w:hint="default" w:ascii="Times New Roman" w:hAnsi="Times New Roman" w:eastAsia="宋体" w:cs="Times New Roman"/>
                      <w:i w:val="0"/>
                      <w:iCs w:val="0"/>
                      <w:color w:val="auto"/>
                      <w:sz w:val="21"/>
                      <w:szCs w:val="21"/>
                      <w:u w:val="none"/>
                    </w:rPr>
                  </w:pPr>
                </w:p>
              </w:tc>
            </w:tr>
            <w:tr w14:paraId="04610C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2344F5B7">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19D7D06D">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63DDACC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1004" w:type="dxa"/>
                  <w:tcBorders>
                    <w:tl2br w:val="nil"/>
                    <w:tr2bl w:val="nil"/>
                  </w:tcBorders>
                  <w:shd w:val="clear" w:color="auto" w:fill="auto"/>
                  <w:vAlign w:val="center"/>
                </w:tcPr>
                <w:p w14:paraId="6761DBD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4mg/L</w:t>
                  </w:r>
                </w:p>
              </w:tc>
              <w:tc>
                <w:tcPr>
                  <w:tcW w:w="1168" w:type="dxa"/>
                  <w:tcBorders>
                    <w:tl2br w:val="nil"/>
                    <w:tr2bl w:val="nil"/>
                  </w:tcBorders>
                  <w:shd w:val="clear" w:color="auto" w:fill="auto"/>
                  <w:vAlign w:val="center"/>
                </w:tcPr>
                <w:p w14:paraId="4AF2248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0.00059t/a</w:t>
                  </w:r>
                </w:p>
              </w:tc>
              <w:tc>
                <w:tcPr>
                  <w:tcW w:w="1381" w:type="dxa"/>
                  <w:vMerge w:val="continue"/>
                  <w:tcBorders>
                    <w:tl2br w:val="nil"/>
                    <w:tr2bl w:val="nil"/>
                  </w:tcBorders>
                  <w:shd w:val="clear" w:color="auto" w:fill="auto"/>
                  <w:vAlign w:val="center"/>
                </w:tcPr>
                <w:p w14:paraId="266AE66C">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1CDB9724">
                  <w:pPr>
                    <w:jc w:val="center"/>
                    <w:rPr>
                      <w:rFonts w:hint="default" w:ascii="Times New Roman" w:hAnsi="Times New Roman" w:eastAsia="宋体" w:cs="Times New Roman"/>
                      <w:i w:val="0"/>
                      <w:iCs w:val="0"/>
                      <w:color w:val="auto"/>
                      <w:sz w:val="21"/>
                      <w:szCs w:val="21"/>
                      <w:u w:val="none"/>
                    </w:rPr>
                  </w:pPr>
                </w:p>
              </w:tc>
            </w:tr>
            <w:tr w14:paraId="052062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4F77ADD8">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72DA3C50">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38FBF7B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1004" w:type="dxa"/>
                  <w:tcBorders>
                    <w:tl2br w:val="nil"/>
                    <w:tr2bl w:val="nil"/>
                  </w:tcBorders>
                  <w:shd w:val="clear" w:color="auto" w:fill="auto"/>
                  <w:vAlign w:val="center"/>
                </w:tcPr>
                <w:p w14:paraId="322F48E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0.077mg/L</w:t>
                  </w:r>
                </w:p>
              </w:tc>
              <w:tc>
                <w:tcPr>
                  <w:tcW w:w="1168" w:type="dxa"/>
                  <w:tcBorders>
                    <w:tl2br w:val="nil"/>
                    <w:tr2bl w:val="nil"/>
                  </w:tcBorders>
                  <w:shd w:val="clear" w:color="auto" w:fill="auto"/>
                  <w:vAlign w:val="center"/>
                </w:tcPr>
                <w:p w14:paraId="18F2EDC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0.000011t/a</w:t>
                  </w:r>
                </w:p>
              </w:tc>
              <w:tc>
                <w:tcPr>
                  <w:tcW w:w="1381" w:type="dxa"/>
                  <w:vMerge w:val="continue"/>
                  <w:tcBorders>
                    <w:tl2br w:val="nil"/>
                    <w:tr2bl w:val="nil"/>
                  </w:tcBorders>
                  <w:shd w:val="clear" w:color="auto" w:fill="auto"/>
                  <w:vAlign w:val="center"/>
                </w:tcPr>
                <w:p w14:paraId="0E8516BD">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69B3F011">
                  <w:pPr>
                    <w:jc w:val="center"/>
                    <w:rPr>
                      <w:rFonts w:hint="default" w:ascii="Times New Roman" w:hAnsi="Times New Roman" w:eastAsia="宋体" w:cs="Times New Roman"/>
                      <w:i w:val="0"/>
                      <w:iCs w:val="0"/>
                      <w:color w:val="auto"/>
                      <w:sz w:val="21"/>
                      <w:szCs w:val="21"/>
                      <w:u w:val="none"/>
                    </w:rPr>
                  </w:pPr>
                </w:p>
              </w:tc>
            </w:tr>
            <w:tr w14:paraId="51BF6F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5036C113">
                  <w:pPr>
                    <w:jc w:val="center"/>
                    <w:rPr>
                      <w:rFonts w:hint="default" w:ascii="Times New Roman" w:hAnsi="Times New Roman" w:eastAsia="宋体" w:cs="Times New Roman"/>
                      <w:i w:val="0"/>
                      <w:iCs w:val="0"/>
                      <w:color w:val="auto"/>
                      <w:sz w:val="21"/>
                      <w:szCs w:val="21"/>
                      <w:u w:val="none"/>
                    </w:rPr>
                  </w:pPr>
                </w:p>
              </w:tc>
              <w:tc>
                <w:tcPr>
                  <w:tcW w:w="968" w:type="dxa"/>
                  <w:vMerge w:val="restart"/>
                  <w:tcBorders>
                    <w:tl2br w:val="nil"/>
                    <w:tr2bl w:val="nil"/>
                  </w:tcBorders>
                  <w:shd w:val="clear" w:color="auto" w:fill="auto"/>
                  <w:noWrap/>
                  <w:vAlign w:val="center"/>
                </w:tcPr>
                <w:p w14:paraId="7C9C0A0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生活污水</w:t>
                  </w:r>
                </w:p>
              </w:tc>
              <w:tc>
                <w:tcPr>
                  <w:tcW w:w="961" w:type="dxa"/>
                  <w:tcBorders>
                    <w:tl2br w:val="nil"/>
                    <w:tr2bl w:val="nil"/>
                  </w:tcBorders>
                  <w:shd w:val="clear" w:color="auto" w:fill="auto"/>
                  <w:vAlign w:val="center"/>
                </w:tcPr>
                <w:p w14:paraId="3E1C528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1004" w:type="dxa"/>
                  <w:tcBorders>
                    <w:tl2br w:val="nil"/>
                    <w:tr2bl w:val="nil"/>
                  </w:tcBorders>
                  <w:shd w:val="clear" w:color="auto" w:fill="auto"/>
                  <w:vAlign w:val="center"/>
                </w:tcPr>
                <w:p w14:paraId="2D12274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460mg/L</w:t>
                  </w:r>
                </w:p>
              </w:tc>
              <w:tc>
                <w:tcPr>
                  <w:tcW w:w="1168" w:type="dxa"/>
                  <w:tcBorders>
                    <w:tl2br w:val="nil"/>
                    <w:tr2bl w:val="nil"/>
                  </w:tcBorders>
                  <w:shd w:val="clear" w:color="auto" w:fill="auto"/>
                  <w:vAlign w:val="center"/>
                </w:tcPr>
                <w:p w14:paraId="357734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0.28t/a</w:t>
                  </w:r>
                </w:p>
              </w:tc>
              <w:tc>
                <w:tcPr>
                  <w:tcW w:w="1381" w:type="dxa"/>
                  <w:vMerge w:val="restart"/>
                  <w:tcBorders>
                    <w:tl2br w:val="nil"/>
                    <w:tr2bl w:val="nil"/>
                  </w:tcBorders>
                  <w:shd w:val="clear" w:color="auto" w:fill="auto"/>
                  <w:vAlign w:val="center"/>
                </w:tcPr>
                <w:p w14:paraId="43C950F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依托园区化粪池（150m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w:t>
                  </w:r>
                </w:p>
              </w:tc>
              <w:tc>
                <w:tcPr>
                  <w:tcW w:w="1641" w:type="dxa"/>
                  <w:vMerge w:val="continue"/>
                  <w:tcBorders>
                    <w:tl2br w:val="nil"/>
                    <w:tr2bl w:val="nil"/>
                  </w:tcBorders>
                  <w:shd w:val="clear" w:color="auto" w:fill="auto"/>
                  <w:vAlign w:val="center"/>
                </w:tcPr>
                <w:p w14:paraId="5B2FCE18">
                  <w:pPr>
                    <w:jc w:val="center"/>
                    <w:rPr>
                      <w:rFonts w:hint="default" w:ascii="Times New Roman" w:hAnsi="Times New Roman" w:eastAsia="宋体" w:cs="Times New Roman"/>
                      <w:i w:val="0"/>
                      <w:iCs w:val="0"/>
                      <w:color w:val="auto"/>
                      <w:sz w:val="21"/>
                      <w:szCs w:val="21"/>
                      <w:u w:val="none"/>
                    </w:rPr>
                  </w:pPr>
                </w:p>
              </w:tc>
            </w:tr>
            <w:tr w14:paraId="5B0E91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1BE30CE7">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4320770C">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25D85DE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1004" w:type="dxa"/>
                  <w:tcBorders>
                    <w:tl2br w:val="nil"/>
                    <w:tr2bl w:val="nil"/>
                  </w:tcBorders>
                  <w:shd w:val="clear" w:color="auto" w:fill="auto"/>
                  <w:vAlign w:val="center"/>
                </w:tcPr>
                <w:p w14:paraId="69A682D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220mg/L</w:t>
                  </w:r>
                </w:p>
              </w:tc>
              <w:tc>
                <w:tcPr>
                  <w:tcW w:w="1168" w:type="dxa"/>
                  <w:tcBorders>
                    <w:tl2br w:val="nil"/>
                    <w:tr2bl w:val="nil"/>
                  </w:tcBorders>
                  <w:shd w:val="clear" w:color="auto" w:fill="auto"/>
                  <w:vAlign w:val="center"/>
                </w:tcPr>
                <w:p w14:paraId="4C3800A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0.13t/a</w:t>
                  </w:r>
                </w:p>
              </w:tc>
              <w:tc>
                <w:tcPr>
                  <w:tcW w:w="1381" w:type="dxa"/>
                  <w:vMerge w:val="continue"/>
                  <w:tcBorders>
                    <w:tl2br w:val="nil"/>
                    <w:tr2bl w:val="nil"/>
                  </w:tcBorders>
                  <w:shd w:val="clear" w:color="auto" w:fill="auto"/>
                  <w:vAlign w:val="center"/>
                </w:tcPr>
                <w:p w14:paraId="1C4F92F9">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633A03C8">
                  <w:pPr>
                    <w:jc w:val="center"/>
                    <w:rPr>
                      <w:rFonts w:hint="default" w:ascii="Times New Roman" w:hAnsi="Times New Roman" w:eastAsia="宋体" w:cs="Times New Roman"/>
                      <w:i w:val="0"/>
                      <w:iCs w:val="0"/>
                      <w:color w:val="auto"/>
                      <w:sz w:val="21"/>
                      <w:szCs w:val="21"/>
                      <w:u w:val="none"/>
                    </w:rPr>
                  </w:pPr>
                </w:p>
              </w:tc>
            </w:tr>
            <w:tr w14:paraId="63AF37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1D693761">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43829A45">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32F6911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1004" w:type="dxa"/>
                  <w:tcBorders>
                    <w:tl2br w:val="nil"/>
                    <w:tr2bl w:val="nil"/>
                  </w:tcBorders>
                  <w:shd w:val="clear" w:color="auto" w:fill="auto"/>
                  <w:vAlign w:val="center"/>
                </w:tcPr>
                <w:p w14:paraId="61EB33E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200mg/L</w:t>
                  </w:r>
                </w:p>
              </w:tc>
              <w:tc>
                <w:tcPr>
                  <w:tcW w:w="1168" w:type="dxa"/>
                  <w:tcBorders>
                    <w:tl2br w:val="nil"/>
                    <w:tr2bl w:val="nil"/>
                  </w:tcBorders>
                  <w:shd w:val="clear" w:color="auto" w:fill="auto"/>
                  <w:vAlign w:val="center"/>
                </w:tcPr>
                <w:p w14:paraId="1A70A5E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0.12t/a</w:t>
                  </w:r>
                </w:p>
              </w:tc>
              <w:tc>
                <w:tcPr>
                  <w:tcW w:w="1381" w:type="dxa"/>
                  <w:vMerge w:val="continue"/>
                  <w:tcBorders>
                    <w:tl2br w:val="nil"/>
                    <w:tr2bl w:val="nil"/>
                  </w:tcBorders>
                  <w:shd w:val="clear" w:color="auto" w:fill="auto"/>
                  <w:vAlign w:val="center"/>
                </w:tcPr>
                <w:p w14:paraId="7FF2198C">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7A8EC712">
                  <w:pPr>
                    <w:jc w:val="center"/>
                    <w:rPr>
                      <w:rFonts w:hint="default" w:ascii="Times New Roman" w:hAnsi="Times New Roman" w:eastAsia="宋体" w:cs="Times New Roman"/>
                      <w:i w:val="0"/>
                      <w:iCs w:val="0"/>
                      <w:color w:val="auto"/>
                      <w:sz w:val="21"/>
                      <w:szCs w:val="21"/>
                      <w:u w:val="none"/>
                    </w:rPr>
                  </w:pPr>
                </w:p>
              </w:tc>
            </w:tr>
            <w:tr w14:paraId="2F1084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688139B8">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15A69FDE">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3FE58BC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1004" w:type="dxa"/>
                  <w:tcBorders>
                    <w:tl2br w:val="nil"/>
                    <w:tr2bl w:val="nil"/>
                  </w:tcBorders>
                  <w:shd w:val="clear" w:color="auto" w:fill="auto"/>
                  <w:vAlign w:val="center"/>
                </w:tcPr>
                <w:p w14:paraId="26B3D94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52.2mg/L</w:t>
                  </w:r>
                </w:p>
              </w:tc>
              <w:tc>
                <w:tcPr>
                  <w:tcW w:w="1168" w:type="dxa"/>
                  <w:tcBorders>
                    <w:tl2br w:val="nil"/>
                    <w:tr2bl w:val="nil"/>
                  </w:tcBorders>
                  <w:shd w:val="clear" w:color="auto" w:fill="auto"/>
                  <w:vAlign w:val="center"/>
                </w:tcPr>
                <w:p w14:paraId="2ACB3E0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0.031t/a</w:t>
                  </w:r>
                </w:p>
              </w:tc>
              <w:tc>
                <w:tcPr>
                  <w:tcW w:w="1381" w:type="dxa"/>
                  <w:vMerge w:val="continue"/>
                  <w:tcBorders>
                    <w:tl2br w:val="nil"/>
                    <w:tr2bl w:val="nil"/>
                  </w:tcBorders>
                  <w:shd w:val="clear" w:color="auto" w:fill="auto"/>
                  <w:vAlign w:val="center"/>
                </w:tcPr>
                <w:p w14:paraId="7C697233">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259896A4">
                  <w:pPr>
                    <w:jc w:val="center"/>
                    <w:rPr>
                      <w:rFonts w:hint="default" w:ascii="Times New Roman" w:hAnsi="Times New Roman" w:eastAsia="宋体" w:cs="Times New Roman"/>
                      <w:i w:val="0"/>
                      <w:iCs w:val="0"/>
                      <w:color w:val="auto"/>
                      <w:sz w:val="21"/>
                      <w:szCs w:val="21"/>
                      <w:u w:val="none"/>
                    </w:rPr>
                  </w:pPr>
                </w:p>
              </w:tc>
            </w:tr>
            <w:tr w14:paraId="5280B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7B673935">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6DF750F6">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061C3D5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TN</w:t>
                  </w:r>
                </w:p>
              </w:tc>
              <w:tc>
                <w:tcPr>
                  <w:tcW w:w="1004" w:type="dxa"/>
                  <w:tcBorders>
                    <w:tl2br w:val="nil"/>
                    <w:tr2bl w:val="nil"/>
                  </w:tcBorders>
                  <w:shd w:val="clear" w:color="auto" w:fill="auto"/>
                  <w:vAlign w:val="center"/>
                </w:tcPr>
                <w:p w14:paraId="2CC3431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71.2mg/L</w:t>
                  </w:r>
                </w:p>
              </w:tc>
              <w:tc>
                <w:tcPr>
                  <w:tcW w:w="1168" w:type="dxa"/>
                  <w:tcBorders>
                    <w:tl2br w:val="nil"/>
                    <w:tr2bl w:val="nil"/>
                  </w:tcBorders>
                  <w:shd w:val="clear" w:color="auto" w:fill="auto"/>
                  <w:vAlign w:val="center"/>
                </w:tcPr>
                <w:p w14:paraId="53ABCC4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0.043t/a</w:t>
                  </w:r>
                </w:p>
              </w:tc>
              <w:tc>
                <w:tcPr>
                  <w:tcW w:w="1381" w:type="dxa"/>
                  <w:vMerge w:val="continue"/>
                  <w:tcBorders>
                    <w:tl2br w:val="nil"/>
                    <w:tr2bl w:val="nil"/>
                  </w:tcBorders>
                  <w:shd w:val="clear" w:color="auto" w:fill="auto"/>
                  <w:vAlign w:val="center"/>
                </w:tcPr>
                <w:p w14:paraId="198BFD43">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397A3443">
                  <w:pPr>
                    <w:jc w:val="center"/>
                    <w:rPr>
                      <w:rFonts w:hint="default" w:ascii="Times New Roman" w:hAnsi="Times New Roman" w:eastAsia="宋体" w:cs="Times New Roman"/>
                      <w:i w:val="0"/>
                      <w:iCs w:val="0"/>
                      <w:color w:val="auto"/>
                      <w:sz w:val="21"/>
                      <w:szCs w:val="21"/>
                      <w:u w:val="none"/>
                    </w:rPr>
                  </w:pPr>
                </w:p>
              </w:tc>
            </w:tr>
            <w:tr w14:paraId="0236CD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74" w:hRule="atLeast"/>
                <w:jc w:val="center"/>
              </w:trPr>
              <w:tc>
                <w:tcPr>
                  <w:tcW w:w="654" w:type="dxa"/>
                  <w:vMerge w:val="continue"/>
                  <w:tcBorders>
                    <w:tl2br w:val="nil"/>
                    <w:tr2bl w:val="nil"/>
                  </w:tcBorders>
                  <w:shd w:val="clear" w:color="auto" w:fill="auto"/>
                  <w:vAlign w:val="center"/>
                </w:tcPr>
                <w:p w14:paraId="76500956">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noWrap/>
                  <w:vAlign w:val="center"/>
                </w:tcPr>
                <w:p w14:paraId="397C6B5F">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0EFE9ED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TP</w:t>
                  </w:r>
                </w:p>
              </w:tc>
              <w:tc>
                <w:tcPr>
                  <w:tcW w:w="1004" w:type="dxa"/>
                  <w:tcBorders>
                    <w:tl2br w:val="nil"/>
                    <w:tr2bl w:val="nil"/>
                  </w:tcBorders>
                  <w:shd w:val="clear" w:color="auto" w:fill="auto"/>
                  <w:vAlign w:val="center"/>
                </w:tcPr>
                <w:p w14:paraId="7C55B6B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5.12mg/L</w:t>
                  </w:r>
                </w:p>
              </w:tc>
              <w:tc>
                <w:tcPr>
                  <w:tcW w:w="1168" w:type="dxa"/>
                  <w:tcBorders>
                    <w:tl2br w:val="nil"/>
                    <w:tr2bl w:val="nil"/>
                  </w:tcBorders>
                  <w:shd w:val="clear" w:color="auto" w:fill="auto"/>
                  <w:vAlign w:val="center"/>
                </w:tcPr>
                <w:p w14:paraId="2D355F7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0.0031t/a</w:t>
                  </w:r>
                </w:p>
              </w:tc>
              <w:tc>
                <w:tcPr>
                  <w:tcW w:w="1381" w:type="dxa"/>
                  <w:vMerge w:val="continue"/>
                  <w:tcBorders>
                    <w:tl2br w:val="nil"/>
                    <w:tr2bl w:val="nil"/>
                  </w:tcBorders>
                  <w:shd w:val="clear" w:color="auto" w:fill="auto"/>
                  <w:vAlign w:val="center"/>
                </w:tcPr>
                <w:p w14:paraId="354D36E3">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16F7D9F6">
                  <w:pPr>
                    <w:jc w:val="center"/>
                    <w:rPr>
                      <w:rFonts w:hint="default" w:ascii="Times New Roman" w:hAnsi="Times New Roman" w:eastAsia="宋体" w:cs="Times New Roman"/>
                      <w:i w:val="0"/>
                      <w:iCs w:val="0"/>
                      <w:color w:val="auto"/>
                      <w:sz w:val="21"/>
                      <w:szCs w:val="21"/>
                      <w:u w:val="none"/>
                    </w:rPr>
                  </w:pPr>
                </w:p>
              </w:tc>
            </w:tr>
            <w:tr w14:paraId="3B3ABE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6" w:hRule="atLeast"/>
                <w:jc w:val="center"/>
              </w:trPr>
              <w:tc>
                <w:tcPr>
                  <w:tcW w:w="654" w:type="dxa"/>
                  <w:vMerge w:val="restart"/>
                  <w:tcBorders>
                    <w:tl2br w:val="nil"/>
                    <w:tr2bl w:val="nil"/>
                  </w:tcBorders>
                  <w:shd w:val="clear" w:color="auto" w:fill="auto"/>
                  <w:vAlign w:val="center"/>
                </w:tcPr>
                <w:p w14:paraId="1578AE0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固体废物</w:t>
                  </w:r>
                </w:p>
              </w:tc>
              <w:tc>
                <w:tcPr>
                  <w:tcW w:w="1929" w:type="dxa"/>
                  <w:gridSpan w:val="2"/>
                  <w:tcBorders>
                    <w:tl2br w:val="nil"/>
                    <w:tr2bl w:val="nil"/>
                  </w:tcBorders>
                  <w:shd w:val="clear" w:color="auto" w:fill="auto"/>
                  <w:vAlign w:val="center"/>
                </w:tcPr>
                <w:p w14:paraId="2DDFCFC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生活垃圾</w:t>
                  </w:r>
                </w:p>
              </w:tc>
              <w:tc>
                <w:tcPr>
                  <w:tcW w:w="1004" w:type="dxa"/>
                  <w:tcBorders>
                    <w:tl2br w:val="nil"/>
                    <w:tr2bl w:val="nil"/>
                  </w:tcBorders>
                  <w:shd w:val="clear" w:color="auto" w:fill="auto"/>
                  <w:vAlign w:val="center"/>
                </w:tcPr>
                <w:p w14:paraId="2087F61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3.7t/a</w:t>
                  </w:r>
                </w:p>
              </w:tc>
              <w:tc>
                <w:tcPr>
                  <w:tcW w:w="1168" w:type="dxa"/>
                  <w:tcBorders>
                    <w:tl2br w:val="nil"/>
                    <w:tr2bl w:val="nil"/>
                  </w:tcBorders>
                  <w:shd w:val="clear" w:color="auto" w:fill="auto"/>
                  <w:vAlign w:val="center"/>
                </w:tcPr>
                <w:p w14:paraId="2B7FE6B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3.7t/a</w:t>
                  </w:r>
                </w:p>
              </w:tc>
              <w:tc>
                <w:tcPr>
                  <w:tcW w:w="1381" w:type="dxa"/>
                  <w:tcBorders>
                    <w:tl2br w:val="nil"/>
                    <w:tr2bl w:val="nil"/>
                  </w:tcBorders>
                  <w:shd w:val="clear" w:color="auto" w:fill="auto"/>
                  <w:vAlign w:val="center"/>
                </w:tcPr>
                <w:p w14:paraId="5D40FE89">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集中收集，定期交由当地环卫部门处置</w:t>
                  </w:r>
                </w:p>
              </w:tc>
              <w:tc>
                <w:tcPr>
                  <w:tcW w:w="1641" w:type="dxa"/>
                  <w:tcBorders>
                    <w:tl2br w:val="nil"/>
                    <w:tr2bl w:val="nil"/>
                  </w:tcBorders>
                  <w:shd w:val="clear" w:color="auto" w:fill="auto"/>
                  <w:noWrap/>
                  <w:vAlign w:val="center"/>
                </w:tcPr>
                <w:p w14:paraId="64BC61CC">
                  <w:pPr>
                    <w:jc w:val="both"/>
                    <w:rPr>
                      <w:rFonts w:hint="default" w:ascii="Times New Roman" w:hAnsi="Times New Roman" w:eastAsia="宋体" w:cs="Times New Roman"/>
                      <w:i w:val="0"/>
                      <w:iCs w:val="0"/>
                      <w:color w:val="auto"/>
                      <w:sz w:val="21"/>
                      <w:szCs w:val="21"/>
                      <w:u w:val="none"/>
                    </w:rPr>
                  </w:pPr>
                </w:p>
              </w:tc>
            </w:tr>
            <w:tr w14:paraId="5C11DD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2" w:hRule="atLeast"/>
                <w:jc w:val="center"/>
              </w:trPr>
              <w:tc>
                <w:tcPr>
                  <w:tcW w:w="654" w:type="dxa"/>
                  <w:vMerge w:val="continue"/>
                  <w:tcBorders>
                    <w:tl2br w:val="nil"/>
                    <w:tr2bl w:val="nil"/>
                  </w:tcBorders>
                  <w:shd w:val="clear" w:color="auto" w:fill="auto"/>
                  <w:vAlign w:val="center"/>
                </w:tcPr>
                <w:p w14:paraId="002176C1">
                  <w:pPr>
                    <w:jc w:val="center"/>
                    <w:rPr>
                      <w:rFonts w:hint="default" w:ascii="Times New Roman" w:hAnsi="Times New Roman" w:eastAsia="宋体" w:cs="Times New Roman"/>
                      <w:i w:val="0"/>
                      <w:iCs w:val="0"/>
                      <w:color w:val="auto"/>
                      <w:sz w:val="21"/>
                      <w:szCs w:val="21"/>
                      <w:u w:val="none"/>
                    </w:rPr>
                  </w:pPr>
                </w:p>
              </w:tc>
              <w:tc>
                <w:tcPr>
                  <w:tcW w:w="968" w:type="dxa"/>
                  <w:vMerge w:val="restart"/>
                  <w:tcBorders>
                    <w:tl2br w:val="nil"/>
                    <w:tr2bl w:val="nil"/>
                  </w:tcBorders>
                  <w:shd w:val="clear" w:color="auto" w:fill="auto"/>
                  <w:vAlign w:val="center"/>
                </w:tcPr>
                <w:p w14:paraId="0D81CE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一般</w:t>
                  </w:r>
                </w:p>
                <w:p w14:paraId="175BD8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固废</w:t>
                  </w:r>
                </w:p>
              </w:tc>
              <w:tc>
                <w:tcPr>
                  <w:tcW w:w="961" w:type="dxa"/>
                  <w:vMerge w:val="restart"/>
                  <w:tcBorders>
                    <w:tl2br w:val="nil"/>
                    <w:tr2bl w:val="nil"/>
                  </w:tcBorders>
                  <w:shd w:val="clear" w:color="auto" w:fill="auto"/>
                  <w:vAlign w:val="center"/>
                </w:tcPr>
                <w:p w14:paraId="6E60554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废包装材料</w:t>
                  </w:r>
                </w:p>
              </w:tc>
              <w:tc>
                <w:tcPr>
                  <w:tcW w:w="1004" w:type="dxa"/>
                  <w:vMerge w:val="restart"/>
                  <w:tcBorders>
                    <w:tl2br w:val="nil"/>
                    <w:tr2bl w:val="nil"/>
                  </w:tcBorders>
                  <w:shd w:val="clear" w:color="auto" w:fill="auto"/>
                  <w:vAlign w:val="center"/>
                </w:tcPr>
                <w:p w14:paraId="35C39A6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0.5t/a</w:t>
                  </w:r>
                </w:p>
              </w:tc>
              <w:tc>
                <w:tcPr>
                  <w:tcW w:w="1168" w:type="dxa"/>
                  <w:vMerge w:val="restart"/>
                  <w:tcBorders>
                    <w:tl2br w:val="nil"/>
                    <w:tr2bl w:val="nil"/>
                  </w:tcBorders>
                  <w:shd w:val="clear" w:color="auto" w:fill="auto"/>
                  <w:vAlign w:val="center"/>
                </w:tcPr>
                <w:p w14:paraId="5E1E4AB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0.5t/a</w:t>
                  </w:r>
                </w:p>
              </w:tc>
              <w:tc>
                <w:tcPr>
                  <w:tcW w:w="1381" w:type="dxa"/>
                  <w:vMerge w:val="restart"/>
                  <w:tcBorders>
                    <w:tl2br w:val="nil"/>
                    <w:tr2bl w:val="nil"/>
                  </w:tcBorders>
                  <w:shd w:val="clear" w:color="auto" w:fill="auto"/>
                  <w:vAlign w:val="center"/>
                </w:tcPr>
                <w:p w14:paraId="76AB7DF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废包装材料产生后集中收集，定期外售至废品回收站</w:t>
                  </w:r>
                </w:p>
              </w:tc>
              <w:tc>
                <w:tcPr>
                  <w:tcW w:w="1641" w:type="dxa"/>
                  <w:vMerge w:val="restart"/>
                  <w:tcBorders>
                    <w:tl2br w:val="nil"/>
                    <w:tr2bl w:val="nil"/>
                  </w:tcBorders>
                  <w:shd w:val="clear" w:color="auto" w:fill="auto"/>
                  <w:noWrap/>
                  <w:vAlign w:val="center"/>
                </w:tcPr>
                <w:p w14:paraId="1EA06287">
                  <w:pPr>
                    <w:jc w:val="center"/>
                    <w:rPr>
                      <w:rFonts w:hint="default" w:ascii="Times New Roman" w:hAnsi="Times New Roman" w:eastAsia="宋体" w:cs="Times New Roman"/>
                      <w:i w:val="0"/>
                      <w:iCs w:val="0"/>
                      <w:color w:val="auto"/>
                      <w:sz w:val="21"/>
                      <w:szCs w:val="21"/>
                      <w:u w:val="none"/>
                    </w:rPr>
                  </w:pPr>
                </w:p>
              </w:tc>
            </w:tr>
            <w:tr w14:paraId="49CC6E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49" w:hRule="atLeast"/>
                <w:jc w:val="center"/>
              </w:trPr>
              <w:tc>
                <w:tcPr>
                  <w:tcW w:w="654" w:type="dxa"/>
                  <w:vMerge w:val="continue"/>
                  <w:tcBorders>
                    <w:tl2br w:val="nil"/>
                    <w:tr2bl w:val="nil"/>
                  </w:tcBorders>
                  <w:shd w:val="clear" w:color="auto" w:fill="auto"/>
                  <w:vAlign w:val="center"/>
                </w:tcPr>
                <w:p w14:paraId="79D4DD76">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vAlign w:val="center"/>
                </w:tcPr>
                <w:p w14:paraId="53325667">
                  <w:pPr>
                    <w:jc w:val="center"/>
                    <w:rPr>
                      <w:rFonts w:hint="default" w:ascii="Times New Roman" w:hAnsi="Times New Roman" w:eastAsia="宋体" w:cs="Times New Roman"/>
                      <w:i w:val="0"/>
                      <w:iCs w:val="0"/>
                      <w:color w:val="auto"/>
                      <w:sz w:val="21"/>
                      <w:szCs w:val="21"/>
                      <w:u w:val="none"/>
                    </w:rPr>
                  </w:pPr>
                </w:p>
              </w:tc>
              <w:tc>
                <w:tcPr>
                  <w:tcW w:w="961" w:type="dxa"/>
                  <w:vMerge w:val="continue"/>
                  <w:tcBorders>
                    <w:tl2br w:val="nil"/>
                    <w:tr2bl w:val="nil"/>
                  </w:tcBorders>
                  <w:shd w:val="clear" w:color="auto" w:fill="auto"/>
                  <w:vAlign w:val="center"/>
                </w:tcPr>
                <w:p w14:paraId="34FB39CD">
                  <w:pPr>
                    <w:jc w:val="center"/>
                    <w:rPr>
                      <w:rFonts w:hint="default" w:ascii="Times New Roman" w:hAnsi="Times New Roman" w:eastAsia="宋体" w:cs="Times New Roman"/>
                      <w:i w:val="0"/>
                      <w:iCs w:val="0"/>
                      <w:color w:val="auto"/>
                      <w:sz w:val="21"/>
                      <w:szCs w:val="21"/>
                      <w:u w:val="none"/>
                    </w:rPr>
                  </w:pPr>
                </w:p>
              </w:tc>
              <w:tc>
                <w:tcPr>
                  <w:tcW w:w="1004" w:type="dxa"/>
                  <w:vMerge w:val="continue"/>
                  <w:tcBorders>
                    <w:tl2br w:val="nil"/>
                    <w:tr2bl w:val="nil"/>
                  </w:tcBorders>
                  <w:shd w:val="clear" w:color="auto" w:fill="auto"/>
                  <w:vAlign w:val="center"/>
                </w:tcPr>
                <w:p w14:paraId="33E90271">
                  <w:pPr>
                    <w:jc w:val="center"/>
                    <w:rPr>
                      <w:rFonts w:hint="default" w:ascii="Times New Roman" w:hAnsi="Times New Roman" w:eastAsia="宋体" w:cs="Times New Roman"/>
                      <w:i w:val="0"/>
                      <w:iCs w:val="0"/>
                      <w:color w:val="auto"/>
                      <w:sz w:val="21"/>
                      <w:szCs w:val="21"/>
                      <w:u w:val="none"/>
                    </w:rPr>
                  </w:pPr>
                </w:p>
              </w:tc>
              <w:tc>
                <w:tcPr>
                  <w:tcW w:w="1168" w:type="dxa"/>
                  <w:vMerge w:val="continue"/>
                  <w:tcBorders>
                    <w:tl2br w:val="nil"/>
                    <w:tr2bl w:val="nil"/>
                  </w:tcBorders>
                  <w:shd w:val="clear" w:color="auto" w:fill="auto"/>
                  <w:vAlign w:val="center"/>
                </w:tcPr>
                <w:p w14:paraId="4ED2361E">
                  <w:pPr>
                    <w:jc w:val="center"/>
                    <w:rPr>
                      <w:rFonts w:hint="default" w:ascii="Times New Roman" w:hAnsi="Times New Roman" w:eastAsia="宋体" w:cs="Times New Roman"/>
                      <w:i w:val="0"/>
                      <w:iCs w:val="0"/>
                      <w:color w:val="auto"/>
                      <w:sz w:val="21"/>
                      <w:szCs w:val="21"/>
                      <w:u w:val="none"/>
                    </w:rPr>
                  </w:pPr>
                </w:p>
              </w:tc>
              <w:tc>
                <w:tcPr>
                  <w:tcW w:w="1381" w:type="dxa"/>
                  <w:vMerge w:val="continue"/>
                  <w:tcBorders>
                    <w:tl2br w:val="nil"/>
                    <w:tr2bl w:val="nil"/>
                  </w:tcBorders>
                  <w:shd w:val="clear" w:color="auto" w:fill="auto"/>
                  <w:vAlign w:val="center"/>
                </w:tcPr>
                <w:p w14:paraId="7E63FC14">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noWrap/>
                  <w:vAlign w:val="center"/>
                </w:tcPr>
                <w:p w14:paraId="65D08277">
                  <w:pPr>
                    <w:jc w:val="center"/>
                    <w:rPr>
                      <w:rFonts w:hint="default" w:ascii="Times New Roman" w:hAnsi="Times New Roman" w:eastAsia="宋体" w:cs="Times New Roman"/>
                      <w:i w:val="0"/>
                      <w:iCs w:val="0"/>
                      <w:color w:val="auto"/>
                      <w:sz w:val="21"/>
                      <w:szCs w:val="21"/>
                      <w:u w:val="none"/>
                    </w:rPr>
                  </w:pPr>
                </w:p>
              </w:tc>
            </w:tr>
            <w:tr w14:paraId="66484E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5" w:hRule="atLeast"/>
                <w:jc w:val="center"/>
              </w:trPr>
              <w:tc>
                <w:tcPr>
                  <w:tcW w:w="654" w:type="dxa"/>
                  <w:vMerge w:val="continue"/>
                  <w:tcBorders>
                    <w:tl2br w:val="nil"/>
                    <w:tr2bl w:val="nil"/>
                  </w:tcBorders>
                  <w:shd w:val="clear" w:color="auto" w:fill="auto"/>
                  <w:vAlign w:val="center"/>
                </w:tcPr>
                <w:p w14:paraId="21D56F08">
                  <w:pPr>
                    <w:jc w:val="center"/>
                    <w:rPr>
                      <w:rFonts w:hint="default" w:ascii="Times New Roman" w:hAnsi="Times New Roman" w:eastAsia="宋体" w:cs="Times New Roman"/>
                      <w:i w:val="0"/>
                      <w:iCs w:val="0"/>
                      <w:color w:val="auto"/>
                      <w:sz w:val="21"/>
                      <w:szCs w:val="21"/>
                      <w:u w:val="none"/>
                    </w:rPr>
                  </w:pPr>
                </w:p>
              </w:tc>
              <w:tc>
                <w:tcPr>
                  <w:tcW w:w="968" w:type="dxa"/>
                  <w:vMerge w:val="restart"/>
                  <w:tcBorders>
                    <w:tl2br w:val="nil"/>
                    <w:tr2bl w:val="nil"/>
                  </w:tcBorders>
                  <w:shd w:val="clear" w:color="auto" w:fill="auto"/>
                  <w:vAlign w:val="center"/>
                </w:tcPr>
                <w:p w14:paraId="417761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危险</w:t>
                  </w:r>
                </w:p>
                <w:p w14:paraId="3F183DD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废物</w:t>
                  </w:r>
                </w:p>
              </w:tc>
              <w:tc>
                <w:tcPr>
                  <w:tcW w:w="961" w:type="dxa"/>
                  <w:tcBorders>
                    <w:tl2br w:val="nil"/>
                    <w:tr2bl w:val="nil"/>
                  </w:tcBorders>
                  <w:shd w:val="clear" w:color="auto" w:fill="auto"/>
                  <w:vAlign w:val="center"/>
                </w:tcPr>
                <w:p w14:paraId="1C8360B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实验室废液</w:t>
                  </w:r>
                </w:p>
              </w:tc>
              <w:tc>
                <w:tcPr>
                  <w:tcW w:w="1004" w:type="dxa"/>
                  <w:tcBorders>
                    <w:tl2br w:val="nil"/>
                    <w:tr2bl w:val="nil"/>
                  </w:tcBorders>
                  <w:shd w:val="clear" w:color="auto" w:fill="auto"/>
                  <w:vAlign w:val="center"/>
                </w:tcPr>
                <w:p w14:paraId="784CC434">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color w:val="auto"/>
                      <w:kern w:val="0"/>
                      <w:szCs w:val="21"/>
                      <w:u w:val="none"/>
                      <w:lang w:bidi="ar"/>
                    </w:rPr>
                    <w:t>13.25t/a</w:t>
                  </w:r>
                </w:p>
              </w:tc>
              <w:tc>
                <w:tcPr>
                  <w:tcW w:w="1168" w:type="dxa"/>
                  <w:tcBorders>
                    <w:tl2br w:val="nil"/>
                    <w:tr2bl w:val="nil"/>
                  </w:tcBorders>
                  <w:shd w:val="clear" w:color="auto" w:fill="auto"/>
                  <w:vAlign w:val="center"/>
                </w:tcPr>
                <w:p w14:paraId="592F19CE">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color w:val="auto"/>
                      <w:kern w:val="0"/>
                      <w:szCs w:val="21"/>
                      <w:u w:val="none"/>
                      <w:lang w:bidi="ar"/>
                    </w:rPr>
                    <w:t>13.25t/a</w:t>
                  </w:r>
                </w:p>
              </w:tc>
              <w:tc>
                <w:tcPr>
                  <w:tcW w:w="1381" w:type="dxa"/>
                  <w:vMerge w:val="restart"/>
                  <w:tcBorders>
                    <w:tl2br w:val="nil"/>
                    <w:tr2bl w:val="nil"/>
                  </w:tcBorders>
                  <w:shd w:val="clear" w:color="auto" w:fill="auto"/>
                  <w:vAlign w:val="center"/>
                </w:tcPr>
                <w:p w14:paraId="135A00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暂存危废贮存库，定期委托陕西水发环境有限公司处置</w:t>
                  </w:r>
                </w:p>
              </w:tc>
              <w:tc>
                <w:tcPr>
                  <w:tcW w:w="1641" w:type="dxa"/>
                  <w:vMerge w:val="restart"/>
                  <w:tcBorders>
                    <w:tl2br w:val="nil"/>
                    <w:tr2bl w:val="nil"/>
                  </w:tcBorders>
                  <w:shd w:val="clear" w:color="auto" w:fill="auto"/>
                  <w:vAlign w:val="center"/>
                </w:tcPr>
                <w:p w14:paraId="61EAF00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《危险废物贮存污染控制标准》（GB18597-2023）标准</w:t>
                  </w:r>
                </w:p>
              </w:tc>
            </w:tr>
            <w:tr w14:paraId="169ABC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97" w:hRule="atLeast"/>
                <w:jc w:val="center"/>
              </w:trPr>
              <w:tc>
                <w:tcPr>
                  <w:tcW w:w="654" w:type="dxa"/>
                  <w:vMerge w:val="continue"/>
                  <w:tcBorders>
                    <w:tl2br w:val="nil"/>
                    <w:tr2bl w:val="nil"/>
                  </w:tcBorders>
                  <w:shd w:val="clear" w:color="auto" w:fill="auto"/>
                  <w:vAlign w:val="center"/>
                </w:tcPr>
                <w:p w14:paraId="243EABDB">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vAlign w:val="center"/>
                </w:tcPr>
                <w:p w14:paraId="368ADB3F">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3AE3AE0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废弃样品及分析产物</w:t>
                  </w:r>
                </w:p>
              </w:tc>
              <w:tc>
                <w:tcPr>
                  <w:tcW w:w="1004" w:type="dxa"/>
                  <w:tcBorders>
                    <w:tl2br w:val="nil"/>
                    <w:tr2bl w:val="nil"/>
                  </w:tcBorders>
                  <w:shd w:val="clear" w:color="auto" w:fill="auto"/>
                  <w:vAlign w:val="center"/>
                </w:tcPr>
                <w:p w14:paraId="0BA1FE82">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0.01t/a</w:t>
                  </w:r>
                </w:p>
              </w:tc>
              <w:tc>
                <w:tcPr>
                  <w:tcW w:w="1168" w:type="dxa"/>
                  <w:tcBorders>
                    <w:tl2br w:val="nil"/>
                    <w:tr2bl w:val="nil"/>
                  </w:tcBorders>
                  <w:shd w:val="clear" w:color="auto" w:fill="auto"/>
                  <w:vAlign w:val="center"/>
                </w:tcPr>
                <w:p w14:paraId="6A95095B">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0.01t/a</w:t>
                  </w:r>
                </w:p>
              </w:tc>
              <w:tc>
                <w:tcPr>
                  <w:tcW w:w="1381" w:type="dxa"/>
                  <w:vMerge w:val="continue"/>
                  <w:tcBorders>
                    <w:tl2br w:val="nil"/>
                    <w:tr2bl w:val="nil"/>
                  </w:tcBorders>
                  <w:shd w:val="clear" w:color="auto" w:fill="auto"/>
                  <w:vAlign w:val="center"/>
                </w:tcPr>
                <w:p w14:paraId="11B52073">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400FD8FD">
                  <w:pPr>
                    <w:jc w:val="center"/>
                    <w:rPr>
                      <w:rFonts w:hint="default" w:ascii="Times New Roman" w:hAnsi="Times New Roman" w:eastAsia="宋体" w:cs="Times New Roman"/>
                      <w:i w:val="0"/>
                      <w:iCs w:val="0"/>
                      <w:color w:val="auto"/>
                      <w:sz w:val="21"/>
                      <w:szCs w:val="21"/>
                      <w:u w:val="none"/>
                    </w:rPr>
                  </w:pPr>
                </w:p>
              </w:tc>
            </w:tr>
            <w:tr w14:paraId="08559E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4" w:hRule="atLeast"/>
                <w:jc w:val="center"/>
              </w:trPr>
              <w:tc>
                <w:tcPr>
                  <w:tcW w:w="654" w:type="dxa"/>
                  <w:vMerge w:val="continue"/>
                  <w:tcBorders>
                    <w:tl2br w:val="nil"/>
                    <w:tr2bl w:val="nil"/>
                  </w:tcBorders>
                  <w:shd w:val="clear" w:color="auto" w:fill="auto"/>
                  <w:vAlign w:val="center"/>
                </w:tcPr>
                <w:p w14:paraId="0E14C570">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vAlign w:val="center"/>
                </w:tcPr>
                <w:p w14:paraId="209F8AC3">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79BB7CD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废化学试容器</w:t>
                  </w:r>
                </w:p>
              </w:tc>
              <w:tc>
                <w:tcPr>
                  <w:tcW w:w="1004" w:type="dxa"/>
                  <w:tcBorders>
                    <w:tl2br w:val="nil"/>
                    <w:tr2bl w:val="nil"/>
                  </w:tcBorders>
                  <w:shd w:val="clear" w:color="auto" w:fill="auto"/>
                  <w:vAlign w:val="center"/>
                </w:tcPr>
                <w:p w14:paraId="2D60CF08">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0.01t/a</w:t>
                  </w:r>
                </w:p>
              </w:tc>
              <w:tc>
                <w:tcPr>
                  <w:tcW w:w="1168" w:type="dxa"/>
                  <w:tcBorders>
                    <w:tl2br w:val="nil"/>
                    <w:tr2bl w:val="nil"/>
                  </w:tcBorders>
                  <w:shd w:val="clear" w:color="auto" w:fill="auto"/>
                  <w:vAlign w:val="center"/>
                </w:tcPr>
                <w:p w14:paraId="6EA34140">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0.01t/a</w:t>
                  </w:r>
                </w:p>
              </w:tc>
              <w:tc>
                <w:tcPr>
                  <w:tcW w:w="1381" w:type="dxa"/>
                  <w:vMerge w:val="continue"/>
                  <w:tcBorders>
                    <w:tl2br w:val="nil"/>
                    <w:tr2bl w:val="nil"/>
                  </w:tcBorders>
                  <w:shd w:val="clear" w:color="auto" w:fill="auto"/>
                  <w:vAlign w:val="center"/>
                </w:tcPr>
                <w:p w14:paraId="19A9D868">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35437054">
                  <w:pPr>
                    <w:jc w:val="center"/>
                    <w:rPr>
                      <w:rFonts w:hint="default" w:ascii="Times New Roman" w:hAnsi="Times New Roman" w:eastAsia="宋体" w:cs="Times New Roman"/>
                      <w:i w:val="0"/>
                      <w:iCs w:val="0"/>
                      <w:color w:val="auto"/>
                      <w:sz w:val="21"/>
                      <w:szCs w:val="21"/>
                      <w:u w:val="none"/>
                    </w:rPr>
                  </w:pPr>
                </w:p>
              </w:tc>
            </w:tr>
            <w:tr w14:paraId="2A6B9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4" w:hRule="atLeast"/>
                <w:jc w:val="center"/>
              </w:trPr>
              <w:tc>
                <w:tcPr>
                  <w:tcW w:w="654" w:type="dxa"/>
                  <w:vMerge w:val="continue"/>
                  <w:tcBorders>
                    <w:tl2br w:val="nil"/>
                    <w:tr2bl w:val="nil"/>
                  </w:tcBorders>
                  <w:shd w:val="clear" w:color="auto" w:fill="auto"/>
                  <w:vAlign w:val="center"/>
                </w:tcPr>
                <w:p w14:paraId="19066F2F">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vAlign w:val="center"/>
                </w:tcPr>
                <w:p w14:paraId="6B823583">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45C57E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废活</w:t>
                  </w:r>
                </w:p>
                <w:p w14:paraId="74AA7C8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性炭</w:t>
                  </w:r>
                </w:p>
              </w:tc>
              <w:tc>
                <w:tcPr>
                  <w:tcW w:w="1004" w:type="dxa"/>
                  <w:tcBorders>
                    <w:tl2br w:val="nil"/>
                    <w:tr2bl w:val="nil"/>
                  </w:tcBorders>
                  <w:shd w:val="clear" w:color="auto" w:fill="auto"/>
                  <w:vAlign w:val="center"/>
                </w:tcPr>
                <w:p w14:paraId="52B79352">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eastAsia"/>
                      <w:color w:val="auto"/>
                      <w:kern w:val="0"/>
                      <w:szCs w:val="21"/>
                      <w:u w:val="none"/>
                      <w:lang w:val="en-US" w:eastAsia="zh-CN" w:bidi="ar"/>
                    </w:rPr>
                    <w:t>0.65t/a</w:t>
                  </w:r>
                </w:p>
              </w:tc>
              <w:tc>
                <w:tcPr>
                  <w:tcW w:w="1168" w:type="dxa"/>
                  <w:tcBorders>
                    <w:tl2br w:val="nil"/>
                    <w:tr2bl w:val="nil"/>
                  </w:tcBorders>
                  <w:shd w:val="clear" w:color="auto" w:fill="auto"/>
                  <w:vAlign w:val="center"/>
                </w:tcPr>
                <w:p w14:paraId="7A13844D">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eastAsia" w:cs="Times New Roman"/>
                      <w:spacing w:val="4"/>
                      <w:sz w:val="20"/>
                      <w:szCs w:val="20"/>
                      <w:lang w:val="en-US" w:eastAsia="zh-CN"/>
                    </w:rPr>
                    <w:t>0.65</w:t>
                  </w:r>
                  <w:r>
                    <w:rPr>
                      <w:rFonts w:hint="eastAsia" w:ascii="Times New Roman" w:hAnsi="Times New Roman" w:eastAsia="宋体" w:cs="Times New Roman"/>
                      <w:spacing w:val="4"/>
                      <w:sz w:val="20"/>
                      <w:szCs w:val="20"/>
                      <w:lang w:val="en-US" w:eastAsia="zh-CN"/>
                    </w:rPr>
                    <w:t>t/a</w:t>
                  </w:r>
                </w:p>
              </w:tc>
              <w:tc>
                <w:tcPr>
                  <w:tcW w:w="1381" w:type="dxa"/>
                  <w:vMerge w:val="continue"/>
                  <w:tcBorders>
                    <w:tl2br w:val="nil"/>
                    <w:tr2bl w:val="nil"/>
                  </w:tcBorders>
                  <w:shd w:val="clear" w:color="auto" w:fill="auto"/>
                  <w:vAlign w:val="center"/>
                </w:tcPr>
                <w:p w14:paraId="0FCC0248">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1BC85ACA">
                  <w:pPr>
                    <w:jc w:val="center"/>
                    <w:rPr>
                      <w:rFonts w:hint="default" w:ascii="Times New Roman" w:hAnsi="Times New Roman" w:eastAsia="宋体" w:cs="Times New Roman"/>
                      <w:i w:val="0"/>
                      <w:iCs w:val="0"/>
                      <w:color w:val="auto"/>
                      <w:sz w:val="21"/>
                      <w:szCs w:val="21"/>
                      <w:u w:val="none"/>
                    </w:rPr>
                  </w:pPr>
                </w:p>
              </w:tc>
            </w:tr>
            <w:tr w14:paraId="55DAFC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4" w:hRule="atLeast"/>
                <w:jc w:val="center"/>
              </w:trPr>
              <w:tc>
                <w:tcPr>
                  <w:tcW w:w="654" w:type="dxa"/>
                  <w:vMerge w:val="continue"/>
                  <w:tcBorders>
                    <w:tl2br w:val="nil"/>
                    <w:tr2bl w:val="nil"/>
                  </w:tcBorders>
                  <w:shd w:val="clear" w:color="auto" w:fill="auto"/>
                  <w:vAlign w:val="center"/>
                </w:tcPr>
                <w:p w14:paraId="5F2799E3">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vAlign w:val="center"/>
                </w:tcPr>
                <w:p w14:paraId="2C2E19A2">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594C10D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废化学试剂</w:t>
                  </w:r>
                </w:p>
              </w:tc>
              <w:tc>
                <w:tcPr>
                  <w:tcW w:w="1004" w:type="dxa"/>
                  <w:tcBorders>
                    <w:tl2br w:val="nil"/>
                    <w:tr2bl w:val="nil"/>
                  </w:tcBorders>
                  <w:shd w:val="clear" w:color="auto" w:fill="auto"/>
                  <w:vAlign w:val="center"/>
                </w:tcPr>
                <w:p w14:paraId="3302C599">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 xml:space="preserve">4.70kg/a </w:t>
                  </w:r>
                </w:p>
              </w:tc>
              <w:tc>
                <w:tcPr>
                  <w:tcW w:w="1168" w:type="dxa"/>
                  <w:tcBorders>
                    <w:tl2br w:val="nil"/>
                    <w:tr2bl w:val="nil"/>
                  </w:tcBorders>
                  <w:shd w:val="clear" w:color="auto" w:fill="auto"/>
                  <w:vAlign w:val="center"/>
                </w:tcPr>
                <w:p w14:paraId="38345CBD">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hint="eastAsia" w:cs="Times New Roman"/>
                      <w:i w:val="0"/>
                      <w:iCs w:val="0"/>
                      <w:color w:val="auto"/>
                      <w:kern w:val="0"/>
                      <w:sz w:val="21"/>
                      <w:szCs w:val="21"/>
                      <w:u w:val="none"/>
                      <w:lang w:val="en-US" w:eastAsia="zh-CN" w:bidi="ar"/>
                    </w:rPr>
                    <w:t>4.70kg/a</w:t>
                  </w:r>
                </w:p>
              </w:tc>
              <w:tc>
                <w:tcPr>
                  <w:tcW w:w="1381" w:type="dxa"/>
                  <w:vMerge w:val="continue"/>
                  <w:tcBorders>
                    <w:tl2br w:val="nil"/>
                    <w:tr2bl w:val="nil"/>
                  </w:tcBorders>
                  <w:shd w:val="clear" w:color="auto" w:fill="auto"/>
                  <w:vAlign w:val="center"/>
                </w:tcPr>
                <w:p w14:paraId="272DB957">
                  <w:pPr>
                    <w:jc w:val="center"/>
                    <w:rPr>
                      <w:rFonts w:hint="default" w:ascii="Times New Roman" w:hAnsi="Times New Roman" w:eastAsia="宋体" w:cs="Times New Roman"/>
                      <w:i w:val="0"/>
                      <w:iCs w:val="0"/>
                      <w:color w:val="auto"/>
                      <w:sz w:val="21"/>
                      <w:szCs w:val="21"/>
                      <w:u w:val="none"/>
                    </w:rPr>
                  </w:pPr>
                </w:p>
              </w:tc>
              <w:tc>
                <w:tcPr>
                  <w:tcW w:w="1641" w:type="dxa"/>
                  <w:vMerge w:val="continue"/>
                  <w:tcBorders>
                    <w:tl2br w:val="nil"/>
                    <w:tr2bl w:val="nil"/>
                  </w:tcBorders>
                  <w:shd w:val="clear" w:color="auto" w:fill="auto"/>
                  <w:vAlign w:val="center"/>
                </w:tcPr>
                <w:p w14:paraId="64277E15">
                  <w:pPr>
                    <w:jc w:val="center"/>
                    <w:rPr>
                      <w:rFonts w:hint="default" w:ascii="Times New Roman" w:hAnsi="Times New Roman" w:eastAsia="宋体" w:cs="Times New Roman"/>
                      <w:i w:val="0"/>
                      <w:iCs w:val="0"/>
                      <w:color w:val="auto"/>
                      <w:sz w:val="21"/>
                      <w:szCs w:val="21"/>
                      <w:u w:val="none"/>
                    </w:rPr>
                  </w:pPr>
                </w:p>
              </w:tc>
            </w:tr>
            <w:tr w14:paraId="09F150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88" w:hRule="atLeast"/>
                <w:jc w:val="center"/>
              </w:trPr>
              <w:tc>
                <w:tcPr>
                  <w:tcW w:w="654" w:type="dxa"/>
                  <w:vMerge w:val="continue"/>
                  <w:tcBorders>
                    <w:tl2br w:val="nil"/>
                    <w:tr2bl w:val="nil"/>
                  </w:tcBorders>
                  <w:shd w:val="clear" w:color="auto" w:fill="auto"/>
                  <w:vAlign w:val="center"/>
                </w:tcPr>
                <w:p w14:paraId="3F255872">
                  <w:pPr>
                    <w:jc w:val="center"/>
                    <w:rPr>
                      <w:rFonts w:hint="default" w:ascii="Times New Roman" w:hAnsi="Times New Roman" w:eastAsia="宋体" w:cs="Times New Roman"/>
                      <w:i w:val="0"/>
                      <w:iCs w:val="0"/>
                      <w:color w:val="auto"/>
                      <w:sz w:val="21"/>
                      <w:szCs w:val="21"/>
                      <w:u w:val="none"/>
                    </w:rPr>
                  </w:pPr>
                </w:p>
              </w:tc>
              <w:tc>
                <w:tcPr>
                  <w:tcW w:w="968" w:type="dxa"/>
                  <w:vMerge w:val="continue"/>
                  <w:tcBorders>
                    <w:tl2br w:val="nil"/>
                    <w:tr2bl w:val="nil"/>
                  </w:tcBorders>
                  <w:shd w:val="clear" w:color="auto" w:fill="auto"/>
                  <w:vAlign w:val="center"/>
                </w:tcPr>
                <w:p w14:paraId="30C575FA">
                  <w:pPr>
                    <w:jc w:val="center"/>
                    <w:rPr>
                      <w:rFonts w:hint="default" w:ascii="Times New Roman" w:hAnsi="Times New Roman" w:eastAsia="宋体" w:cs="Times New Roman"/>
                      <w:i w:val="0"/>
                      <w:iCs w:val="0"/>
                      <w:color w:val="auto"/>
                      <w:sz w:val="21"/>
                      <w:szCs w:val="21"/>
                      <w:u w:val="none"/>
                    </w:rPr>
                  </w:pPr>
                </w:p>
              </w:tc>
              <w:tc>
                <w:tcPr>
                  <w:tcW w:w="961" w:type="dxa"/>
                  <w:tcBorders>
                    <w:tl2br w:val="nil"/>
                    <w:tr2bl w:val="nil"/>
                  </w:tcBorders>
                  <w:shd w:val="clear" w:color="auto" w:fill="auto"/>
                  <w:vAlign w:val="center"/>
                </w:tcPr>
                <w:p w14:paraId="47CC932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废水处理污泥</w:t>
                  </w:r>
                </w:p>
              </w:tc>
              <w:tc>
                <w:tcPr>
                  <w:tcW w:w="1004" w:type="dxa"/>
                  <w:tcBorders>
                    <w:tl2br w:val="nil"/>
                    <w:tr2bl w:val="nil"/>
                  </w:tcBorders>
                  <w:shd w:val="clear" w:color="auto" w:fill="auto"/>
                  <w:vAlign w:val="center"/>
                </w:tcPr>
                <w:p w14:paraId="30441D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ascii="Times New Roman" w:hAnsi="Times New Roman" w:eastAsia="Times New Roman" w:cs="Times New Roman"/>
                      <w:spacing w:val="-2"/>
                    </w:rPr>
                    <w:t>0.29kg/a</w:t>
                  </w:r>
                </w:p>
              </w:tc>
              <w:tc>
                <w:tcPr>
                  <w:tcW w:w="1168" w:type="dxa"/>
                  <w:tcBorders>
                    <w:tl2br w:val="nil"/>
                    <w:tr2bl w:val="nil"/>
                  </w:tcBorders>
                  <w:shd w:val="clear" w:color="auto" w:fill="auto"/>
                  <w:vAlign w:val="center"/>
                </w:tcPr>
                <w:p w14:paraId="0E1FA6E6">
                  <w:pPr>
                    <w:keepNext w:val="0"/>
                    <w:keepLines w:val="0"/>
                    <w:widowControl/>
                    <w:suppressLineNumbers w:val="0"/>
                    <w:jc w:val="center"/>
                    <w:textAlignment w:val="top"/>
                    <w:rPr>
                      <w:rFonts w:hint="default" w:ascii="Times New Roman" w:hAnsi="Times New Roman" w:eastAsia="宋体" w:cs="Times New Roman"/>
                      <w:i w:val="0"/>
                      <w:iCs w:val="0"/>
                      <w:color w:val="auto"/>
                      <w:sz w:val="21"/>
                      <w:szCs w:val="21"/>
                      <w:u w:val="none"/>
                    </w:rPr>
                  </w:pPr>
                  <w:r>
                    <w:rPr>
                      <w:rFonts w:ascii="Times New Roman" w:hAnsi="Times New Roman" w:eastAsia="Times New Roman" w:cs="Times New Roman"/>
                      <w:spacing w:val="-2"/>
                    </w:rPr>
                    <w:t>0.29kg/a</w:t>
                  </w:r>
                </w:p>
              </w:tc>
              <w:tc>
                <w:tcPr>
                  <w:tcW w:w="1381" w:type="dxa"/>
                  <w:tcBorders>
                    <w:tl2br w:val="nil"/>
                    <w:tr2bl w:val="nil"/>
                  </w:tcBorders>
                  <w:shd w:val="clear" w:color="auto" w:fill="auto"/>
                  <w:vAlign w:val="center"/>
                </w:tcPr>
                <w:p w14:paraId="4DE8F3A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暂存危废贮存库，</w:t>
                  </w:r>
                  <w:r>
                    <w:rPr>
                      <w:rFonts w:hint="eastAsia" w:ascii="Times New Roman" w:hAnsi="Times New Roman" w:eastAsia="宋体" w:cs="Times New Roman"/>
                      <w:i w:val="0"/>
                      <w:iCs w:val="0"/>
                      <w:color w:val="auto"/>
                      <w:kern w:val="0"/>
                      <w:sz w:val="21"/>
                      <w:szCs w:val="21"/>
                      <w:u w:val="none"/>
                      <w:lang w:val="en-US" w:eastAsia="zh-CN" w:bidi="ar"/>
                    </w:rPr>
                    <w:t>拟</w:t>
                  </w:r>
                  <w:r>
                    <w:rPr>
                      <w:rFonts w:hint="default" w:ascii="Times New Roman" w:hAnsi="Times New Roman" w:eastAsia="宋体" w:cs="Times New Roman"/>
                      <w:i w:val="0"/>
                      <w:iCs w:val="0"/>
                      <w:color w:val="auto"/>
                      <w:kern w:val="0"/>
                      <w:sz w:val="21"/>
                      <w:szCs w:val="21"/>
                      <w:u w:val="none"/>
                      <w:lang w:val="en-US" w:eastAsia="zh-CN" w:bidi="ar"/>
                    </w:rPr>
                    <w:t>定期委托有资质单位进行处置</w:t>
                  </w:r>
                </w:p>
              </w:tc>
              <w:tc>
                <w:tcPr>
                  <w:tcW w:w="1641" w:type="dxa"/>
                  <w:vMerge w:val="continue"/>
                  <w:tcBorders>
                    <w:tl2br w:val="nil"/>
                    <w:tr2bl w:val="nil"/>
                  </w:tcBorders>
                  <w:shd w:val="clear" w:color="auto" w:fill="auto"/>
                  <w:vAlign w:val="center"/>
                </w:tcPr>
                <w:p w14:paraId="679F119B">
                  <w:pPr>
                    <w:jc w:val="center"/>
                    <w:rPr>
                      <w:rFonts w:hint="default" w:ascii="Times New Roman" w:hAnsi="Times New Roman" w:eastAsia="宋体" w:cs="Times New Roman"/>
                      <w:i w:val="0"/>
                      <w:iCs w:val="0"/>
                      <w:color w:val="auto"/>
                      <w:sz w:val="21"/>
                      <w:szCs w:val="21"/>
                      <w:u w:val="none"/>
                    </w:rPr>
                  </w:pPr>
                </w:p>
              </w:tc>
            </w:tr>
          </w:tbl>
          <w:p w14:paraId="52277213">
            <w:pPr>
              <w:pStyle w:val="83"/>
              <w:spacing w:before="36" w:line="360" w:lineRule="auto"/>
              <w:ind w:left="607"/>
              <w:outlineLvl w:val="1"/>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5 、现有项目存在的主要环境问题及整改措施</w:t>
            </w:r>
          </w:p>
          <w:p w14:paraId="2798319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color w:val="auto"/>
                <w:sz w:val="24"/>
                <w:highlight w:val="none"/>
                <w:lang w:val="en-US" w:eastAsia="zh-CN"/>
              </w:rPr>
            </w:pPr>
            <w:r>
              <w:rPr>
                <w:rFonts w:hint="eastAsia"/>
                <w:color w:val="auto"/>
                <w:sz w:val="24"/>
                <w:highlight w:val="none"/>
                <w:lang w:val="en-US" w:eastAsia="zh-CN"/>
              </w:rPr>
              <w:t>根据现场调查，现有项目存在的主要环境问题及整改措施如表2-17所示：</w:t>
            </w:r>
          </w:p>
          <w:p w14:paraId="710D1420">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ind w:left="0" w:leftChars="0" w:firstLine="482" w:firstLineChars="200"/>
              <w:jc w:val="center"/>
              <w:textAlignment w:val="auto"/>
              <w:rPr>
                <w:rFonts w:hint="default"/>
                <w:color w:val="auto"/>
                <w:sz w:val="24"/>
                <w:highlight w:val="none"/>
                <w:lang w:val="en-US" w:eastAsia="zh-CN"/>
              </w:rPr>
            </w:pPr>
            <w:r>
              <w:rPr>
                <w:rFonts w:hint="eastAsia"/>
                <w:b/>
                <w:bCs/>
                <w:color w:val="auto"/>
                <w:sz w:val="24"/>
                <w:highlight w:val="none"/>
                <w:lang w:val="en-US" w:eastAsia="zh-CN"/>
              </w:rPr>
              <w:t>表2-17 现有项目存在环境问题及整改措施一览表</w:t>
            </w:r>
          </w:p>
          <w:tbl>
            <w:tblPr>
              <w:tblStyle w:val="31"/>
              <w:tblW w:w="792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895"/>
              <w:gridCol w:w="3435"/>
              <w:gridCol w:w="918"/>
            </w:tblGrid>
            <w:tr w14:paraId="498989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013600D1">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序号</w:t>
                  </w:r>
                </w:p>
              </w:tc>
              <w:tc>
                <w:tcPr>
                  <w:tcW w:w="2895" w:type="dxa"/>
                  <w:tcBorders>
                    <w:tl2br w:val="nil"/>
                    <w:tr2bl w:val="nil"/>
                  </w:tcBorders>
                  <w:vAlign w:val="center"/>
                </w:tcPr>
                <w:p w14:paraId="679589D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存在</w:t>
                  </w:r>
                  <w:r>
                    <w:rPr>
                      <w:rFonts w:hint="eastAsia" w:ascii="Times New Roman" w:hAnsi="Times New Roman" w:eastAsia="宋体" w:cs="Times New Roman"/>
                      <w:b/>
                      <w:bCs/>
                      <w:color w:val="auto"/>
                      <w:sz w:val="21"/>
                      <w:szCs w:val="21"/>
                      <w:highlight w:val="none"/>
                      <w:vertAlign w:val="baseline"/>
                      <w:lang w:val="en-US" w:eastAsia="zh-CN"/>
                    </w:rPr>
                    <w:t>环境</w:t>
                  </w:r>
                  <w:r>
                    <w:rPr>
                      <w:rFonts w:hint="default"/>
                      <w:b/>
                      <w:bCs/>
                      <w:color w:val="auto"/>
                      <w:sz w:val="21"/>
                      <w:szCs w:val="21"/>
                      <w:highlight w:val="none"/>
                      <w:vertAlign w:val="baseline"/>
                      <w:lang w:val="en-US" w:eastAsia="zh-CN"/>
                    </w:rPr>
                    <w:t>问题</w:t>
                  </w:r>
                </w:p>
              </w:tc>
              <w:tc>
                <w:tcPr>
                  <w:tcW w:w="3435" w:type="dxa"/>
                  <w:tcBorders>
                    <w:tl2br w:val="nil"/>
                    <w:tr2bl w:val="nil"/>
                  </w:tcBorders>
                  <w:vAlign w:val="center"/>
                </w:tcPr>
                <w:p w14:paraId="6C88E66D">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整改措施</w:t>
                  </w:r>
                </w:p>
              </w:tc>
              <w:tc>
                <w:tcPr>
                  <w:tcW w:w="918" w:type="dxa"/>
                  <w:tcBorders>
                    <w:tl2br w:val="nil"/>
                    <w:tr2bl w:val="nil"/>
                  </w:tcBorders>
                  <w:vAlign w:val="center"/>
                </w:tcPr>
                <w:p w14:paraId="30629047">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备注</w:t>
                  </w:r>
                </w:p>
              </w:tc>
            </w:tr>
            <w:tr w14:paraId="06D7C9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065930E3">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w:t>
                  </w:r>
                </w:p>
              </w:tc>
              <w:tc>
                <w:tcPr>
                  <w:tcW w:w="2895" w:type="dxa"/>
                  <w:tcBorders>
                    <w:tl2br w:val="nil"/>
                    <w:tr2bl w:val="nil"/>
                  </w:tcBorders>
                  <w:vAlign w:val="center"/>
                </w:tcPr>
                <w:p w14:paraId="258054F2">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现有项目噪声监测</w:t>
                  </w:r>
                  <w:r>
                    <w:rPr>
                      <w:rFonts w:hint="eastAsia" w:cs="Times New Roman"/>
                      <w:color w:val="auto"/>
                      <w:sz w:val="21"/>
                      <w:szCs w:val="21"/>
                      <w:highlight w:val="none"/>
                      <w:vertAlign w:val="baseline"/>
                      <w:lang w:val="en-US" w:eastAsia="zh-CN"/>
                    </w:rPr>
                    <w:t>和废气无组织监测</w:t>
                  </w:r>
                  <w:r>
                    <w:rPr>
                      <w:rFonts w:hint="default" w:ascii="Times New Roman" w:hAnsi="Times New Roman" w:eastAsia="宋体" w:cs="Times New Roman"/>
                      <w:color w:val="auto"/>
                      <w:sz w:val="21"/>
                      <w:szCs w:val="21"/>
                      <w:highlight w:val="none"/>
                      <w:vertAlign w:val="baseline"/>
                      <w:lang w:val="en-US" w:eastAsia="zh-CN"/>
                    </w:rPr>
                    <w:t>未按已批复的环评和环保验收监测报告建议的监测</w:t>
                  </w:r>
                  <w:r>
                    <w:rPr>
                      <w:rFonts w:hint="eastAsia" w:cs="Times New Roman"/>
                      <w:color w:val="auto"/>
                      <w:sz w:val="21"/>
                      <w:szCs w:val="21"/>
                      <w:highlight w:val="none"/>
                      <w:vertAlign w:val="baseline"/>
                      <w:lang w:val="en-US" w:eastAsia="zh-CN"/>
                    </w:rPr>
                    <w:t>计划</w:t>
                  </w:r>
                  <w:r>
                    <w:rPr>
                      <w:rFonts w:hint="default" w:ascii="Times New Roman" w:hAnsi="Times New Roman" w:eastAsia="宋体" w:cs="Times New Roman"/>
                      <w:color w:val="auto"/>
                      <w:sz w:val="21"/>
                      <w:szCs w:val="21"/>
                      <w:highlight w:val="none"/>
                      <w:vertAlign w:val="baseline"/>
                      <w:lang w:val="en-US" w:eastAsia="zh-CN"/>
                    </w:rPr>
                    <w:t>开展自行监测</w:t>
                  </w:r>
                </w:p>
              </w:tc>
              <w:tc>
                <w:tcPr>
                  <w:tcW w:w="3435" w:type="dxa"/>
                  <w:tcBorders>
                    <w:tl2br w:val="nil"/>
                    <w:tr2bl w:val="nil"/>
                  </w:tcBorders>
                  <w:vAlign w:val="center"/>
                </w:tcPr>
                <w:p w14:paraId="4AFB2109">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建设单位应提高生态环境保护意识，加强运行期的环境管理工作，严格按照监测计划开展各项污染物自行监测工作，完善企业环境管理制度，降低企业突发环境应急事件的发生概率，确保各项环保设施稳定运行，污染物稳定达标排放</w:t>
                  </w:r>
                </w:p>
              </w:tc>
              <w:tc>
                <w:tcPr>
                  <w:tcW w:w="918" w:type="dxa"/>
                  <w:tcBorders>
                    <w:tl2br w:val="nil"/>
                    <w:tr2bl w:val="nil"/>
                  </w:tcBorders>
                  <w:vAlign w:val="center"/>
                </w:tcPr>
                <w:p w14:paraId="0D32E4EA">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p>
              </w:tc>
            </w:tr>
            <w:tr w14:paraId="372BB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69C75266">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w:t>
                  </w:r>
                </w:p>
              </w:tc>
              <w:tc>
                <w:tcPr>
                  <w:tcW w:w="2895" w:type="dxa"/>
                  <w:tcBorders>
                    <w:tl2br w:val="nil"/>
                    <w:tr2bl w:val="nil"/>
                  </w:tcBorders>
                  <w:vAlign w:val="center"/>
                </w:tcPr>
                <w:p w14:paraId="5232377B">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废水处理设施污泥自项目运行后尚未进行处置，可能会影响处理设施处理效率</w:t>
                  </w:r>
                </w:p>
              </w:tc>
              <w:tc>
                <w:tcPr>
                  <w:tcW w:w="3435" w:type="dxa"/>
                  <w:tcBorders>
                    <w:tl2br w:val="nil"/>
                    <w:tr2bl w:val="nil"/>
                  </w:tcBorders>
                  <w:vAlign w:val="center"/>
                </w:tcPr>
                <w:p w14:paraId="6EFA2D6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建设单位应及时清理废水处理设施产生的污泥，并委托有资质单位外运处置，确保废水处理设施能稳定运行，并达标排放</w:t>
                  </w:r>
                </w:p>
              </w:tc>
              <w:tc>
                <w:tcPr>
                  <w:tcW w:w="918" w:type="dxa"/>
                  <w:tcBorders>
                    <w:tl2br w:val="nil"/>
                    <w:tr2bl w:val="nil"/>
                  </w:tcBorders>
                  <w:vAlign w:val="center"/>
                </w:tcPr>
                <w:p w14:paraId="355E0CBE">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p>
              </w:tc>
            </w:tr>
            <w:tr w14:paraId="7CF5A3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6F23D36B">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3</w:t>
                  </w:r>
                </w:p>
              </w:tc>
              <w:tc>
                <w:tcPr>
                  <w:tcW w:w="2895" w:type="dxa"/>
                  <w:tcBorders>
                    <w:tl2br w:val="nil"/>
                    <w:tr2bl w:val="nil"/>
                  </w:tcBorders>
                  <w:vAlign w:val="center"/>
                </w:tcPr>
                <w:p w14:paraId="4F9FF623">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现有工程未将废化学试剂</w:t>
                  </w:r>
                  <w:r>
                    <w:rPr>
                      <w:rFonts w:hint="default"/>
                      <w:color w:val="auto"/>
                      <w:sz w:val="21"/>
                      <w:szCs w:val="21"/>
                      <w:highlight w:val="none"/>
                    </w:rPr>
                    <w:t xml:space="preserve"> HW03 （900-002-03）</w:t>
                  </w:r>
                  <w:r>
                    <w:rPr>
                      <w:rFonts w:hint="default"/>
                      <w:color w:val="auto"/>
                      <w:sz w:val="21"/>
                      <w:szCs w:val="21"/>
                      <w:highlight w:val="none"/>
                      <w:lang w:val="en-US" w:eastAsia="zh-CN"/>
                    </w:rPr>
                    <w:t>纳入处置</w:t>
                  </w:r>
                  <w:r>
                    <w:rPr>
                      <w:rFonts w:hint="default"/>
                      <w:color w:val="auto"/>
                      <w:sz w:val="21"/>
                      <w:szCs w:val="21"/>
                      <w:highlight w:val="none"/>
                      <w:vertAlign w:val="baseline"/>
                      <w:lang w:val="en-US" w:eastAsia="zh-CN"/>
                    </w:rPr>
                    <w:t>危险废物处置协议，现有废化学试剂目前与实验废液混合后按实验废液进行处置</w:t>
                  </w:r>
                </w:p>
              </w:tc>
              <w:tc>
                <w:tcPr>
                  <w:tcW w:w="3435" w:type="dxa"/>
                  <w:tcBorders>
                    <w:tl2br w:val="nil"/>
                    <w:tr2bl w:val="nil"/>
                  </w:tcBorders>
                  <w:vAlign w:val="center"/>
                </w:tcPr>
                <w:p w14:paraId="7D916F19">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olor w:val="auto"/>
                      <w:sz w:val="21"/>
                      <w:szCs w:val="21"/>
                      <w:highlight w:val="none"/>
                      <w:vertAlign w:val="baseline"/>
                      <w:lang w:val="en-US" w:eastAsia="zh-CN"/>
                    </w:rPr>
                    <w:t>建设单位应将废化学试剂</w:t>
                  </w:r>
                  <w:r>
                    <w:rPr>
                      <w:rFonts w:hint="default"/>
                      <w:color w:val="auto"/>
                      <w:sz w:val="21"/>
                      <w:szCs w:val="21"/>
                      <w:highlight w:val="none"/>
                    </w:rPr>
                    <w:t xml:space="preserve"> HW03 （900-002-03）</w:t>
                  </w:r>
                  <w:r>
                    <w:rPr>
                      <w:rFonts w:hint="default"/>
                      <w:color w:val="auto"/>
                      <w:sz w:val="21"/>
                      <w:szCs w:val="21"/>
                      <w:highlight w:val="none"/>
                      <w:lang w:val="en-US" w:eastAsia="zh-CN"/>
                    </w:rPr>
                    <w:t>纳入处置</w:t>
                  </w:r>
                  <w:r>
                    <w:rPr>
                      <w:rFonts w:hint="default"/>
                      <w:color w:val="auto"/>
                      <w:sz w:val="21"/>
                      <w:szCs w:val="21"/>
                      <w:highlight w:val="none"/>
                      <w:vertAlign w:val="baseline"/>
                      <w:lang w:val="en-US" w:eastAsia="zh-CN"/>
                    </w:rPr>
                    <w:t>危险废物处置协议中或委托其他有资质单位进行处置</w:t>
                  </w:r>
                </w:p>
              </w:tc>
              <w:tc>
                <w:tcPr>
                  <w:tcW w:w="918" w:type="dxa"/>
                  <w:tcBorders>
                    <w:tl2br w:val="nil"/>
                    <w:tr2bl w:val="nil"/>
                  </w:tcBorders>
                  <w:vAlign w:val="center"/>
                </w:tcPr>
                <w:p w14:paraId="41F4DF72">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p>
              </w:tc>
            </w:tr>
            <w:tr w14:paraId="0DE69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3" w:type="dxa"/>
                  <w:tcBorders>
                    <w:tl2br w:val="nil"/>
                    <w:tr2bl w:val="nil"/>
                  </w:tcBorders>
                  <w:vAlign w:val="center"/>
                </w:tcPr>
                <w:p w14:paraId="0F951976">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w:t>
                  </w:r>
                </w:p>
              </w:tc>
              <w:tc>
                <w:tcPr>
                  <w:tcW w:w="2895" w:type="dxa"/>
                  <w:tcBorders>
                    <w:tl2br w:val="nil"/>
                    <w:tr2bl w:val="nil"/>
                  </w:tcBorders>
                  <w:vAlign w:val="center"/>
                </w:tcPr>
                <w:p w14:paraId="51807E7E">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s="Times New Roman"/>
                      <w:i w:val="0"/>
                      <w:iCs w:val="0"/>
                      <w:color w:val="auto"/>
                      <w:kern w:val="0"/>
                      <w:sz w:val="21"/>
                      <w:szCs w:val="21"/>
                      <w:highlight w:val="none"/>
                      <w:u w:val="none"/>
                      <w:lang w:val="en-US" w:eastAsia="zh-CN" w:bidi="ar"/>
                    </w:rPr>
                    <w:t>现</w:t>
                  </w:r>
                  <w:r>
                    <w:rPr>
                      <w:rFonts w:hint="default" w:ascii="Times New Roman" w:hAnsi="Times New Roman" w:eastAsia="宋体" w:cs="Times New Roman"/>
                      <w:i w:val="0"/>
                      <w:iCs w:val="0"/>
                      <w:color w:val="auto"/>
                      <w:kern w:val="0"/>
                      <w:sz w:val="21"/>
                      <w:szCs w:val="21"/>
                      <w:highlight w:val="none"/>
                      <w:u w:val="none"/>
                      <w:lang w:val="en-US" w:eastAsia="zh-CN" w:bidi="ar"/>
                    </w:rPr>
                    <w:t>有工程危险废物识别环节，</w:t>
                  </w:r>
                  <w:r>
                    <w:rPr>
                      <w:rFonts w:hint="eastAsia" w:cs="Times New Roman"/>
                      <w:i w:val="0"/>
                      <w:iCs w:val="0"/>
                      <w:color w:val="auto"/>
                      <w:kern w:val="0"/>
                      <w:sz w:val="21"/>
                      <w:szCs w:val="21"/>
                      <w:highlight w:val="none"/>
                      <w:u w:val="none"/>
                      <w:lang w:val="en-US" w:eastAsia="zh-CN" w:bidi="ar"/>
                    </w:rPr>
                    <w:t>识别不全。</w:t>
                  </w:r>
                  <w:r>
                    <w:rPr>
                      <w:rFonts w:hint="default" w:ascii="Times New Roman" w:hAnsi="Times New Roman" w:eastAsia="宋体" w:cs="Times New Roman"/>
                      <w:color w:val="auto"/>
                      <w:kern w:val="0"/>
                      <w:sz w:val="21"/>
                      <w:szCs w:val="21"/>
                      <w:highlight w:val="none"/>
                      <w:u w:val="none"/>
                      <w:lang w:bidi="ar"/>
                    </w:rPr>
                    <w:t>沾染化学试剂的一次性实验用品等</w:t>
                  </w:r>
                  <w:r>
                    <w:rPr>
                      <w:rFonts w:hint="default" w:ascii="Times New Roman" w:hAnsi="Times New Roman" w:eastAsia="宋体" w:cs="Times New Roman"/>
                      <w:color w:val="auto"/>
                      <w:kern w:val="0"/>
                      <w:sz w:val="21"/>
                      <w:szCs w:val="21"/>
                      <w:highlight w:val="none"/>
                      <w:u w:val="none"/>
                      <w:lang w:eastAsia="zh-CN" w:bidi="ar"/>
                    </w:rPr>
                    <w:t>，</w:t>
                  </w:r>
                  <w:r>
                    <w:rPr>
                      <w:rFonts w:hint="default" w:ascii="Times New Roman" w:hAnsi="Times New Roman" w:eastAsia="宋体" w:cs="Times New Roman"/>
                      <w:color w:val="auto"/>
                      <w:kern w:val="0"/>
                      <w:sz w:val="21"/>
                      <w:szCs w:val="21"/>
                      <w:highlight w:val="none"/>
                      <w:u w:val="none"/>
                      <w:lang w:val="en-US" w:eastAsia="zh-CN" w:bidi="ar"/>
                    </w:rPr>
                    <w:t>如废抹布、废手套、</w:t>
                  </w:r>
                  <w:r>
                    <w:rPr>
                      <w:rFonts w:hint="default" w:ascii="Times New Roman" w:hAnsi="Times New Roman" w:eastAsia="宋体" w:cs="Times New Roman"/>
                      <w:b w:val="0"/>
                      <w:bCs w:val="0"/>
                      <w:color w:val="auto"/>
                      <w:kern w:val="0"/>
                      <w:sz w:val="21"/>
                      <w:szCs w:val="21"/>
                      <w:highlight w:val="none"/>
                      <w:u w:val="none"/>
                      <w:vertAlign w:val="baseline"/>
                      <w:lang w:val="en-US" w:eastAsia="zh-CN" w:bidi="ar"/>
                    </w:rPr>
                    <w:t>碎玻璃器皿、注射器、滴管</w:t>
                  </w:r>
                  <w:r>
                    <w:rPr>
                      <w:rFonts w:hint="default" w:ascii="Times New Roman" w:hAnsi="Times New Roman" w:eastAsia="宋体" w:cs="Times New Roman"/>
                      <w:color w:val="auto"/>
                      <w:kern w:val="0"/>
                      <w:sz w:val="21"/>
                      <w:szCs w:val="21"/>
                      <w:highlight w:val="none"/>
                      <w:u w:val="none"/>
                      <w:lang w:val="en-US" w:eastAsia="zh-CN" w:bidi="ar"/>
                    </w:rPr>
                    <w:t>等未进行识别，仅考虑了废化学试剂容器</w:t>
                  </w:r>
                  <w:r>
                    <w:rPr>
                      <w:rFonts w:hint="eastAsia" w:cs="Times New Roman"/>
                      <w:color w:val="auto"/>
                      <w:kern w:val="0"/>
                      <w:sz w:val="21"/>
                      <w:szCs w:val="21"/>
                      <w:highlight w:val="none"/>
                      <w:u w:val="none"/>
                      <w:lang w:val="en-US" w:eastAsia="zh-CN" w:bidi="ar"/>
                    </w:rPr>
                    <w:t>；实验废弃物仅考虑了废弃样品和分析产物，未考虑实验失败产物、废氧化剂等。</w:t>
                  </w:r>
                </w:p>
              </w:tc>
              <w:tc>
                <w:tcPr>
                  <w:tcW w:w="3435" w:type="dxa"/>
                  <w:tcBorders>
                    <w:tl2br w:val="nil"/>
                    <w:tr2bl w:val="nil"/>
                  </w:tcBorders>
                  <w:vAlign w:val="center"/>
                </w:tcPr>
                <w:p w14:paraId="3CFE2BF4">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r>
                    <w:rPr>
                      <w:rFonts w:hint="default"/>
                      <w:color w:val="auto"/>
                      <w:kern w:val="0"/>
                      <w:sz w:val="21"/>
                      <w:szCs w:val="21"/>
                      <w:highlight w:val="none"/>
                      <w:u w:val="none"/>
                      <w:lang w:val="en-US" w:eastAsia="zh-CN" w:bidi="ar"/>
                    </w:rPr>
                    <w:t>本次环评将</w:t>
                  </w:r>
                  <w:r>
                    <w:rPr>
                      <w:rFonts w:hint="default"/>
                      <w:color w:val="auto"/>
                      <w:kern w:val="0"/>
                      <w:sz w:val="21"/>
                      <w:szCs w:val="21"/>
                      <w:highlight w:val="none"/>
                      <w:u w:val="none"/>
                      <w:lang w:bidi="ar"/>
                    </w:rPr>
                    <w:t>沾染化学试剂的一次性实验用品</w:t>
                  </w:r>
                  <w:r>
                    <w:rPr>
                      <w:rFonts w:hint="eastAsia"/>
                      <w:color w:val="auto"/>
                      <w:kern w:val="0"/>
                      <w:sz w:val="21"/>
                      <w:szCs w:val="21"/>
                      <w:highlight w:val="none"/>
                      <w:u w:val="none"/>
                      <w:lang w:eastAsia="zh-CN" w:bidi="ar"/>
                    </w:rPr>
                    <w:t>：</w:t>
                  </w:r>
                  <w:r>
                    <w:rPr>
                      <w:rFonts w:hint="default" w:ascii="Times New Roman" w:hAnsi="Times New Roman" w:eastAsia="宋体" w:cs="Times New Roman"/>
                      <w:color w:val="auto"/>
                      <w:kern w:val="0"/>
                      <w:sz w:val="21"/>
                      <w:szCs w:val="21"/>
                      <w:highlight w:val="none"/>
                      <w:u w:val="none"/>
                      <w:lang w:val="en-US" w:eastAsia="zh-CN" w:bidi="ar"/>
                    </w:rPr>
                    <w:t>废抹布、废手套、</w:t>
                  </w:r>
                  <w:r>
                    <w:rPr>
                      <w:rFonts w:hint="default" w:ascii="Times New Roman" w:hAnsi="Times New Roman" w:eastAsia="宋体" w:cs="Times New Roman"/>
                      <w:b w:val="0"/>
                      <w:bCs w:val="0"/>
                      <w:color w:val="auto"/>
                      <w:kern w:val="0"/>
                      <w:sz w:val="21"/>
                      <w:szCs w:val="21"/>
                      <w:highlight w:val="none"/>
                      <w:u w:val="none"/>
                      <w:vertAlign w:val="baseline"/>
                      <w:lang w:val="en-US" w:eastAsia="zh-CN" w:bidi="ar"/>
                    </w:rPr>
                    <w:t>碎玻璃器皿、注射器、滴管</w:t>
                  </w:r>
                  <w:r>
                    <w:rPr>
                      <w:rFonts w:hint="eastAsia" w:cs="Times New Roman"/>
                      <w:b w:val="0"/>
                      <w:bCs w:val="0"/>
                      <w:color w:val="auto"/>
                      <w:kern w:val="0"/>
                      <w:sz w:val="21"/>
                      <w:szCs w:val="21"/>
                      <w:highlight w:val="none"/>
                      <w:u w:val="none"/>
                      <w:vertAlign w:val="baseline"/>
                      <w:lang w:val="en-US" w:eastAsia="zh-CN" w:bidi="ar"/>
                    </w:rPr>
                    <w:t>等</w:t>
                  </w:r>
                  <w:r>
                    <w:rPr>
                      <w:rFonts w:hint="default"/>
                      <w:color w:val="auto"/>
                      <w:kern w:val="0"/>
                      <w:sz w:val="21"/>
                      <w:szCs w:val="21"/>
                      <w:highlight w:val="none"/>
                      <w:u w:val="none"/>
                      <w:lang w:val="en-US" w:eastAsia="zh-CN" w:bidi="ar"/>
                    </w:rPr>
                    <w:t>纳入</w:t>
                  </w:r>
                  <w:r>
                    <w:rPr>
                      <w:rFonts w:hint="eastAsia"/>
                      <w:color w:val="auto"/>
                      <w:kern w:val="0"/>
                      <w:sz w:val="21"/>
                      <w:szCs w:val="21"/>
                      <w:highlight w:val="none"/>
                      <w:u w:val="none"/>
                      <w:lang w:val="en-US" w:eastAsia="zh-CN" w:bidi="ar"/>
                    </w:rPr>
                    <w:t>产污环节，将实验失败产物、废氧化剂等纳入实验废弃物，重新识别和预测产生量</w:t>
                  </w:r>
                </w:p>
              </w:tc>
              <w:tc>
                <w:tcPr>
                  <w:tcW w:w="918" w:type="dxa"/>
                  <w:tcBorders>
                    <w:tl2br w:val="nil"/>
                    <w:tr2bl w:val="nil"/>
                  </w:tcBorders>
                  <w:vAlign w:val="center"/>
                </w:tcPr>
                <w:p w14:paraId="1220CF9E">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jc w:val="both"/>
                    <w:textAlignment w:val="auto"/>
                    <w:rPr>
                      <w:rFonts w:hint="default"/>
                      <w:color w:val="auto"/>
                      <w:sz w:val="21"/>
                      <w:szCs w:val="21"/>
                      <w:highlight w:val="none"/>
                      <w:vertAlign w:val="baseline"/>
                      <w:lang w:val="en-US" w:eastAsia="zh-CN"/>
                    </w:rPr>
                  </w:pPr>
                </w:p>
              </w:tc>
            </w:tr>
          </w:tbl>
          <w:p w14:paraId="5E8C9A15">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color w:val="auto"/>
                <w:sz w:val="24"/>
                <w:highlight w:val="none"/>
                <w:lang w:val="en-US" w:eastAsia="zh-CN"/>
              </w:rPr>
            </w:pPr>
          </w:p>
          <w:p w14:paraId="3D3C061C">
            <w:pPr>
              <w:keepNext w:val="0"/>
              <w:keepLines w:val="0"/>
              <w:pageBreakBefore w:val="0"/>
              <w:widowControl w:val="0"/>
              <w:numPr>
                <w:ilvl w:val="-1"/>
                <w:numId w:val="0"/>
              </w:numPr>
              <w:tabs>
                <w:tab w:val="left" w:pos="0"/>
              </w:tabs>
              <w:kinsoku/>
              <w:wordWrap/>
              <w:overflowPunct/>
              <w:topLinePunct w:val="0"/>
              <w:autoSpaceDE w:val="0"/>
              <w:autoSpaceDN w:val="0"/>
              <w:bidi w:val="0"/>
              <w:adjustRightInd w:val="0"/>
              <w:snapToGrid/>
              <w:spacing w:before="313" w:beforeLines="100" w:line="360" w:lineRule="auto"/>
              <w:jc w:val="left"/>
              <w:textAlignment w:val="auto"/>
              <w:rPr>
                <w:rFonts w:hint="eastAsia"/>
                <w:color w:val="auto"/>
                <w:sz w:val="24"/>
                <w:highlight w:val="none"/>
                <w:lang w:val="en-US" w:eastAsia="zh-CN"/>
              </w:rPr>
            </w:pPr>
          </w:p>
        </w:tc>
      </w:tr>
    </w:tbl>
    <w:p w14:paraId="5770C06F">
      <w:pPr>
        <w:bidi w:val="0"/>
        <w:rPr>
          <w:color w:val="auto"/>
        </w:rPr>
        <w:sectPr>
          <w:pgSz w:w="11906" w:h="16838"/>
          <w:pgMar w:top="1304" w:right="1417" w:bottom="1304" w:left="1417" w:header="680" w:footer="851" w:gutter="0"/>
          <w:pgBorders>
            <w:top w:val="none" w:sz="0" w:space="0"/>
            <w:left w:val="none" w:sz="0" w:space="0"/>
            <w:bottom w:val="none" w:sz="0" w:space="0"/>
            <w:right w:val="none" w:sz="0" w:space="0"/>
          </w:pgBorders>
          <w:pgNumType w:fmt="numberInDash"/>
          <w:cols w:space="720" w:num="1"/>
          <w:docGrid w:linePitch="312" w:charSpace="0"/>
        </w:sectPr>
      </w:pPr>
    </w:p>
    <w:p w14:paraId="2611580B">
      <w:pPr>
        <w:bidi w:val="0"/>
        <w:rPr>
          <w:rFonts w:hint="default"/>
          <w:color w:val="auto"/>
        </w:rPr>
      </w:pPr>
    </w:p>
    <w:p w14:paraId="6A8435DE">
      <w:pPr>
        <w:pStyle w:val="2"/>
        <w:bidi w:val="0"/>
        <w:ind w:left="0" w:leftChars="0" w:firstLine="0" w:firstLineChars="0"/>
        <w:jc w:val="center"/>
        <w:rPr>
          <w:rFonts w:hint="default"/>
          <w:b w:val="0"/>
          <w:bCs w:val="0"/>
          <w:color w:val="auto"/>
          <w:highlight w:val="none"/>
        </w:rPr>
      </w:pPr>
      <w:bookmarkStart w:id="10" w:name="_Toc11335"/>
      <w:bookmarkStart w:id="11" w:name="_Toc15215"/>
      <w:r>
        <w:rPr>
          <w:rFonts w:hint="default"/>
          <w:b w:val="0"/>
          <w:bCs w:val="0"/>
          <w:color w:val="auto"/>
          <w:highlight w:val="none"/>
        </w:rPr>
        <w:t>三、区域环境质量现状、环境保护目标及评价标准</w:t>
      </w:r>
      <w:bookmarkEnd w:id="10"/>
      <w:bookmarkEnd w:id="11"/>
    </w:p>
    <w:tbl>
      <w:tblPr>
        <w:tblStyle w:val="30"/>
        <w:tblW w:w="90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8306"/>
      </w:tblGrid>
      <w:tr w14:paraId="618D7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3" w:hRule="atLeast"/>
          <w:jc w:val="center"/>
        </w:trPr>
        <w:tc>
          <w:tcPr>
            <w:tcW w:w="735" w:type="dxa"/>
            <w:noWrap w:val="0"/>
            <w:vAlign w:val="center"/>
          </w:tcPr>
          <w:p w14:paraId="6D0A99CE">
            <w:pPr>
              <w:adjustRightInd w:val="0"/>
              <w:snapToGrid w:val="0"/>
              <w:jc w:val="center"/>
              <w:rPr>
                <w:color w:val="auto"/>
                <w:kern w:val="0"/>
                <w:sz w:val="24"/>
                <w:highlight w:val="none"/>
              </w:rPr>
            </w:pPr>
            <w:r>
              <w:rPr>
                <w:b/>
                <w:bCs/>
                <w:color w:val="auto"/>
                <w:kern w:val="0"/>
                <w:sz w:val="24"/>
                <w:highlight w:val="none"/>
              </w:rPr>
              <w:t>区域环境质量现状</w:t>
            </w:r>
          </w:p>
        </w:tc>
        <w:tc>
          <w:tcPr>
            <w:tcW w:w="8304" w:type="dxa"/>
            <w:noWrap w:val="0"/>
            <w:vAlign w:val="center"/>
          </w:tcPr>
          <w:p w14:paraId="0ECCD0B6">
            <w:pPr>
              <w:keepNext w:val="0"/>
              <w:keepLines w:val="0"/>
              <w:pageBreakBefore w:val="0"/>
              <w:widowControl w:val="0"/>
              <w:numPr>
                <w:ilvl w:val="0"/>
                <w:numId w:val="7"/>
              </w:numPr>
              <w:tabs>
                <w:tab w:val="left" w:pos="8607"/>
              </w:tabs>
              <w:kinsoku/>
              <w:wordWrap/>
              <w:overflowPunct/>
              <w:topLinePunct w:val="0"/>
              <w:autoSpaceDE/>
              <w:autoSpaceDN/>
              <w:bidi w:val="0"/>
              <w:adjustRightInd/>
              <w:snapToGrid/>
              <w:spacing w:before="157" w:beforeLines="50" w:line="360" w:lineRule="auto"/>
              <w:ind w:left="0" w:leftChars="0" w:firstLineChars="0"/>
              <w:textAlignment w:val="auto"/>
              <w:rPr>
                <w:rFonts w:hint="eastAsia"/>
                <w:b/>
                <w:color w:val="auto"/>
                <w:sz w:val="24"/>
                <w:highlight w:val="none"/>
                <w:lang w:val="en-US" w:eastAsia="zh-CN"/>
              </w:rPr>
            </w:pPr>
            <w:r>
              <w:rPr>
                <w:rFonts w:hint="eastAsia"/>
                <w:b/>
                <w:color w:val="auto"/>
                <w:sz w:val="24"/>
                <w:highlight w:val="none"/>
                <w:lang w:val="en-US" w:eastAsia="zh-CN"/>
              </w:rPr>
              <w:t>环境空气质量现状</w:t>
            </w:r>
            <w:bookmarkStart w:id="12" w:name="_Toc60035525"/>
            <w:bookmarkStart w:id="13" w:name="_Toc68582481"/>
            <w:bookmarkStart w:id="14" w:name="_Toc59965649"/>
            <w:bookmarkStart w:id="15" w:name="_Toc68348238"/>
            <w:bookmarkStart w:id="16" w:name="_Toc68684089"/>
            <w:bookmarkStart w:id="17" w:name="_Toc68766602"/>
            <w:bookmarkStart w:id="18" w:name="_Toc57868326"/>
            <w:bookmarkStart w:id="19" w:name="_Toc58229306"/>
            <w:bookmarkStart w:id="20" w:name="_Toc58816645"/>
            <w:bookmarkStart w:id="21" w:name="_Toc58491014"/>
            <w:bookmarkStart w:id="22" w:name="_Toc58041094"/>
            <w:bookmarkStart w:id="23" w:name="_Toc58810455"/>
            <w:bookmarkStart w:id="24" w:name="_Toc68507198"/>
            <w:bookmarkStart w:id="25" w:name="_Toc68749951"/>
            <w:bookmarkStart w:id="26" w:name="_Toc59266590"/>
            <w:bookmarkStart w:id="27" w:name="_Toc58641493"/>
            <w:bookmarkStart w:id="28" w:name="_Toc58731260"/>
            <w:bookmarkStart w:id="29" w:name="_Toc58643194"/>
            <w:bookmarkStart w:id="30" w:name="_Toc58646773"/>
            <w:bookmarkStart w:id="31" w:name="_Toc59851101"/>
            <w:bookmarkStart w:id="32" w:name="_Toc60024601"/>
            <w:bookmarkStart w:id="33" w:name="_Toc68847870"/>
            <w:bookmarkStart w:id="34" w:name="_Toc58314442"/>
            <w:bookmarkStart w:id="35" w:name="_Toc68676526"/>
            <w:bookmarkStart w:id="36" w:name="_Toc58121777"/>
            <w:bookmarkStart w:id="37" w:name="_Toc100071049"/>
            <w:bookmarkStart w:id="38" w:name="_Toc68774027"/>
            <w:bookmarkStart w:id="39" w:name="_Toc58638882"/>
            <w:bookmarkStart w:id="40" w:name="_Toc58124711"/>
            <w:bookmarkStart w:id="41" w:name="_Toc61861954"/>
            <w:bookmarkStart w:id="42" w:name="_Toc58810542"/>
            <w:bookmarkStart w:id="43" w:name="_Toc59682789"/>
            <w:bookmarkStart w:id="44" w:name="_Toc68686395"/>
            <w:r>
              <w:rPr>
                <w:rFonts w:hint="eastAsia"/>
                <w:b/>
                <w:color w:val="auto"/>
                <w:sz w:val="24"/>
                <w:highlight w:val="none"/>
                <w:lang w:val="en-US" w:eastAsia="zh-CN"/>
              </w:rPr>
              <w:t>调查与评价</w:t>
            </w:r>
          </w:p>
          <w:p w14:paraId="032739DF">
            <w:pPr>
              <w:keepNext w:val="0"/>
              <w:keepLines w:val="0"/>
              <w:pageBreakBefore w:val="0"/>
              <w:widowControl w:val="0"/>
              <w:numPr>
                <w:ilvl w:val="0"/>
                <w:numId w:val="0"/>
              </w:numPr>
              <w:tabs>
                <w:tab w:val="left" w:pos="8607"/>
              </w:tabs>
              <w:kinsoku/>
              <w:wordWrap/>
              <w:overflowPunct/>
              <w:topLinePunct w:val="0"/>
              <w:autoSpaceDE/>
              <w:autoSpaceDN/>
              <w:bidi w:val="0"/>
              <w:adjustRightInd/>
              <w:snapToGrid/>
              <w:spacing w:line="360" w:lineRule="auto"/>
              <w:textAlignment w:val="auto"/>
              <w:rPr>
                <w:rFonts w:hint="default"/>
                <w:b/>
                <w:color w:val="auto"/>
                <w:sz w:val="24"/>
                <w:highlight w:val="none"/>
                <w:lang w:val="en-US" w:eastAsia="zh-CN"/>
              </w:rPr>
            </w:pPr>
            <w:r>
              <w:rPr>
                <w:rFonts w:hint="eastAsia"/>
                <w:b/>
                <w:color w:val="auto"/>
                <w:sz w:val="24"/>
                <w:highlight w:val="none"/>
                <w:lang w:val="en-US" w:eastAsia="zh-CN"/>
              </w:rPr>
              <w:t>1.基本污染物</w:t>
            </w:r>
          </w:p>
          <w:p w14:paraId="45EB093F">
            <w:pPr>
              <w:spacing w:line="360" w:lineRule="auto"/>
              <w:ind w:firstLine="480" w:firstLineChars="200"/>
              <w:rPr>
                <w:color w:val="auto"/>
                <w:kern w:val="0"/>
                <w:sz w:val="24"/>
                <w:highlight w:val="none"/>
              </w:rPr>
            </w:pPr>
            <w:r>
              <w:rPr>
                <w:color w:val="auto"/>
                <w:kern w:val="0"/>
                <w:sz w:val="24"/>
                <w:highlight w:val="none"/>
              </w:rPr>
              <w:t>为了解</w:t>
            </w:r>
            <w:r>
              <w:rPr>
                <w:rFonts w:hint="eastAsia"/>
                <w:color w:val="auto"/>
                <w:kern w:val="0"/>
                <w:sz w:val="24"/>
                <w:highlight w:val="none"/>
              </w:rPr>
              <w:t>本项目建设</w:t>
            </w:r>
            <w:r>
              <w:rPr>
                <w:color w:val="auto"/>
                <w:kern w:val="0"/>
                <w:sz w:val="24"/>
                <w:highlight w:val="none"/>
              </w:rPr>
              <w:t>工程区域的环境空气质量现状，常规污染物</w:t>
            </w:r>
            <w:r>
              <w:rPr>
                <w:rFonts w:hint="eastAsia"/>
                <w:color w:val="auto"/>
                <w:kern w:val="0"/>
                <w:sz w:val="24"/>
                <w:highlight w:val="none"/>
                <w:lang w:eastAsia="zh-CN"/>
              </w:rPr>
              <w:t>，</w:t>
            </w:r>
            <w:r>
              <w:rPr>
                <w:color w:val="auto"/>
                <w:kern w:val="0"/>
                <w:sz w:val="24"/>
                <w:highlight w:val="none"/>
              </w:rPr>
              <w:t>本次环评引用陕西省生态环境厅202</w:t>
            </w:r>
            <w:r>
              <w:rPr>
                <w:rFonts w:hint="eastAsia"/>
                <w:color w:val="auto"/>
                <w:kern w:val="0"/>
                <w:sz w:val="24"/>
                <w:highlight w:val="none"/>
                <w:lang w:val="en-US" w:eastAsia="zh-CN"/>
              </w:rPr>
              <w:t>5</w:t>
            </w:r>
            <w:r>
              <w:rPr>
                <w:color w:val="auto"/>
                <w:kern w:val="0"/>
                <w:sz w:val="24"/>
                <w:highlight w:val="none"/>
              </w:rPr>
              <w:t>年1月</w:t>
            </w:r>
            <w:r>
              <w:rPr>
                <w:rFonts w:hint="eastAsia"/>
                <w:color w:val="auto"/>
                <w:kern w:val="0"/>
                <w:sz w:val="24"/>
                <w:highlight w:val="none"/>
                <w:lang w:val="en-US" w:eastAsia="zh-CN"/>
              </w:rPr>
              <w:t>21</w:t>
            </w:r>
            <w:r>
              <w:rPr>
                <w:color w:val="auto"/>
                <w:kern w:val="0"/>
                <w:sz w:val="24"/>
                <w:highlight w:val="none"/>
              </w:rPr>
              <w:t>日发布的《202</w:t>
            </w:r>
            <w:r>
              <w:rPr>
                <w:rFonts w:hint="eastAsia"/>
                <w:color w:val="auto"/>
                <w:kern w:val="0"/>
                <w:sz w:val="24"/>
                <w:highlight w:val="none"/>
                <w:lang w:val="en-US" w:eastAsia="zh-CN"/>
              </w:rPr>
              <w:t>4</w:t>
            </w:r>
            <w:r>
              <w:rPr>
                <w:color w:val="auto"/>
                <w:kern w:val="0"/>
                <w:sz w:val="24"/>
                <w:highlight w:val="none"/>
              </w:rPr>
              <w:t>年12月及1~12月全省环境空气质量状况》中</w:t>
            </w:r>
            <w:r>
              <w:rPr>
                <w:rFonts w:hint="eastAsia"/>
                <w:color w:val="auto"/>
                <w:kern w:val="0"/>
                <w:sz w:val="24"/>
                <w:highlight w:val="none"/>
              </w:rPr>
              <w:t>西咸</w:t>
            </w:r>
            <w:r>
              <w:rPr>
                <w:color w:val="auto"/>
                <w:kern w:val="0"/>
                <w:sz w:val="24"/>
                <w:highlight w:val="none"/>
              </w:rPr>
              <w:t>新区202</w:t>
            </w:r>
            <w:r>
              <w:rPr>
                <w:rFonts w:hint="eastAsia"/>
                <w:color w:val="auto"/>
                <w:kern w:val="0"/>
                <w:sz w:val="24"/>
                <w:highlight w:val="none"/>
                <w:lang w:val="en-US" w:eastAsia="zh-CN"/>
              </w:rPr>
              <w:t>4</w:t>
            </w:r>
            <w:r>
              <w:rPr>
                <w:color w:val="auto"/>
                <w:kern w:val="0"/>
                <w:sz w:val="24"/>
                <w:highlight w:val="none"/>
              </w:rPr>
              <w:t>年1~12月统计数据，详见表</w:t>
            </w:r>
            <w:r>
              <w:rPr>
                <w:rFonts w:hint="eastAsia"/>
                <w:color w:val="auto"/>
                <w:kern w:val="0"/>
                <w:sz w:val="24"/>
                <w:highlight w:val="none"/>
              </w:rPr>
              <w:t>3-1</w:t>
            </w:r>
            <w:r>
              <w:rPr>
                <w:color w:val="auto"/>
                <w:kern w:val="0"/>
                <w:sz w:val="24"/>
                <w:highlight w:val="none"/>
              </w:rPr>
              <w:t>。</w:t>
            </w:r>
          </w:p>
          <w:p w14:paraId="74691EFF">
            <w:pPr>
              <w:jc w:val="center"/>
              <w:rPr>
                <w:b/>
                <w:bCs/>
                <w:color w:val="auto"/>
                <w:kern w:val="0"/>
                <w:szCs w:val="21"/>
                <w:highlight w:val="none"/>
              </w:rPr>
            </w:pPr>
            <w:r>
              <w:rPr>
                <w:b/>
                <w:bCs/>
                <w:color w:val="auto"/>
                <w:kern w:val="0"/>
                <w:sz w:val="24"/>
                <w:highlight w:val="none"/>
              </w:rPr>
              <w:t>表</w:t>
            </w:r>
            <w:r>
              <w:rPr>
                <w:rFonts w:hint="eastAsia"/>
                <w:b/>
                <w:bCs/>
                <w:color w:val="auto"/>
                <w:kern w:val="0"/>
                <w:sz w:val="24"/>
                <w:highlight w:val="none"/>
              </w:rPr>
              <w:t>3-1</w:t>
            </w:r>
            <w:r>
              <w:rPr>
                <w:b/>
                <w:bCs/>
                <w:color w:val="auto"/>
                <w:kern w:val="0"/>
                <w:sz w:val="24"/>
                <w:highlight w:val="none"/>
              </w:rPr>
              <w:t xml:space="preserve">  </w:t>
            </w:r>
            <w:r>
              <w:rPr>
                <w:rFonts w:hint="eastAsia"/>
                <w:b/>
                <w:bCs/>
                <w:color w:val="auto"/>
                <w:kern w:val="0"/>
                <w:sz w:val="24"/>
                <w:highlight w:val="none"/>
              </w:rPr>
              <w:t>西咸</w:t>
            </w:r>
            <w:r>
              <w:rPr>
                <w:b/>
                <w:bCs/>
                <w:color w:val="auto"/>
                <w:kern w:val="0"/>
                <w:sz w:val="24"/>
                <w:highlight w:val="none"/>
              </w:rPr>
              <w:t>新区空气质量现状评价表</w:t>
            </w:r>
          </w:p>
          <w:tbl>
            <w:tblPr>
              <w:tblStyle w:val="30"/>
              <w:tblW w:w="80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92"/>
              <w:gridCol w:w="1958"/>
              <w:gridCol w:w="1320"/>
              <w:gridCol w:w="1308"/>
              <w:gridCol w:w="1085"/>
              <w:gridCol w:w="995"/>
            </w:tblGrid>
            <w:tr w14:paraId="61420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364B25DE">
                  <w:pPr>
                    <w:snapToGrid w:val="0"/>
                    <w:jc w:val="center"/>
                    <w:rPr>
                      <w:b/>
                      <w:color w:val="auto"/>
                      <w:szCs w:val="21"/>
                      <w:highlight w:val="none"/>
                    </w:rPr>
                  </w:pPr>
                  <w:r>
                    <w:rPr>
                      <w:b/>
                      <w:color w:val="auto"/>
                      <w:szCs w:val="21"/>
                      <w:highlight w:val="none"/>
                    </w:rPr>
                    <w:t>污染物</w:t>
                  </w:r>
                </w:p>
              </w:tc>
              <w:tc>
                <w:tcPr>
                  <w:tcW w:w="1958" w:type="dxa"/>
                  <w:noWrap/>
                  <w:vAlign w:val="center"/>
                </w:tcPr>
                <w:p w14:paraId="1FB50CFC">
                  <w:pPr>
                    <w:snapToGrid w:val="0"/>
                    <w:jc w:val="center"/>
                    <w:rPr>
                      <w:b/>
                      <w:color w:val="auto"/>
                      <w:szCs w:val="21"/>
                      <w:highlight w:val="none"/>
                    </w:rPr>
                  </w:pPr>
                  <w:r>
                    <w:rPr>
                      <w:b/>
                      <w:color w:val="auto"/>
                      <w:szCs w:val="21"/>
                      <w:highlight w:val="none"/>
                    </w:rPr>
                    <w:t>年评价指标</w:t>
                  </w:r>
                </w:p>
              </w:tc>
              <w:tc>
                <w:tcPr>
                  <w:tcW w:w="1320" w:type="dxa"/>
                  <w:noWrap/>
                  <w:vAlign w:val="center"/>
                </w:tcPr>
                <w:p w14:paraId="7ACFAD39">
                  <w:pPr>
                    <w:snapToGrid w:val="0"/>
                    <w:jc w:val="center"/>
                    <w:rPr>
                      <w:b/>
                      <w:color w:val="auto"/>
                      <w:szCs w:val="21"/>
                      <w:highlight w:val="none"/>
                    </w:rPr>
                  </w:pPr>
                  <w:r>
                    <w:rPr>
                      <w:b/>
                      <w:color w:val="auto"/>
                      <w:szCs w:val="21"/>
                      <w:highlight w:val="none"/>
                    </w:rPr>
                    <w:t>标准值</w:t>
                  </w:r>
                </w:p>
                <w:p w14:paraId="0E224B4B">
                  <w:pPr>
                    <w:snapToGrid w:val="0"/>
                    <w:jc w:val="center"/>
                    <w:rPr>
                      <w:rFonts w:hint="default" w:eastAsia="宋体"/>
                      <w:b/>
                      <w:color w:val="auto"/>
                      <w:szCs w:val="21"/>
                      <w:highlight w:val="none"/>
                      <w:lang w:val="en-US" w:eastAsia="zh-CN"/>
                    </w:rPr>
                  </w:pPr>
                  <w:r>
                    <w:rPr>
                      <w:rFonts w:hint="eastAsia"/>
                      <w:b/>
                      <w:color w:val="auto"/>
                      <w:szCs w:val="21"/>
                      <w:highlight w:val="none"/>
                      <w:lang w:eastAsia="zh-CN"/>
                    </w:rPr>
                    <w:t>（μg/m</w:t>
                  </w:r>
                  <w:r>
                    <w:rPr>
                      <w:rFonts w:hint="eastAsia"/>
                      <w:b/>
                      <w:color w:val="auto"/>
                      <w:szCs w:val="21"/>
                      <w:highlight w:val="none"/>
                      <w:vertAlign w:val="superscript"/>
                      <w:lang w:eastAsia="zh-CN"/>
                    </w:rPr>
                    <w:t>3</w:t>
                  </w:r>
                  <w:r>
                    <w:rPr>
                      <w:rFonts w:hint="eastAsia"/>
                      <w:b/>
                      <w:color w:val="auto"/>
                      <w:szCs w:val="21"/>
                      <w:highlight w:val="none"/>
                      <w:lang w:eastAsia="zh-CN"/>
                    </w:rPr>
                    <w:t>）</w:t>
                  </w:r>
                </w:p>
              </w:tc>
              <w:tc>
                <w:tcPr>
                  <w:tcW w:w="1308" w:type="dxa"/>
                  <w:noWrap/>
                  <w:vAlign w:val="center"/>
                </w:tcPr>
                <w:p w14:paraId="5DA76F95">
                  <w:pPr>
                    <w:snapToGrid w:val="0"/>
                    <w:jc w:val="center"/>
                    <w:rPr>
                      <w:rFonts w:hint="eastAsia" w:eastAsia="宋体"/>
                      <w:b/>
                      <w:color w:val="auto"/>
                      <w:szCs w:val="21"/>
                      <w:highlight w:val="none"/>
                      <w:lang w:val="en-US" w:eastAsia="zh-CN"/>
                    </w:rPr>
                  </w:pPr>
                  <w:r>
                    <w:rPr>
                      <w:b/>
                      <w:color w:val="auto"/>
                      <w:szCs w:val="21"/>
                      <w:highlight w:val="none"/>
                    </w:rPr>
                    <w:t>现状浓度</w:t>
                  </w:r>
                  <w:r>
                    <w:rPr>
                      <w:rFonts w:hint="eastAsia"/>
                      <w:b/>
                      <w:color w:val="auto"/>
                      <w:szCs w:val="21"/>
                      <w:highlight w:val="none"/>
                      <w:lang w:val="en-US" w:eastAsia="zh-CN"/>
                    </w:rPr>
                    <w:t>均值（μg/m</w:t>
                  </w:r>
                  <w:r>
                    <w:rPr>
                      <w:rFonts w:hint="eastAsia"/>
                      <w:b/>
                      <w:color w:val="auto"/>
                      <w:szCs w:val="21"/>
                      <w:highlight w:val="none"/>
                      <w:vertAlign w:val="superscript"/>
                      <w:lang w:val="en-US" w:eastAsia="zh-CN"/>
                    </w:rPr>
                    <w:t>3</w:t>
                  </w:r>
                  <w:r>
                    <w:rPr>
                      <w:rFonts w:hint="eastAsia"/>
                      <w:b/>
                      <w:color w:val="auto"/>
                      <w:szCs w:val="21"/>
                      <w:highlight w:val="none"/>
                      <w:lang w:val="en-US" w:eastAsia="zh-CN"/>
                    </w:rPr>
                    <w:t>）</w:t>
                  </w:r>
                </w:p>
              </w:tc>
              <w:tc>
                <w:tcPr>
                  <w:tcW w:w="1085" w:type="dxa"/>
                  <w:noWrap/>
                  <w:vAlign w:val="center"/>
                </w:tcPr>
                <w:p w14:paraId="78F69AEA">
                  <w:pPr>
                    <w:snapToGrid w:val="0"/>
                    <w:jc w:val="center"/>
                    <w:rPr>
                      <w:b/>
                      <w:color w:val="auto"/>
                      <w:szCs w:val="21"/>
                      <w:highlight w:val="none"/>
                    </w:rPr>
                  </w:pPr>
                  <w:r>
                    <w:rPr>
                      <w:b/>
                      <w:bCs/>
                      <w:color w:val="auto"/>
                      <w:kern w:val="0"/>
                      <w:szCs w:val="21"/>
                      <w:highlight w:val="none"/>
                    </w:rPr>
                    <w:t>最大浓度占标率</w:t>
                  </w:r>
                </w:p>
              </w:tc>
              <w:tc>
                <w:tcPr>
                  <w:tcW w:w="995" w:type="dxa"/>
                  <w:noWrap/>
                  <w:vAlign w:val="center"/>
                </w:tcPr>
                <w:p w14:paraId="0C768DAD">
                  <w:pPr>
                    <w:snapToGrid w:val="0"/>
                    <w:jc w:val="center"/>
                    <w:rPr>
                      <w:b/>
                      <w:color w:val="auto"/>
                      <w:szCs w:val="21"/>
                      <w:highlight w:val="none"/>
                    </w:rPr>
                  </w:pPr>
                  <w:r>
                    <w:rPr>
                      <w:b/>
                      <w:color w:val="auto"/>
                      <w:szCs w:val="21"/>
                      <w:highlight w:val="none"/>
                    </w:rPr>
                    <w:t>达标</w:t>
                  </w:r>
                </w:p>
                <w:p w14:paraId="56B5F618">
                  <w:pPr>
                    <w:snapToGrid w:val="0"/>
                    <w:jc w:val="center"/>
                    <w:rPr>
                      <w:b/>
                      <w:color w:val="auto"/>
                      <w:szCs w:val="21"/>
                      <w:highlight w:val="none"/>
                    </w:rPr>
                  </w:pPr>
                  <w:r>
                    <w:rPr>
                      <w:b/>
                      <w:color w:val="auto"/>
                      <w:szCs w:val="21"/>
                      <w:highlight w:val="none"/>
                    </w:rPr>
                    <w:t>情况</w:t>
                  </w:r>
                </w:p>
              </w:tc>
            </w:tr>
            <w:tr w14:paraId="14E558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2FA71763">
                  <w:pPr>
                    <w:snapToGrid w:val="0"/>
                    <w:jc w:val="center"/>
                    <w:rPr>
                      <w:bCs/>
                      <w:color w:val="auto"/>
                      <w:szCs w:val="21"/>
                      <w:highlight w:val="none"/>
                    </w:rPr>
                  </w:pPr>
                  <w:r>
                    <w:rPr>
                      <w:bCs/>
                      <w:color w:val="auto"/>
                      <w:szCs w:val="21"/>
                      <w:highlight w:val="none"/>
                    </w:rPr>
                    <w:t>SO</w:t>
                  </w:r>
                  <w:r>
                    <w:rPr>
                      <w:bCs/>
                      <w:color w:val="auto"/>
                      <w:szCs w:val="21"/>
                      <w:highlight w:val="none"/>
                      <w:vertAlign w:val="subscript"/>
                    </w:rPr>
                    <w:t>2</w:t>
                  </w:r>
                  <w:r>
                    <w:rPr>
                      <w:bCs/>
                      <w:color w:val="auto"/>
                      <w:szCs w:val="21"/>
                      <w:highlight w:val="none"/>
                    </w:rPr>
                    <w:t>（μg/m</w:t>
                  </w:r>
                  <w:r>
                    <w:rPr>
                      <w:bCs/>
                      <w:color w:val="auto"/>
                      <w:szCs w:val="21"/>
                      <w:highlight w:val="none"/>
                      <w:vertAlign w:val="superscript"/>
                    </w:rPr>
                    <w:t>3</w:t>
                  </w:r>
                  <w:r>
                    <w:rPr>
                      <w:bCs/>
                      <w:color w:val="auto"/>
                      <w:szCs w:val="21"/>
                      <w:highlight w:val="none"/>
                    </w:rPr>
                    <w:t>）</w:t>
                  </w:r>
                </w:p>
              </w:tc>
              <w:tc>
                <w:tcPr>
                  <w:tcW w:w="1958" w:type="dxa"/>
                  <w:noWrap/>
                  <w:vAlign w:val="center"/>
                </w:tcPr>
                <w:p w14:paraId="0D584ACF">
                  <w:pPr>
                    <w:snapToGrid w:val="0"/>
                    <w:jc w:val="center"/>
                    <w:rPr>
                      <w:bCs/>
                      <w:color w:val="auto"/>
                      <w:szCs w:val="21"/>
                      <w:highlight w:val="none"/>
                    </w:rPr>
                  </w:pPr>
                  <w:r>
                    <w:rPr>
                      <w:bCs/>
                      <w:color w:val="auto"/>
                      <w:szCs w:val="21"/>
                      <w:highlight w:val="none"/>
                    </w:rPr>
                    <w:t>年平均质量浓度</w:t>
                  </w:r>
                </w:p>
              </w:tc>
              <w:tc>
                <w:tcPr>
                  <w:tcW w:w="1320" w:type="dxa"/>
                  <w:noWrap/>
                  <w:vAlign w:val="center"/>
                </w:tcPr>
                <w:p w14:paraId="5710D823">
                  <w:pPr>
                    <w:snapToGrid w:val="0"/>
                    <w:jc w:val="center"/>
                    <w:rPr>
                      <w:rFonts w:hint="eastAsia"/>
                      <w:bCs/>
                      <w:color w:val="auto"/>
                      <w:szCs w:val="21"/>
                      <w:highlight w:val="none"/>
                    </w:rPr>
                  </w:pPr>
                  <w:r>
                    <w:rPr>
                      <w:bCs/>
                      <w:color w:val="auto"/>
                      <w:szCs w:val="21"/>
                      <w:highlight w:val="none"/>
                    </w:rPr>
                    <w:t>60</w:t>
                  </w:r>
                </w:p>
              </w:tc>
              <w:tc>
                <w:tcPr>
                  <w:tcW w:w="1308" w:type="dxa"/>
                  <w:noWrap/>
                  <w:vAlign w:val="center"/>
                </w:tcPr>
                <w:p w14:paraId="7BD141AB">
                  <w:pPr>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5</w:t>
                  </w:r>
                </w:p>
              </w:tc>
              <w:tc>
                <w:tcPr>
                  <w:tcW w:w="1085" w:type="dxa"/>
                  <w:noWrap/>
                  <w:vAlign w:val="center"/>
                </w:tcPr>
                <w:p w14:paraId="39E3AA06">
                  <w:pPr>
                    <w:keepNext w:val="0"/>
                    <w:keepLines w:val="0"/>
                    <w:widowControl/>
                    <w:suppressLineNumbers w:val="0"/>
                    <w:jc w:val="center"/>
                    <w:textAlignment w:val="center"/>
                    <w:rPr>
                      <w:rFonts w:hint="default" w:eastAsia="宋体"/>
                      <w:bC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8.33%</w:t>
                  </w:r>
                </w:p>
              </w:tc>
              <w:tc>
                <w:tcPr>
                  <w:tcW w:w="995" w:type="dxa"/>
                  <w:noWrap/>
                  <w:vAlign w:val="center"/>
                </w:tcPr>
                <w:p w14:paraId="6F4A2580">
                  <w:pPr>
                    <w:snapToGrid w:val="0"/>
                    <w:jc w:val="center"/>
                    <w:rPr>
                      <w:bCs/>
                      <w:color w:val="auto"/>
                      <w:szCs w:val="21"/>
                      <w:highlight w:val="none"/>
                    </w:rPr>
                  </w:pPr>
                  <w:r>
                    <w:rPr>
                      <w:bCs/>
                      <w:color w:val="auto"/>
                      <w:szCs w:val="21"/>
                      <w:highlight w:val="none"/>
                    </w:rPr>
                    <w:t>达标</w:t>
                  </w:r>
                </w:p>
              </w:tc>
            </w:tr>
            <w:tr w14:paraId="279D5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27A812A9">
                  <w:pPr>
                    <w:snapToGrid w:val="0"/>
                    <w:jc w:val="center"/>
                    <w:rPr>
                      <w:bCs/>
                      <w:color w:val="auto"/>
                      <w:szCs w:val="21"/>
                      <w:highlight w:val="none"/>
                    </w:rPr>
                  </w:pPr>
                  <w:r>
                    <w:rPr>
                      <w:bCs/>
                      <w:color w:val="auto"/>
                      <w:szCs w:val="21"/>
                      <w:highlight w:val="none"/>
                    </w:rPr>
                    <w:t>NO</w:t>
                  </w:r>
                  <w:r>
                    <w:rPr>
                      <w:bCs/>
                      <w:color w:val="auto"/>
                      <w:szCs w:val="21"/>
                      <w:highlight w:val="none"/>
                      <w:vertAlign w:val="subscript"/>
                    </w:rPr>
                    <w:t>2</w:t>
                  </w:r>
                  <w:r>
                    <w:rPr>
                      <w:bCs/>
                      <w:color w:val="auto"/>
                      <w:szCs w:val="21"/>
                      <w:highlight w:val="none"/>
                    </w:rPr>
                    <w:t>（μg/m</w:t>
                  </w:r>
                  <w:r>
                    <w:rPr>
                      <w:bCs/>
                      <w:color w:val="auto"/>
                      <w:szCs w:val="21"/>
                      <w:highlight w:val="none"/>
                      <w:vertAlign w:val="superscript"/>
                    </w:rPr>
                    <w:t>3</w:t>
                  </w:r>
                  <w:r>
                    <w:rPr>
                      <w:bCs/>
                      <w:color w:val="auto"/>
                      <w:szCs w:val="21"/>
                      <w:highlight w:val="none"/>
                    </w:rPr>
                    <w:t>）</w:t>
                  </w:r>
                </w:p>
              </w:tc>
              <w:tc>
                <w:tcPr>
                  <w:tcW w:w="1958" w:type="dxa"/>
                  <w:noWrap/>
                  <w:vAlign w:val="center"/>
                </w:tcPr>
                <w:p w14:paraId="31DD0ADA">
                  <w:pPr>
                    <w:snapToGrid w:val="0"/>
                    <w:jc w:val="center"/>
                    <w:rPr>
                      <w:bCs/>
                      <w:color w:val="auto"/>
                      <w:szCs w:val="21"/>
                      <w:highlight w:val="none"/>
                    </w:rPr>
                  </w:pPr>
                  <w:r>
                    <w:rPr>
                      <w:bCs/>
                      <w:color w:val="auto"/>
                      <w:szCs w:val="21"/>
                      <w:highlight w:val="none"/>
                    </w:rPr>
                    <w:t>年平均质量浓度</w:t>
                  </w:r>
                </w:p>
              </w:tc>
              <w:tc>
                <w:tcPr>
                  <w:tcW w:w="1320" w:type="dxa"/>
                  <w:noWrap/>
                  <w:vAlign w:val="center"/>
                </w:tcPr>
                <w:p w14:paraId="3C25CD7D">
                  <w:pPr>
                    <w:snapToGrid w:val="0"/>
                    <w:jc w:val="center"/>
                    <w:rPr>
                      <w:rFonts w:hint="eastAsia"/>
                      <w:bCs/>
                      <w:color w:val="auto"/>
                      <w:szCs w:val="21"/>
                      <w:highlight w:val="none"/>
                    </w:rPr>
                  </w:pPr>
                  <w:r>
                    <w:rPr>
                      <w:bCs/>
                      <w:color w:val="auto"/>
                      <w:szCs w:val="21"/>
                      <w:highlight w:val="none"/>
                    </w:rPr>
                    <w:t>40</w:t>
                  </w:r>
                </w:p>
              </w:tc>
              <w:tc>
                <w:tcPr>
                  <w:tcW w:w="1308" w:type="dxa"/>
                  <w:noWrap/>
                  <w:vAlign w:val="center"/>
                </w:tcPr>
                <w:p w14:paraId="73FA87D9">
                  <w:pPr>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31</w:t>
                  </w:r>
                </w:p>
              </w:tc>
              <w:tc>
                <w:tcPr>
                  <w:tcW w:w="1085" w:type="dxa"/>
                  <w:noWrap/>
                  <w:vAlign w:val="center"/>
                </w:tcPr>
                <w:p w14:paraId="187BD676">
                  <w:pPr>
                    <w:keepNext w:val="0"/>
                    <w:keepLines w:val="0"/>
                    <w:widowControl/>
                    <w:suppressLineNumbers w:val="0"/>
                    <w:jc w:val="center"/>
                    <w:textAlignment w:val="center"/>
                    <w:rPr>
                      <w:rFonts w:hint="default" w:eastAsia="宋体"/>
                      <w:bC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77.50%</w:t>
                  </w:r>
                </w:p>
              </w:tc>
              <w:tc>
                <w:tcPr>
                  <w:tcW w:w="995" w:type="dxa"/>
                  <w:noWrap/>
                  <w:vAlign w:val="center"/>
                </w:tcPr>
                <w:p w14:paraId="25983258">
                  <w:pPr>
                    <w:snapToGrid w:val="0"/>
                    <w:jc w:val="center"/>
                    <w:rPr>
                      <w:bCs/>
                      <w:color w:val="auto"/>
                      <w:szCs w:val="21"/>
                      <w:highlight w:val="none"/>
                    </w:rPr>
                  </w:pPr>
                  <w:r>
                    <w:rPr>
                      <w:bCs/>
                      <w:color w:val="auto"/>
                      <w:szCs w:val="21"/>
                      <w:highlight w:val="none"/>
                    </w:rPr>
                    <w:t>达标</w:t>
                  </w:r>
                </w:p>
              </w:tc>
            </w:tr>
            <w:tr w14:paraId="74E5CD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6D7ADB94">
                  <w:pPr>
                    <w:snapToGrid w:val="0"/>
                    <w:jc w:val="center"/>
                    <w:rPr>
                      <w:bCs/>
                      <w:color w:val="auto"/>
                      <w:szCs w:val="21"/>
                      <w:highlight w:val="none"/>
                    </w:rPr>
                  </w:pPr>
                  <w:r>
                    <w:rPr>
                      <w:bCs/>
                      <w:color w:val="auto"/>
                      <w:szCs w:val="21"/>
                      <w:highlight w:val="none"/>
                    </w:rPr>
                    <w:t>PM</w:t>
                  </w:r>
                  <w:r>
                    <w:rPr>
                      <w:bCs/>
                      <w:color w:val="auto"/>
                      <w:szCs w:val="21"/>
                      <w:highlight w:val="none"/>
                      <w:vertAlign w:val="subscript"/>
                    </w:rPr>
                    <w:t>10</w:t>
                  </w:r>
                  <w:r>
                    <w:rPr>
                      <w:bCs/>
                      <w:color w:val="auto"/>
                      <w:szCs w:val="21"/>
                      <w:highlight w:val="none"/>
                    </w:rPr>
                    <w:t>（μg/m</w:t>
                  </w:r>
                  <w:r>
                    <w:rPr>
                      <w:bCs/>
                      <w:color w:val="auto"/>
                      <w:szCs w:val="21"/>
                      <w:highlight w:val="none"/>
                      <w:vertAlign w:val="superscript"/>
                    </w:rPr>
                    <w:t>3</w:t>
                  </w:r>
                  <w:r>
                    <w:rPr>
                      <w:bCs/>
                      <w:color w:val="auto"/>
                      <w:szCs w:val="21"/>
                      <w:highlight w:val="none"/>
                    </w:rPr>
                    <w:t>）</w:t>
                  </w:r>
                </w:p>
              </w:tc>
              <w:tc>
                <w:tcPr>
                  <w:tcW w:w="1958" w:type="dxa"/>
                  <w:noWrap/>
                  <w:vAlign w:val="center"/>
                </w:tcPr>
                <w:p w14:paraId="08C9DB96">
                  <w:pPr>
                    <w:snapToGrid w:val="0"/>
                    <w:jc w:val="center"/>
                    <w:rPr>
                      <w:bCs/>
                      <w:color w:val="auto"/>
                      <w:szCs w:val="21"/>
                      <w:highlight w:val="none"/>
                    </w:rPr>
                  </w:pPr>
                  <w:r>
                    <w:rPr>
                      <w:bCs/>
                      <w:color w:val="auto"/>
                      <w:szCs w:val="21"/>
                      <w:highlight w:val="none"/>
                    </w:rPr>
                    <w:t>年平均质量浓度</w:t>
                  </w:r>
                </w:p>
              </w:tc>
              <w:tc>
                <w:tcPr>
                  <w:tcW w:w="1320" w:type="dxa"/>
                  <w:noWrap/>
                  <w:vAlign w:val="center"/>
                </w:tcPr>
                <w:p w14:paraId="01215B77">
                  <w:pPr>
                    <w:snapToGrid w:val="0"/>
                    <w:jc w:val="center"/>
                    <w:rPr>
                      <w:rFonts w:hint="eastAsia"/>
                      <w:bCs/>
                      <w:color w:val="auto"/>
                      <w:szCs w:val="21"/>
                      <w:highlight w:val="none"/>
                    </w:rPr>
                  </w:pPr>
                  <w:r>
                    <w:rPr>
                      <w:bCs/>
                      <w:color w:val="auto"/>
                      <w:szCs w:val="21"/>
                      <w:highlight w:val="none"/>
                    </w:rPr>
                    <w:t>70</w:t>
                  </w:r>
                </w:p>
              </w:tc>
              <w:tc>
                <w:tcPr>
                  <w:tcW w:w="1308" w:type="dxa"/>
                  <w:noWrap/>
                  <w:vAlign w:val="center"/>
                </w:tcPr>
                <w:p w14:paraId="091C4EA1">
                  <w:pPr>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74</w:t>
                  </w:r>
                </w:p>
              </w:tc>
              <w:tc>
                <w:tcPr>
                  <w:tcW w:w="1085" w:type="dxa"/>
                  <w:noWrap/>
                  <w:vAlign w:val="center"/>
                </w:tcPr>
                <w:p w14:paraId="6FE3F7BE">
                  <w:pPr>
                    <w:keepNext w:val="0"/>
                    <w:keepLines w:val="0"/>
                    <w:widowControl/>
                    <w:suppressLineNumbers w:val="0"/>
                    <w:jc w:val="center"/>
                    <w:textAlignment w:val="center"/>
                    <w:rPr>
                      <w:rFonts w:hint="default" w:eastAsia="宋体"/>
                      <w:bC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105.71%</w:t>
                  </w:r>
                </w:p>
              </w:tc>
              <w:tc>
                <w:tcPr>
                  <w:tcW w:w="995" w:type="dxa"/>
                  <w:noWrap/>
                  <w:vAlign w:val="center"/>
                </w:tcPr>
                <w:p w14:paraId="614E3592">
                  <w:pPr>
                    <w:snapToGrid w:val="0"/>
                    <w:jc w:val="center"/>
                    <w:rPr>
                      <w:rFonts w:hint="eastAsia"/>
                      <w:bCs/>
                      <w:color w:val="auto"/>
                      <w:szCs w:val="21"/>
                      <w:highlight w:val="none"/>
                    </w:rPr>
                  </w:pPr>
                  <w:r>
                    <w:rPr>
                      <w:rFonts w:hint="eastAsia"/>
                      <w:bCs/>
                      <w:color w:val="auto"/>
                      <w:szCs w:val="21"/>
                      <w:highlight w:val="none"/>
                    </w:rPr>
                    <w:t>不达标</w:t>
                  </w:r>
                </w:p>
              </w:tc>
            </w:tr>
            <w:tr w14:paraId="7E7078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229E1B6D">
                  <w:pPr>
                    <w:snapToGrid w:val="0"/>
                    <w:jc w:val="center"/>
                    <w:rPr>
                      <w:bCs/>
                      <w:color w:val="auto"/>
                      <w:szCs w:val="21"/>
                      <w:highlight w:val="none"/>
                    </w:rPr>
                  </w:pPr>
                  <w:r>
                    <w:rPr>
                      <w:bCs/>
                      <w:color w:val="auto"/>
                      <w:szCs w:val="21"/>
                      <w:highlight w:val="none"/>
                    </w:rPr>
                    <w:t>PM</w:t>
                  </w:r>
                  <w:r>
                    <w:rPr>
                      <w:bCs/>
                      <w:color w:val="auto"/>
                      <w:szCs w:val="21"/>
                      <w:highlight w:val="none"/>
                      <w:vertAlign w:val="subscript"/>
                    </w:rPr>
                    <w:t>2.</w:t>
                  </w:r>
                  <w:r>
                    <w:rPr>
                      <w:rFonts w:hint="eastAsia"/>
                      <w:bCs/>
                      <w:color w:val="auto"/>
                      <w:szCs w:val="21"/>
                      <w:highlight w:val="none"/>
                      <w:vertAlign w:val="subscript"/>
                    </w:rPr>
                    <w:t>5</w:t>
                  </w:r>
                  <w:r>
                    <w:rPr>
                      <w:bCs/>
                      <w:color w:val="auto"/>
                      <w:szCs w:val="21"/>
                      <w:highlight w:val="none"/>
                    </w:rPr>
                    <w:t>（μg/m</w:t>
                  </w:r>
                  <w:r>
                    <w:rPr>
                      <w:bCs/>
                      <w:color w:val="auto"/>
                      <w:szCs w:val="21"/>
                      <w:highlight w:val="none"/>
                      <w:vertAlign w:val="superscript"/>
                    </w:rPr>
                    <w:t>3</w:t>
                  </w:r>
                  <w:r>
                    <w:rPr>
                      <w:bCs/>
                      <w:color w:val="auto"/>
                      <w:szCs w:val="21"/>
                      <w:highlight w:val="none"/>
                    </w:rPr>
                    <w:t>）</w:t>
                  </w:r>
                </w:p>
              </w:tc>
              <w:tc>
                <w:tcPr>
                  <w:tcW w:w="1958" w:type="dxa"/>
                  <w:noWrap/>
                  <w:vAlign w:val="center"/>
                </w:tcPr>
                <w:p w14:paraId="46119319">
                  <w:pPr>
                    <w:snapToGrid w:val="0"/>
                    <w:jc w:val="center"/>
                    <w:rPr>
                      <w:bCs/>
                      <w:color w:val="auto"/>
                      <w:szCs w:val="21"/>
                      <w:highlight w:val="none"/>
                    </w:rPr>
                  </w:pPr>
                  <w:r>
                    <w:rPr>
                      <w:bCs/>
                      <w:color w:val="auto"/>
                      <w:szCs w:val="21"/>
                      <w:highlight w:val="none"/>
                    </w:rPr>
                    <w:t>年平均质量浓度</w:t>
                  </w:r>
                </w:p>
              </w:tc>
              <w:tc>
                <w:tcPr>
                  <w:tcW w:w="1320" w:type="dxa"/>
                  <w:noWrap/>
                  <w:vAlign w:val="center"/>
                </w:tcPr>
                <w:p w14:paraId="7F7F0841">
                  <w:pPr>
                    <w:snapToGrid w:val="0"/>
                    <w:jc w:val="center"/>
                    <w:rPr>
                      <w:rFonts w:hint="eastAsia"/>
                      <w:bCs/>
                      <w:color w:val="auto"/>
                      <w:szCs w:val="21"/>
                      <w:highlight w:val="none"/>
                    </w:rPr>
                  </w:pPr>
                  <w:r>
                    <w:rPr>
                      <w:bCs/>
                      <w:color w:val="auto"/>
                      <w:szCs w:val="21"/>
                      <w:highlight w:val="none"/>
                    </w:rPr>
                    <w:t>35</w:t>
                  </w:r>
                </w:p>
              </w:tc>
              <w:tc>
                <w:tcPr>
                  <w:tcW w:w="1308" w:type="dxa"/>
                  <w:noWrap/>
                  <w:vAlign w:val="center"/>
                </w:tcPr>
                <w:p w14:paraId="276ED516">
                  <w:pPr>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43</w:t>
                  </w:r>
                </w:p>
              </w:tc>
              <w:tc>
                <w:tcPr>
                  <w:tcW w:w="1085" w:type="dxa"/>
                  <w:noWrap/>
                  <w:vAlign w:val="center"/>
                </w:tcPr>
                <w:p w14:paraId="072A3E24">
                  <w:pPr>
                    <w:keepNext w:val="0"/>
                    <w:keepLines w:val="0"/>
                    <w:widowControl/>
                    <w:suppressLineNumbers w:val="0"/>
                    <w:jc w:val="center"/>
                    <w:textAlignment w:val="center"/>
                    <w:rPr>
                      <w:rFonts w:hint="default" w:eastAsia="宋体"/>
                      <w:bC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122.86%</w:t>
                  </w:r>
                </w:p>
              </w:tc>
              <w:tc>
                <w:tcPr>
                  <w:tcW w:w="995" w:type="dxa"/>
                  <w:noWrap/>
                  <w:vAlign w:val="center"/>
                </w:tcPr>
                <w:p w14:paraId="2831AE49">
                  <w:pPr>
                    <w:snapToGrid w:val="0"/>
                    <w:jc w:val="center"/>
                    <w:rPr>
                      <w:bCs/>
                      <w:color w:val="auto"/>
                      <w:szCs w:val="21"/>
                      <w:highlight w:val="none"/>
                    </w:rPr>
                  </w:pPr>
                  <w:r>
                    <w:rPr>
                      <w:rFonts w:hint="eastAsia"/>
                      <w:bCs/>
                      <w:color w:val="auto"/>
                      <w:szCs w:val="21"/>
                      <w:highlight w:val="none"/>
                    </w:rPr>
                    <w:t>不达标</w:t>
                  </w:r>
                </w:p>
              </w:tc>
            </w:tr>
            <w:tr w14:paraId="33AD44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56631EE0">
                  <w:pPr>
                    <w:snapToGrid w:val="0"/>
                    <w:jc w:val="center"/>
                    <w:rPr>
                      <w:bCs/>
                      <w:color w:val="auto"/>
                      <w:szCs w:val="21"/>
                      <w:highlight w:val="none"/>
                    </w:rPr>
                  </w:pPr>
                  <w:r>
                    <w:rPr>
                      <w:bCs/>
                      <w:color w:val="auto"/>
                      <w:szCs w:val="21"/>
                      <w:highlight w:val="none"/>
                    </w:rPr>
                    <w:t>CO（mg/m</w:t>
                  </w:r>
                  <w:r>
                    <w:rPr>
                      <w:bCs/>
                      <w:color w:val="auto"/>
                      <w:szCs w:val="21"/>
                      <w:highlight w:val="none"/>
                      <w:vertAlign w:val="superscript"/>
                    </w:rPr>
                    <w:t>3</w:t>
                  </w:r>
                  <w:r>
                    <w:rPr>
                      <w:bCs/>
                      <w:color w:val="auto"/>
                      <w:szCs w:val="21"/>
                      <w:highlight w:val="none"/>
                    </w:rPr>
                    <w:t>）</w:t>
                  </w:r>
                </w:p>
              </w:tc>
              <w:tc>
                <w:tcPr>
                  <w:tcW w:w="1958" w:type="dxa"/>
                  <w:noWrap/>
                  <w:vAlign w:val="center"/>
                </w:tcPr>
                <w:p w14:paraId="31A18103">
                  <w:pPr>
                    <w:keepNext w:val="0"/>
                    <w:keepLines w:val="0"/>
                    <w:suppressLineNumbers w:val="0"/>
                    <w:snapToGrid w:val="0"/>
                    <w:spacing w:before="0" w:beforeAutospacing="0" w:after="0" w:afterAutospacing="0"/>
                    <w:ind w:left="0" w:leftChars="0" w:right="0" w:rightChars="0"/>
                    <w:jc w:val="center"/>
                    <w:rPr>
                      <w:rFonts w:hint="default" w:eastAsia="宋体"/>
                      <w:bCs/>
                      <w:color w:val="auto"/>
                      <w:szCs w:val="21"/>
                      <w:highlight w:val="none"/>
                      <w:lang w:val="en-US" w:eastAsia="zh-CN"/>
                    </w:rPr>
                  </w:pPr>
                  <w:r>
                    <w:rPr>
                      <w:rFonts w:hint="default" w:ascii="Times New Roman" w:hAnsi="Times New Roman" w:cs="Times New Roman"/>
                      <w:bCs/>
                      <w:color w:val="auto"/>
                      <w:szCs w:val="21"/>
                      <w:highlight w:val="none"/>
                    </w:rPr>
                    <w:t>第95百分位数日平均质量浓度</w:t>
                  </w:r>
                </w:p>
              </w:tc>
              <w:tc>
                <w:tcPr>
                  <w:tcW w:w="1320" w:type="dxa"/>
                  <w:noWrap/>
                  <w:vAlign w:val="center"/>
                </w:tcPr>
                <w:p w14:paraId="0C4F3FEF">
                  <w:pPr>
                    <w:snapToGrid w:val="0"/>
                    <w:jc w:val="center"/>
                    <w:rPr>
                      <w:rFonts w:hint="eastAsia"/>
                      <w:bCs/>
                      <w:color w:val="auto"/>
                      <w:szCs w:val="21"/>
                      <w:highlight w:val="none"/>
                    </w:rPr>
                  </w:pPr>
                  <w:r>
                    <w:rPr>
                      <w:bCs/>
                      <w:color w:val="auto"/>
                      <w:szCs w:val="21"/>
                      <w:highlight w:val="none"/>
                    </w:rPr>
                    <w:t>4.0</w:t>
                  </w:r>
                  <w:r>
                    <w:rPr>
                      <w:rFonts w:hint="default" w:ascii="Times New Roman" w:hAnsi="Times New Roman" w:eastAsia="宋体" w:cs="Times New Roman"/>
                      <w:bCs/>
                      <w:color w:val="auto"/>
                      <w:sz w:val="21"/>
                      <w:szCs w:val="21"/>
                      <w:highlight w:val="none"/>
                      <w:lang w:val="en-US" w:eastAsia="zh-CN"/>
                    </w:rPr>
                    <w:t>mg/m</w:t>
                  </w:r>
                  <w:r>
                    <w:rPr>
                      <w:rFonts w:hint="default" w:ascii="Times New Roman" w:hAnsi="Times New Roman" w:eastAsia="宋体" w:cs="Times New Roman"/>
                      <w:bCs/>
                      <w:color w:val="auto"/>
                      <w:sz w:val="21"/>
                      <w:szCs w:val="21"/>
                      <w:highlight w:val="none"/>
                      <w:vertAlign w:val="superscript"/>
                      <w:lang w:val="en-US" w:eastAsia="zh-CN"/>
                    </w:rPr>
                    <w:t>3</w:t>
                  </w:r>
                </w:p>
              </w:tc>
              <w:tc>
                <w:tcPr>
                  <w:tcW w:w="1308" w:type="dxa"/>
                  <w:noWrap/>
                  <w:vAlign w:val="center"/>
                </w:tcPr>
                <w:p w14:paraId="4CC6874B">
                  <w:pPr>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1.1</w:t>
                  </w:r>
                  <w:r>
                    <w:rPr>
                      <w:rFonts w:hint="default" w:ascii="Times New Roman" w:hAnsi="Times New Roman" w:eastAsia="宋体" w:cs="Times New Roman"/>
                      <w:bCs/>
                      <w:color w:val="auto"/>
                      <w:sz w:val="21"/>
                      <w:szCs w:val="21"/>
                      <w:highlight w:val="none"/>
                      <w:lang w:val="en-US" w:eastAsia="zh-CN"/>
                    </w:rPr>
                    <w:t>mg/m</w:t>
                  </w:r>
                  <w:r>
                    <w:rPr>
                      <w:rFonts w:hint="default" w:ascii="Times New Roman" w:hAnsi="Times New Roman" w:eastAsia="宋体" w:cs="Times New Roman"/>
                      <w:bCs/>
                      <w:color w:val="auto"/>
                      <w:sz w:val="21"/>
                      <w:szCs w:val="21"/>
                      <w:highlight w:val="none"/>
                      <w:vertAlign w:val="superscript"/>
                      <w:lang w:val="en-US" w:eastAsia="zh-CN"/>
                    </w:rPr>
                    <w:t>3</w:t>
                  </w:r>
                </w:p>
              </w:tc>
              <w:tc>
                <w:tcPr>
                  <w:tcW w:w="1085" w:type="dxa"/>
                  <w:noWrap/>
                  <w:vAlign w:val="center"/>
                </w:tcPr>
                <w:p w14:paraId="78BDBC84">
                  <w:pPr>
                    <w:keepNext w:val="0"/>
                    <w:keepLines w:val="0"/>
                    <w:widowControl/>
                    <w:suppressLineNumbers w:val="0"/>
                    <w:jc w:val="center"/>
                    <w:textAlignment w:val="center"/>
                    <w:rPr>
                      <w:rFonts w:hint="default" w:eastAsia="宋体"/>
                      <w:bC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27.50%</w:t>
                  </w:r>
                </w:p>
              </w:tc>
              <w:tc>
                <w:tcPr>
                  <w:tcW w:w="995" w:type="dxa"/>
                  <w:noWrap/>
                  <w:vAlign w:val="center"/>
                </w:tcPr>
                <w:p w14:paraId="406FAC42">
                  <w:pPr>
                    <w:snapToGrid w:val="0"/>
                    <w:jc w:val="center"/>
                    <w:rPr>
                      <w:bCs/>
                      <w:color w:val="auto"/>
                      <w:szCs w:val="21"/>
                      <w:highlight w:val="none"/>
                    </w:rPr>
                  </w:pPr>
                  <w:r>
                    <w:rPr>
                      <w:bCs/>
                      <w:color w:val="auto"/>
                      <w:szCs w:val="21"/>
                      <w:highlight w:val="none"/>
                    </w:rPr>
                    <w:t>达标</w:t>
                  </w:r>
                </w:p>
              </w:tc>
            </w:tr>
            <w:tr w14:paraId="43686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2" w:type="dxa"/>
                  <w:noWrap/>
                  <w:vAlign w:val="center"/>
                </w:tcPr>
                <w:p w14:paraId="0E73126F">
                  <w:pPr>
                    <w:snapToGrid w:val="0"/>
                    <w:jc w:val="center"/>
                    <w:rPr>
                      <w:bCs/>
                      <w:color w:val="auto"/>
                      <w:szCs w:val="21"/>
                      <w:highlight w:val="none"/>
                    </w:rPr>
                  </w:pPr>
                  <w:r>
                    <w:rPr>
                      <w:bCs/>
                      <w:color w:val="auto"/>
                      <w:szCs w:val="21"/>
                      <w:highlight w:val="none"/>
                    </w:rPr>
                    <w:t>O</w:t>
                  </w:r>
                  <w:r>
                    <w:rPr>
                      <w:bCs/>
                      <w:color w:val="auto"/>
                      <w:szCs w:val="21"/>
                      <w:highlight w:val="none"/>
                      <w:vertAlign w:val="subscript"/>
                    </w:rPr>
                    <w:t>3</w:t>
                  </w:r>
                  <w:r>
                    <w:rPr>
                      <w:bCs/>
                      <w:color w:val="auto"/>
                      <w:szCs w:val="21"/>
                      <w:highlight w:val="none"/>
                    </w:rPr>
                    <w:t>（μg/m</w:t>
                  </w:r>
                  <w:r>
                    <w:rPr>
                      <w:bCs/>
                      <w:color w:val="auto"/>
                      <w:szCs w:val="21"/>
                      <w:highlight w:val="none"/>
                      <w:vertAlign w:val="superscript"/>
                    </w:rPr>
                    <w:t>3</w:t>
                  </w:r>
                  <w:r>
                    <w:rPr>
                      <w:bCs/>
                      <w:color w:val="auto"/>
                      <w:szCs w:val="21"/>
                      <w:highlight w:val="none"/>
                    </w:rPr>
                    <w:t>）</w:t>
                  </w:r>
                </w:p>
              </w:tc>
              <w:tc>
                <w:tcPr>
                  <w:tcW w:w="1958" w:type="dxa"/>
                  <w:noWrap/>
                  <w:vAlign w:val="center"/>
                </w:tcPr>
                <w:p w14:paraId="112224D0">
                  <w:pPr>
                    <w:keepNext w:val="0"/>
                    <w:keepLines w:val="0"/>
                    <w:suppressLineNumbers w:val="0"/>
                    <w:snapToGrid w:val="0"/>
                    <w:spacing w:before="0" w:beforeAutospacing="0" w:after="0" w:afterAutospacing="0"/>
                    <w:ind w:left="0" w:leftChars="0" w:right="0" w:rightChars="0"/>
                    <w:jc w:val="center"/>
                    <w:rPr>
                      <w:rFonts w:hint="default" w:eastAsia="宋体"/>
                      <w:bCs/>
                      <w:color w:val="auto"/>
                      <w:szCs w:val="21"/>
                      <w:highlight w:val="none"/>
                      <w:lang w:val="en-US" w:eastAsia="zh-CN"/>
                    </w:rPr>
                  </w:pPr>
                  <w:r>
                    <w:rPr>
                      <w:rFonts w:hint="default" w:ascii="Times New Roman" w:hAnsi="Times New Roman" w:cs="Times New Roman"/>
                      <w:bCs/>
                      <w:color w:val="auto"/>
                      <w:szCs w:val="21"/>
                      <w:highlight w:val="none"/>
                    </w:rPr>
                    <w:t>第90百分位数日最大8小时平均质量浓度</w:t>
                  </w:r>
                </w:p>
              </w:tc>
              <w:tc>
                <w:tcPr>
                  <w:tcW w:w="1320" w:type="dxa"/>
                  <w:noWrap/>
                  <w:vAlign w:val="center"/>
                </w:tcPr>
                <w:p w14:paraId="31BFAF5D">
                  <w:pPr>
                    <w:snapToGrid w:val="0"/>
                    <w:jc w:val="center"/>
                    <w:rPr>
                      <w:bCs/>
                      <w:color w:val="auto"/>
                      <w:szCs w:val="21"/>
                      <w:highlight w:val="none"/>
                    </w:rPr>
                  </w:pPr>
                  <w:r>
                    <w:rPr>
                      <w:bCs/>
                      <w:color w:val="auto"/>
                      <w:szCs w:val="21"/>
                      <w:highlight w:val="none"/>
                    </w:rPr>
                    <w:t>160</w:t>
                  </w:r>
                </w:p>
              </w:tc>
              <w:tc>
                <w:tcPr>
                  <w:tcW w:w="1308" w:type="dxa"/>
                  <w:noWrap/>
                  <w:vAlign w:val="center"/>
                </w:tcPr>
                <w:p w14:paraId="74A4EAFD">
                  <w:pPr>
                    <w:snapToGrid w:val="0"/>
                    <w:jc w:val="center"/>
                    <w:rPr>
                      <w:rFonts w:hint="default" w:eastAsia="宋体"/>
                      <w:bCs/>
                      <w:color w:val="auto"/>
                      <w:szCs w:val="21"/>
                      <w:highlight w:val="none"/>
                      <w:lang w:val="en-US" w:eastAsia="zh-CN"/>
                    </w:rPr>
                  </w:pPr>
                  <w:r>
                    <w:rPr>
                      <w:rFonts w:hint="eastAsia" w:eastAsia="宋体"/>
                      <w:bCs/>
                      <w:color w:val="auto"/>
                      <w:szCs w:val="21"/>
                      <w:highlight w:val="none"/>
                      <w:lang w:val="en-US" w:eastAsia="zh-CN"/>
                    </w:rPr>
                    <w:t>16</w:t>
                  </w:r>
                  <w:r>
                    <w:rPr>
                      <w:rFonts w:hint="eastAsia"/>
                      <w:bCs/>
                      <w:color w:val="auto"/>
                      <w:szCs w:val="21"/>
                      <w:highlight w:val="none"/>
                      <w:lang w:val="en-US" w:eastAsia="zh-CN"/>
                    </w:rPr>
                    <w:t>8</w:t>
                  </w:r>
                </w:p>
              </w:tc>
              <w:tc>
                <w:tcPr>
                  <w:tcW w:w="1085" w:type="dxa"/>
                  <w:noWrap/>
                  <w:vAlign w:val="center"/>
                </w:tcPr>
                <w:p w14:paraId="251FCB82">
                  <w:pPr>
                    <w:keepNext w:val="0"/>
                    <w:keepLines w:val="0"/>
                    <w:widowControl/>
                    <w:suppressLineNumbers w:val="0"/>
                    <w:jc w:val="center"/>
                    <w:textAlignment w:val="center"/>
                    <w:rPr>
                      <w:rFonts w:hint="default" w:eastAsia="宋体"/>
                      <w:bCs/>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105.00%</w:t>
                  </w:r>
                </w:p>
              </w:tc>
              <w:tc>
                <w:tcPr>
                  <w:tcW w:w="995" w:type="dxa"/>
                  <w:noWrap/>
                  <w:vAlign w:val="center"/>
                </w:tcPr>
                <w:p w14:paraId="70F35752">
                  <w:pPr>
                    <w:snapToGrid w:val="0"/>
                    <w:jc w:val="center"/>
                    <w:rPr>
                      <w:bCs/>
                      <w:color w:val="auto"/>
                      <w:szCs w:val="21"/>
                      <w:highlight w:val="none"/>
                    </w:rPr>
                  </w:pPr>
                  <w:r>
                    <w:rPr>
                      <w:rFonts w:hint="eastAsia"/>
                      <w:bCs/>
                      <w:color w:val="auto"/>
                      <w:szCs w:val="21"/>
                      <w:highlight w:val="none"/>
                      <w:lang w:val="en-US" w:eastAsia="zh-CN"/>
                    </w:rPr>
                    <w:t>不</w:t>
                  </w:r>
                  <w:r>
                    <w:rPr>
                      <w:rFonts w:hint="eastAsia"/>
                      <w:bCs/>
                      <w:color w:val="auto"/>
                      <w:szCs w:val="21"/>
                      <w:highlight w:val="none"/>
                    </w:rPr>
                    <w:t>达标</w:t>
                  </w:r>
                </w:p>
              </w:tc>
            </w:tr>
          </w:tbl>
          <w:p w14:paraId="20982AAD">
            <w:pPr>
              <w:adjustRightInd w:val="0"/>
              <w:snapToGrid w:val="0"/>
              <w:spacing w:before="120" w:beforeLines="50" w:line="360" w:lineRule="auto"/>
              <w:ind w:firstLine="480" w:firstLineChars="200"/>
              <w:rPr>
                <w:color w:val="auto"/>
                <w:sz w:val="24"/>
                <w:highlight w:val="none"/>
              </w:rPr>
            </w:pPr>
            <w:r>
              <w:rPr>
                <w:bCs/>
                <w:color w:val="auto"/>
                <w:sz w:val="24"/>
                <w:highlight w:val="none"/>
              </w:rPr>
              <w:t>从</w:t>
            </w:r>
            <w:r>
              <w:rPr>
                <w:color w:val="auto"/>
                <w:kern w:val="0"/>
                <w:sz w:val="24"/>
                <w:highlight w:val="none"/>
              </w:rPr>
              <w:t>表3</w:t>
            </w:r>
            <w:r>
              <w:rPr>
                <w:rFonts w:hint="eastAsia"/>
                <w:color w:val="auto"/>
                <w:kern w:val="0"/>
                <w:sz w:val="24"/>
                <w:highlight w:val="none"/>
              </w:rPr>
              <w:t>-</w:t>
            </w:r>
            <w:r>
              <w:rPr>
                <w:color w:val="auto"/>
                <w:kern w:val="0"/>
                <w:sz w:val="24"/>
                <w:highlight w:val="none"/>
              </w:rPr>
              <w:t>1</w:t>
            </w:r>
            <w:r>
              <w:rPr>
                <w:bCs/>
                <w:color w:val="auto"/>
                <w:sz w:val="24"/>
                <w:highlight w:val="none"/>
              </w:rPr>
              <w:t>可知，</w:t>
            </w:r>
            <w:r>
              <w:rPr>
                <w:rFonts w:hint="eastAsia"/>
                <w:bCs/>
                <w:color w:val="auto"/>
                <w:sz w:val="24"/>
                <w:highlight w:val="none"/>
              </w:rPr>
              <w:t>西咸</w:t>
            </w:r>
            <w:r>
              <w:rPr>
                <w:bCs/>
                <w:color w:val="auto"/>
                <w:sz w:val="24"/>
                <w:highlight w:val="none"/>
              </w:rPr>
              <w:t>新区</w:t>
            </w:r>
            <w:r>
              <w:rPr>
                <w:rFonts w:hint="eastAsia"/>
                <w:bCs/>
                <w:color w:val="auto"/>
                <w:sz w:val="24"/>
                <w:highlight w:val="none"/>
                <w:lang w:val="en-US" w:eastAsia="zh-CN"/>
              </w:rPr>
              <w:t>沣东新城</w:t>
            </w:r>
            <w:r>
              <w:rPr>
                <w:color w:val="auto"/>
                <w:sz w:val="24"/>
                <w:highlight w:val="none"/>
              </w:rPr>
              <w:t>环境空气常规六项指标中，SO</w:t>
            </w:r>
            <w:r>
              <w:rPr>
                <w:color w:val="auto"/>
                <w:sz w:val="24"/>
                <w:highlight w:val="none"/>
                <w:vertAlign w:val="subscript"/>
              </w:rPr>
              <w:t>2</w:t>
            </w:r>
            <w:r>
              <w:rPr>
                <w:color w:val="auto"/>
                <w:sz w:val="24"/>
                <w:highlight w:val="none"/>
              </w:rPr>
              <w:t>年平均质量浓度、NO</w:t>
            </w:r>
            <w:r>
              <w:rPr>
                <w:color w:val="auto"/>
                <w:sz w:val="24"/>
                <w:highlight w:val="none"/>
                <w:vertAlign w:val="subscript"/>
              </w:rPr>
              <w:t>2</w:t>
            </w:r>
            <w:r>
              <w:rPr>
                <w:color w:val="auto"/>
                <w:sz w:val="24"/>
                <w:highlight w:val="none"/>
              </w:rPr>
              <w:t>年平均质量浓度、CO</w:t>
            </w:r>
            <w:r>
              <w:rPr>
                <w:rFonts w:hint="eastAsia"/>
                <w:color w:val="auto"/>
                <w:sz w:val="24"/>
                <w:highlight w:val="none"/>
                <w:lang w:val="en-US" w:eastAsia="zh-CN"/>
              </w:rPr>
              <w:t>第95百分位数日平均质量浓度满足</w:t>
            </w:r>
            <w:r>
              <w:rPr>
                <w:color w:val="auto"/>
                <w:sz w:val="24"/>
                <w:highlight w:val="none"/>
              </w:rPr>
              <w:t>《环境空气质量标准》（GB3095-2012）二级标准要求，</w:t>
            </w:r>
            <w:r>
              <w:rPr>
                <w:rFonts w:hint="eastAsia"/>
                <w:color w:val="auto"/>
                <w:sz w:val="24"/>
                <w:highlight w:val="none"/>
                <w:lang w:val="en-US" w:eastAsia="zh-CN"/>
              </w:rPr>
              <w:t>O</w:t>
            </w:r>
            <w:r>
              <w:rPr>
                <w:rFonts w:hint="eastAsia"/>
                <w:color w:val="auto"/>
                <w:sz w:val="24"/>
                <w:highlight w:val="none"/>
                <w:vertAlign w:val="subscript"/>
                <w:lang w:val="en-US" w:eastAsia="zh-CN"/>
              </w:rPr>
              <w:t>3</w:t>
            </w:r>
            <w:r>
              <w:rPr>
                <w:rFonts w:hint="eastAsia"/>
                <w:color w:val="auto"/>
                <w:sz w:val="24"/>
                <w:highlight w:val="none"/>
              </w:rPr>
              <w:t>第90百分位数日最大8小时平均质量浓度</w:t>
            </w:r>
            <w:r>
              <w:rPr>
                <w:rFonts w:hint="eastAsia"/>
                <w:color w:val="auto"/>
                <w:sz w:val="24"/>
                <w:highlight w:val="none"/>
                <w:lang w:eastAsia="zh-CN"/>
              </w:rPr>
              <w:t>、</w:t>
            </w:r>
            <w:r>
              <w:rPr>
                <w:color w:val="auto"/>
                <w:sz w:val="24"/>
                <w:highlight w:val="none"/>
              </w:rPr>
              <w:t>PM</w:t>
            </w:r>
            <w:r>
              <w:rPr>
                <w:color w:val="auto"/>
                <w:sz w:val="24"/>
                <w:highlight w:val="none"/>
                <w:vertAlign w:val="subscript"/>
              </w:rPr>
              <w:t>2.5</w:t>
            </w:r>
            <w:r>
              <w:rPr>
                <w:color w:val="auto"/>
                <w:sz w:val="24"/>
                <w:highlight w:val="none"/>
              </w:rPr>
              <w:t>年平均质量浓度</w:t>
            </w:r>
            <w:r>
              <w:rPr>
                <w:rFonts w:hint="eastAsia"/>
                <w:color w:val="auto"/>
                <w:sz w:val="24"/>
                <w:highlight w:val="none"/>
              </w:rPr>
              <w:t>、PM</w:t>
            </w:r>
            <w:r>
              <w:rPr>
                <w:rFonts w:hint="eastAsia"/>
                <w:color w:val="auto"/>
                <w:sz w:val="24"/>
                <w:highlight w:val="none"/>
                <w:vertAlign w:val="subscript"/>
              </w:rPr>
              <w:t>10</w:t>
            </w:r>
            <w:r>
              <w:rPr>
                <w:color w:val="auto"/>
                <w:sz w:val="24"/>
                <w:highlight w:val="none"/>
              </w:rPr>
              <w:t>年平均质量浓度超过《环境空气质量标准》（GB3095-2012）二级标准要求。</w:t>
            </w:r>
          </w:p>
          <w:p w14:paraId="251F600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highlight w:val="none"/>
              </w:rPr>
            </w:pPr>
            <w:r>
              <w:rPr>
                <w:color w:val="auto"/>
                <w:sz w:val="24"/>
                <w:highlight w:val="none"/>
              </w:rPr>
              <w:t>城市环境空气质量达标情况评价指标为SO</w:t>
            </w:r>
            <w:r>
              <w:rPr>
                <w:color w:val="auto"/>
                <w:sz w:val="24"/>
                <w:highlight w:val="none"/>
                <w:vertAlign w:val="subscript"/>
              </w:rPr>
              <w:t>2</w:t>
            </w:r>
            <w:r>
              <w:rPr>
                <w:color w:val="auto"/>
                <w:sz w:val="24"/>
                <w:highlight w:val="none"/>
              </w:rPr>
              <w:t>、NO</w:t>
            </w:r>
            <w:r>
              <w:rPr>
                <w:color w:val="auto"/>
                <w:sz w:val="24"/>
                <w:highlight w:val="none"/>
                <w:vertAlign w:val="subscript"/>
              </w:rPr>
              <w:t>2</w:t>
            </w:r>
            <w:r>
              <w:rPr>
                <w:color w:val="auto"/>
                <w:sz w:val="24"/>
                <w:highlight w:val="none"/>
              </w:rPr>
              <w:t>、PM</w:t>
            </w:r>
            <w:r>
              <w:rPr>
                <w:color w:val="auto"/>
                <w:sz w:val="24"/>
                <w:highlight w:val="none"/>
                <w:vertAlign w:val="subscript"/>
              </w:rPr>
              <w:t>10</w:t>
            </w:r>
            <w:r>
              <w:rPr>
                <w:color w:val="auto"/>
                <w:sz w:val="24"/>
                <w:highlight w:val="none"/>
              </w:rPr>
              <w:t>、PM</w:t>
            </w:r>
            <w:r>
              <w:rPr>
                <w:color w:val="auto"/>
                <w:sz w:val="24"/>
                <w:highlight w:val="none"/>
                <w:vertAlign w:val="subscript"/>
              </w:rPr>
              <w:t>2.5</w:t>
            </w:r>
            <w:r>
              <w:rPr>
                <w:color w:val="auto"/>
                <w:sz w:val="24"/>
                <w:highlight w:val="none"/>
              </w:rPr>
              <w:t>、CO、O</w:t>
            </w:r>
            <w:r>
              <w:rPr>
                <w:color w:val="auto"/>
                <w:sz w:val="24"/>
                <w:highlight w:val="none"/>
                <w:vertAlign w:val="subscript"/>
              </w:rPr>
              <w:t>3</w:t>
            </w:r>
            <w:r>
              <w:rPr>
                <w:color w:val="auto"/>
                <w:sz w:val="24"/>
                <w:highlight w:val="none"/>
              </w:rPr>
              <w:t>，六项污染物年评价指标全部达标即为环境空气质量达标。因此项目所在区域属于不达标区域。</w:t>
            </w:r>
          </w:p>
          <w:p w14:paraId="0E357B83">
            <w:pPr>
              <w:tabs>
                <w:tab w:val="left" w:pos="8922"/>
                <w:tab w:val="left" w:pos="9012"/>
              </w:tabs>
              <w:adjustRightInd w:val="0"/>
              <w:snapToGrid w:val="0"/>
              <w:spacing w:line="360" w:lineRule="auto"/>
              <w:rPr>
                <w:rFonts w:hint="eastAsia" w:ascii="Times New Roman" w:hAnsi="Times New Roman" w:eastAsia="宋体" w:cs="Times New Roman"/>
                <w:b/>
                <w:bCs/>
                <w:color w:val="auto"/>
                <w:sz w:val="24"/>
                <w:highlight w:val="none"/>
                <w:lang w:val="en-US" w:eastAsia="zh-CN"/>
              </w:rPr>
            </w:pPr>
            <w:r>
              <w:rPr>
                <w:rFonts w:hint="eastAsia"/>
                <w:b/>
                <w:bCs/>
                <w:color w:val="auto"/>
                <w:sz w:val="24"/>
                <w:highlight w:val="none"/>
                <w:lang w:val="en-US" w:eastAsia="zh-CN"/>
              </w:rPr>
              <w:t>2.</w:t>
            </w:r>
            <w:r>
              <w:rPr>
                <w:rFonts w:hint="eastAsia" w:ascii="Times New Roman" w:hAnsi="Times New Roman" w:eastAsia="宋体" w:cs="Times New Roman"/>
                <w:b/>
                <w:bCs/>
                <w:color w:val="auto"/>
                <w:sz w:val="24"/>
                <w:highlight w:val="none"/>
                <w:lang w:val="en-US" w:eastAsia="zh-CN"/>
              </w:rPr>
              <w:t>特征污染物</w:t>
            </w:r>
          </w:p>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14:paraId="17AF13B6">
            <w:pPr>
              <w:adjustRightInd w:val="0"/>
              <w:snapToGrid w:val="0"/>
              <w:spacing w:line="360" w:lineRule="auto"/>
              <w:ind w:firstLine="480" w:firstLineChars="200"/>
              <w:rPr>
                <w:rFonts w:hint="default"/>
                <w:color w:val="auto"/>
                <w:sz w:val="24"/>
                <w:szCs w:val="24"/>
                <w:highlight w:val="none"/>
              </w:rPr>
            </w:pPr>
            <w:r>
              <w:rPr>
                <w:rFonts w:hint="default" w:ascii="Times New Roman" w:hAnsi="Times New Roman" w:eastAsia="宋体" w:cs="Times New Roman"/>
                <w:color w:val="auto"/>
                <w:sz w:val="24"/>
                <w:szCs w:val="24"/>
                <w:highlight w:val="none"/>
                <w:lang w:val="en-US" w:eastAsia="zh-CN"/>
              </w:rPr>
              <w:t>本项目特征因子为非甲烷总烃</w:t>
            </w:r>
            <w:r>
              <w:rPr>
                <w:rFonts w:hint="default" w:cs="Times New Roman"/>
                <w:color w:val="auto"/>
                <w:sz w:val="24"/>
                <w:szCs w:val="24"/>
                <w:highlight w:val="none"/>
                <w:lang w:val="en-US" w:eastAsia="zh-CN"/>
              </w:rPr>
              <w:t>。</w:t>
            </w:r>
            <w:r>
              <w:rPr>
                <w:rFonts w:hint="default"/>
                <w:color w:val="auto"/>
                <w:sz w:val="24"/>
                <w:szCs w:val="24"/>
                <w:highlight w:val="none"/>
              </w:rPr>
              <w:t>本项目</w:t>
            </w:r>
            <w:r>
              <w:rPr>
                <w:rFonts w:hint="default"/>
                <w:color w:val="auto"/>
                <w:sz w:val="24"/>
                <w:szCs w:val="24"/>
                <w:highlight w:val="none"/>
                <w:lang w:val="en-US" w:eastAsia="zh-CN"/>
              </w:rPr>
              <w:t>委托陕西鑫安合辉环保科技有限公司</w:t>
            </w:r>
            <w:r>
              <w:rPr>
                <w:rFonts w:hint="default"/>
                <w:color w:val="auto"/>
                <w:sz w:val="24"/>
                <w:highlight w:val="none"/>
                <w:lang w:val="en-US" w:eastAsia="zh-CN"/>
              </w:rPr>
              <w:t>于2024年4月7日至4月9日</w:t>
            </w:r>
            <w:r>
              <w:rPr>
                <w:rFonts w:hint="default"/>
                <w:color w:val="auto"/>
                <w:sz w:val="24"/>
                <w:szCs w:val="24"/>
                <w:highlight w:val="none"/>
              </w:rPr>
              <w:t>非甲烷总烃环境质量现状进行监测</w:t>
            </w:r>
            <w:r>
              <w:rPr>
                <w:rFonts w:hint="default"/>
                <w:color w:val="auto"/>
                <w:sz w:val="24"/>
                <w:highlight w:val="none"/>
                <w:lang w:val="en-US" w:eastAsia="zh-CN"/>
              </w:rPr>
              <w:t>数据</w:t>
            </w:r>
            <w:r>
              <w:rPr>
                <w:rFonts w:hint="default"/>
                <w:color w:val="auto"/>
                <w:sz w:val="24"/>
                <w:szCs w:val="24"/>
                <w:highlight w:val="none"/>
              </w:rPr>
              <w:t>（</w:t>
            </w:r>
            <w:r>
              <w:rPr>
                <w:rFonts w:hint="default"/>
                <w:color w:val="auto"/>
                <w:sz w:val="24"/>
                <w:szCs w:val="24"/>
                <w:highlight w:val="none"/>
                <w:lang w:val="en-US" w:eastAsia="zh-CN"/>
              </w:rPr>
              <w:t>附件</w:t>
            </w:r>
            <w:r>
              <w:rPr>
                <w:rFonts w:hint="eastAsia"/>
                <w:color w:val="auto"/>
                <w:sz w:val="24"/>
                <w:szCs w:val="24"/>
                <w:highlight w:val="none"/>
                <w:lang w:val="en-US" w:eastAsia="zh-CN"/>
              </w:rPr>
              <w:t>7</w:t>
            </w:r>
            <w:r>
              <w:rPr>
                <w:rFonts w:hint="default"/>
                <w:color w:val="auto"/>
                <w:sz w:val="24"/>
                <w:szCs w:val="24"/>
                <w:highlight w:val="none"/>
              </w:rPr>
              <w:t>），</w:t>
            </w:r>
            <w:r>
              <w:rPr>
                <w:rFonts w:hint="eastAsia" w:cs="Times New Roman"/>
                <w:color w:val="auto"/>
                <w:sz w:val="24"/>
                <w:szCs w:val="24"/>
                <w:highlight w:val="none"/>
                <w:lang w:val="en-US" w:eastAsia="zh-CN"/>
              </w:rPr>
              <w:t>HCl、NO</w:t>
            </w:r>
            <w:r>
              <w:rPr>
                <w:rFonts w:hint="eastAsia" w:cs="Times New Roman"/>
                <w:color w:val="auto"/>
                <w:sz w:val="24"/>
                <w:szCs w:val="24"/>
                <w:highlight w:val="none"/>
                <w:vertAlign w:val="subscript"/>
                <w:lang w:val="en-US" w:eastAsia="zh-CN"/>
              </w:rPr>
              <w:t>X</w:t>
            </w:r>
            <w:r>
              <w:rPr>
                <w:rFonts w:hint="eastAsia" w:cs="Times New Roman"/>
                <w:color w:val="auto"/>
                <w:sz w:val="24"/>
                <w:szCs w:val="24"/>
                <w:highlight w:val="none"/>
                <w:vertAlign w:val="baseline"/>
                <w:lang w:val="en-US" w:eastAsia="zh-CN"/>
              </w:rPr>
              <w:t>引用</w:t>
            </w:r>
            <w:r>
              <w:rPr>
                <w:rFonts w:hint="eastAsia"/>
                <w:color w:val="auto"/>
                <w:sz w:val="24"/>
                <w:highlight w:val="none"/>
              </w:rPr>
              <w:t>陕西晨杰环保科技有限公司实验室建设项目</w:t>
            </w:r>
            <w:r>
              <w:rPr>
                <w:rFonts w:hint="eastAsia"/>
                <w:color w:val="auto"/>
                <w:sz w:val="24"/>
                <w:highlight w:val="none"/>
                <w:lang w:eastAsia="zh-CN"/>
              </w:rPr>
              <w:t>（</w:t>
            </w:r>
            <w:r>
              <w:rPr>
                <w:rFonts w:hint="eastAsia"/>
                <w:color w:val="auto"/>
                <w:sz w:val="24"/>
                <w:highlight w:val="none"/>
                <w:lang w:val="en-US" w:eastAsia="zh-CN"/>
              </w:rPr>
              <w:t>位于</w:t>
            </w:r>
            <w:r>
              <w:rPr>
                <w:rFonts w:hint="eastAsia"/>
                <w:color w:val="auto"/>
                <w:sz w:val="24"/>
                <w:szCs w:val="24"/>
                <w:highlight w:val="none"/>
              </w:rPr>
              <w:t>沣东科技产业园5幢10601室</w:t>
            </w:r>
            <w:r>
              <w:rPr>
                <w:rFonts w:hint="eastAsia"/>
                <w:color w:val="auto"/>
                <w:sz w:val="24"/>
                <w:szCs w:val="24"/>
                <w:highlight w:val="none"/>
                <w:lang w:eastAsia="zh-CN"/>
              </w:rPr>
              <w:t>，</w:t>
            </w:r>
            <w:r>
              <w:rPr>
                <w:rFonts w:hint="eastAsia"/>
                <w:color w:val="auto"/>
                <w:sz w:val="24"/>
                <w:szCs w:val="24"/>
                <w:highlight w:val="none"/>
                <w:lang w:val="en-US" w:eastAsia="zh-CN"/>
              </w:rPr>
              <w:t>距离本项目约222m，见图3-1</w:t>
            </w:r>
            <w:r>
              <w:rPr>
                <w:rFonts w:hint="eastAsia"/>
                <w:color w:val="auto"/>
                <w:sz w:val="24"/>
                <w:highlight w:val="none"/>
                <w:lang w:eastAsia="zh-CN"/>
              </w:rPr>
              <w:t>）</w:t>
            </w:r>
            <w:r>
              <w:rPr>
                <w:rFonts w:hint="eastAsia"/>
                <w:color w:val="auto"/>
                <w:sz w:val="24"/>
                <w:highlight w:val="none"/>
                <w:lang w:val="en-US" w:eastAsia="zh-CN"/>
              </w:rPr>
              <w:t>于</w:t>
            </w:r>
            <w:r>
              <w:rPr>
                <w:rFonts w:eastAsia="宋体"/>
                <w:color w:val="auto"/>
                <w:sz w:val="24"/>
                <w:szCs w:val="24"/>
                <w:highlight w:val="none"/>
              </w:rPr>
              <w:t>202</w:t>
            </w:r>
            <w:r>
              <w:rPr>
                <w:rFonts w:hint="eastAsia" w:eastAsia="宋体"/>
                <w:color w:val="auto"/>
                <w:sz w:val="24"/>
                <w:szCs w:val="24"/>
                <w:highlight w:val="none"/>
              </w:rPr>
              <w:t>4年3月27日-2024年3月30日</w:t>
            </w:r>
            <w:r>
              <w:rPr>
                <w:rFonts w:hint="eastAsia"/>
                <w:color w:val="auto"/>
                <w:sz w:val="24"/>
                <w:szCs w:val="24"/>
                <w:highlight w:val="none"/>
              </w:rPr>
              <w:t>委托陕西阔成检测服务有限公司</w:t>
            </w:r>
            <w:r>
              <w:rPr>
                <w:rFonts w:hint="eastAsia"/>
                <w:color w:val="auto"/>
                <w:sz w:val="24"/>
                <w:szCs w:val="24"/>
                <w:highlight w:val="none"/>
                <w:lang w:val="en-US" w:eastAsia="zh-CN"/>
              </w:rPr>
              <w:t>监测报告（</w:t>
            </w:r>
            <w:r>
              <w:rPr>
                <w:rFonts w:hint="eastAsia"/>
                <w:color w:val="auto"/>
                <w:sz w:val="24"/>
                <w:szCs w:val="32"/>
                <w:lang w:val="en-US" w:eastAsia="zh-CN"/>
              </w:rPr>
              <w:t>报告编号：KC2024HB04063</w:t>
            </w:r>
            <w:r>
              <w:rPr>
                <w:rFonts w:hint="eastAsia"/>
                <w:color w:val="auto"/>
                <w:sz w:val="24"/>
                <w:szCs w:val="24"/>
                <w:highlight w:val="none"/>
                <w:lang w:val="en-US" w:eastAsia="zh-CN"/>
              </w:rPr>
              <w:t>），引用数据在3年有效期内，因此引用的监测数据适用本次评价。</w:t>
            </w:r>
            <w:r>
              <w:rPr>
                <w:rFonts w:hint="default"/>
                <w:color w:val="auto"/>
                <w:sz w:val="24"/>
                <w:szCs w:val="24"/>
                <w:highlight w:val="none"/>
              </w:rPr>
              <w:t>具体如下：</w:t>
            </w:r>
          </w:p>
          <w:p w14:paraId="1B76CCC8">
            <w:pPr>
              <w:spacing w:line="360" w:lineRule="auto"/>
              <w:ind w:firstLine="480" w:firstLineChars="200"/>
              <w:rPr>
                <w:color w:val="auto"/>
                <w:sz w:val="24"/>
                <w:szCs w:val="24"/>
                <w:highlight w:val="none"/>
              </w:rPr>
            </w:pPr>
            <w:r>
              <w:rPr>
                <w:color w:val="auto"/>
                <w:sz w:val="24"/>
                <w:szCs w:val="24"/>
                <w:highlight w:val="none"/>
              </w:rPr>
              <w:t>（1）监测项目</w:t>
            </w:r>
          </w:p>
          <w:p w14:paraId="6E7C414A">
            <w:pPr>
              <w:pStyle w:val="3"/>
              <w:spacing w:line="360" w:lineRule="auto"/>
              <w:ind w:firstLine="480" w:firstLineChars="200"/>
              <w:outlineLvl w:val="1"/>
              <w:rPr>
                <w:rFonts w:eastAsia="宋体"/>
                <w:color w:val="auto"/>
                <w:sz w:val="24"/>
                <w:szCs w:val="24"/>
                <w:highlight w:val="none"/>
              </w:rPr>
            </w:pPr>
            <w:r>
              <w:rPr>
                <w:rFonts w:eastAsia="宋体"/>
                <w:color w:val="auto"/>
                <w:sz w:val="24"/>
                <w:szCs w:val="24"/>
                <w:highlight w:val="none"/>
              </w:rPr>
              <w:t>非甲烷总烃、氮氧化物、氯化氢</w:t>
            </w:r>
          </w:p>
          <w:p w14:paraId="5C8D126D">
            <w:pPr>
              <w:spacing w:line="360" w:lineRule="auto"/>
              <w:ind w:firstLine="480" w:firstLineChars="200"/>
              <w:rPr>
                <w:color w:val="auto"/>
                <w:sz w:val="24"/>
                <w:szCs w:val="24"/>
                <w:highlight w:val="none"/>
              </w:rPr>
            </w:pPr>
            <w:r>
              <w:rPr>
                <w:color w:val="auto"/>
                <w:sz w:val="24"/>
                <w:szCs w:val="24"/>
                <w:highlight w:val="none"/>
              </w:rPr>
              <w:t>（2）监测时间及点位</w:t>
            </w:r>
          </w:p>
          <w:p w14:paraId="23927978">
            <w:pPr>
              <w:pStyle w:val="3"/>
              <w:spacing w:line="360" w:lineRule="auto"/>
              <w:ind w:firstLine="480" w:firstLineChars="200"/>
              <w:outlineLvl w:val="1"/>
              <w:rPr>
                <w:rFonts w:hint="eastAsia" w:eastAsia="宋体"/>
                <w:color w:val="auto"/>
                <w:sz w:val="24"/>
                <w:szCs w:val="24"/>
                <w:highlight w:val="none"/>
                <w:lang w:val="en-US" w:eastAsia="zh-CN"/>
              </w:rPr>
            </w:pPr>
            <w:r>
              <w:rPr>
                <w:rFonts w:hint="eastAsia" w:eastAsia="宋体"/>
                <w:color w:val="auto"/>
                <w:sz w:val="24"/>
                <w:szCs w:val="24"/>
                <w:highlight w:val="none"/>
                <w:lang w:val="en-US" w:eastAsia="zh-CN"/>
              </w:rPr>
              <w:t>非甲烷总烃</w:t>
            </w:r>
            <w:r>
              <w:rPr>
                <w:rFonts w:eastAsia="宋体"/>
                <w:color w:val="auto"/>
                <w:sz w:val="24"/>
                <w:szCs w:val="24"/>
                <w:highlight w:val="none"/>
              </w:rPr>
              <w:t>监测时间：</w:t>
            </w:r>
            <w:r>
              <w:rPr>
                <w:rFonts w:hint="eastAsia" w:eastAsia="宋体"/>
                <w:color w:val="auto"/>
                <w:sz w:val="24"/>
                <w:szCs w:val="24"/>
                <w:highlight w:val="none"/>
                <w:lang w:val="en-US" w:eastAsia="zh-CN"/>
              </w:rPr>
              <w:t>2025年4月7日-2025年4月9日；</w:t>
            </w:r>
          </w:p>
          <w:p w14:paraId="44E5D34A">
            <w:pPr>
              <w:pStyle w:val="3"/>
              <w:spacing w:line="360" w:lineRule="auto"/>
              <w:ind w:firstLine="480" w:firstLineChars="200"/>
              <w:outlineLvl w:val="1"/>
              <w:rPr>
                <w:rFonts w:eastAsia="宋体"/>
                <w:color w:val="auto"/>
                <w:sz w:val="24"/>
                <w:szCs w:val="24"/>
                <w:highlight w:val="none"/>
              </w:rPr>
            </w:pPr>
            <w:r>
              <w:rPr>
                <w:rFonts w:eastAsia="宋体"/>
                <w:color w:val="auto"/>
                <w:sz w:val="24"/>
                <w:szCs w:val="24"/>
                <w:highlight w:val="none"/>
              </w:rPr>
              <w:t>氮氧化物、氯化氢</w:t>
            </w:r>
            <w:r>
              <w:rPr>
                <w:rFonts w:hint="eastAsia" w:eastAsia="宋体"/>
                <w:color w:val="auto"/>
                <w:sz w:val="24"/>
                <w:szCs w:val="24"/>
                <w:highlight w:val="none"/>
                <w:lang w:val="en-US" w:eastAsia="zh-CN"/>
              </w:rPr>
              <w:t>监测时间：</w:t>
            </w:r>
            <w:r>
              <w:rPr>
                <w:rFonts w:eastAsia="宋体"/>
                <w:color w:val="auto"/>
                <w:sz w:val="24"/>
                <w:szCs w:val="24"/>
                <w:highlight w:val="none"/>
              </w:rPr>
              <w:t>202</w:t>
            </w:r>
            <w:r>
              <w:rPr>
                <w:rFonts w:hint="eastAsia" w:eastAsia="宋体"/>
                <w:color w:val="auto"/>
                <w:sz w:val="24"/>
                <w:szCs w:val="24"/>
                <w:highlight w:val="none"/>
              </w:rPr>
              <w:t>4年3月27日-2024年3月30日。</w:t>
            </w:r>
          </w:p>
          <w:p w14:paraId="2959B9F7">
            <w:pPr>
              <w:spacing w:line="360" w:lineRule="auto"/>
              <w:ind w:firstLine="480" w:firstLineChars="200"/>
              <w:rPr>
                <w:color w:val="auto"/>
                <w:sz w:val="24"/>
                <w:szCs w:val="24"/>
                <w:highlight w:val="none"/>
              </w:rPr>
            </w:pPr>
            <w:r>
              <w:rPr>
                <w:color w:val="auto"/>
                <w:sz w:val="24"/>
                <w:szCs w:val="24"/>
                <w:highlight w:val="none"/>
              </w:rPr>
              <w:t>监测点位：项目所在地下风向</w:t>
            </w:r>
            <w:r>
              <w:rPr>
                <w:rFonts w:hint="eastAsia"/>
                <w:color w:val="auto"/>
                <w:sz w:val="24"/>
                <w:szCs w:val="24"/>
                <w:highlight w:val="none"/>
              </w:rPr>
              <w:t>。</w:t>
            </w:r>
          </w:p>
          <w:p w14:paraId="0FD0A4CD">
            <w:pPr>
              <w:pStyle w:val="3"/>
              <w:numPr>
                <w:ilvl w:val="0"/>
                <w:numId w:val="0"/>
              </w:numPr>
              <w:spacing w:line="360" w:lineRule="auto"/>
              <w:ind w:left="0" w:leftChars="0" w:firstLine="480" w:firstLineChars="200"/>
              <w:outlineLvl w:val="1"/>
              <w:rPr>
                <w:rFonts w:eastAsia="宋体"/>
                <w:color w:val="auto"/>
                <w:sz w:val="24"/>
                <w:szCs w:val="24"/>
                <w:highlight w:val="none"/>
              </w:rPr>
            </w:pP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3</w:t>
            </w:r>
            <w:r>
              <w:rPr>
                <w:rFonts w:hint="eastAsia" w:eastAsia="宋体"/>
                <w:color w:val="auto"/>
                <w:sz w:val="24"/>
                <w:szCs w:val="24"/>
                <w:highlight w:val="none"/>
                <w:lang w:eastAsia="zh-CN"/>
              </w:rPr>
              <w:t>）</w:t>
            </w:r>
            <w:r>
              <w:rPr>
                <w:rFonts w:eastAsia="宋体"/>
                <w:color w:val="auto"/>
                <w:sz w:val="24"/>
                <w:szCs w:val="24"/>
                <w:highlight w:val="none"/>
              </w:rPr>
              <w:t>监测频次</w:t>
            </w:r>
          </w:p>
          <w:p w14:paraId="2EBF261B">
            <w:pPr>
              <w:adjustRightInd w:val="0"/>
              <w:snapToGrid w:val="0"/>
              <w:spacing w:line="360" w:lineRule="auto"/>
              <w:ind w:firstLine="480" w:firstLineChars="200"/>
              <w:rPr>
                <w:rFonts w:hint="default" w:eastAsia="宋体"/>
                <w:color w:val="auto"/>
                <w:sz w:val="24"/>
                <w:szCs w:val="24"/>
                <w:highlight w:val="none"/>
                <w:lang w:val="en-US" w:eastAsia="zh-CN"/>
              </w:rPr>
            </w:pPr>
            <w:r>
              <w:rPr>
                <w:rFonts w:eastAsia="宋体"/>
                <w:color w:val="auto"/>
                <w:sz w:val="24"/>
                <w:szCs w:val="24"/>
                <w:highlight w:val="none"/>
              </w:rPr>
              <w:t>非甲烷总烃、氯化氢</w:t>
            </w:r>
            <w:r>
              <w:rPr>
                <w:rFonts w:hint="eastAsia" w:eastAsia="宋体"/>
                <w:color w:val="auto"/>
                <w:sz w:val="24"/>
                <w:szCs w:val="24"/>
                <w:highlight w:val="none"/>
              </w:rPr>
              <w:t>1天4次；</w:t>
            </w:r>
            <w:r>
              <w:rPr>
                <w:rFonts w:eastAsia="宋体"/>
                <w:color w:val="auto"/>
                <w:sz w:val="24"/>
                <w:szCs w:val="24"/>
                <w:highlight w:val="none"/>
              </w:rPr>
              <w:t>氮氧化物</w:t>
            </w:r>
            <w:r>
              <w:rPr>
                <w:rFonts w:hint="eastAsia" w:eastAsia="宋体"/>
                <w:color w:val="auto"/>
                <w:sz w:val="24"/>
                <w:szCs w:val="24"/>
                <w:highlight w:val="none"/>
              </w:rPr>
              <w:t>1天1次</w:t>
            </w:r>
            <w:r>
              <w:rPr>
                <w:rFonts w:hint="eastAsia" w:eastAsia="宋体"/>
                <w:color w:val="auto"/>
                <w:sz w:val="24"/>
                <w:szCs w:val="24"/>
                <w:highlight w:val="none"/>
                <w:lang w:eastAsia="zh-CN"/>
              </w:rPr>
              <w:t>，</w:t>
            </w:r>
            <w:r>
              <w:rPr>
                <w:rFonts w:hint="eastAsia" w:eastAsia="宋体"/>
                <w:color w:val="auto"/>
                <w:sz w:val="24"/>
                <w:szCs w:val="24"/>
                <w:highlight w:val="none"/>
                <w:lang w:val="en-US" w:eastAsia="zh-CN"/>
              </w:rPr>
              <w:t>共三天。</w:t>
            </w:r>
          </w:p>
          <w:p w14:paraId="3200BD11">
            <w:pPr>
              <w:pStyle w:val="3"/>
              <w:numPr>
                <w:ilvl w:val="0"/>
                <w:numId w:val="0"/>
              </w:numPr>
              <w:ind w:left="420"/>
              <w:rPr>
                <w:rFonts w:hint="eastAsia" w:eastAsia="宋体"/>
                <w:color w:val="auto"/>
                <w:sz w:val="24"/>
                <w:szCs w:val="24"/>
                <w:highlight w:val="none"/>
                <w:lang w:val="en-US" w:eastAsia="zh-CN"/>
              </w:rPr>
            </w:pPr>
            <w:r>
              <w:rPr>
                <w:rFonts w:hint="eastAsia" w:eastAsia="宋体"/>
                <w:color w:val="auto"/>
                <w:sz w:val="24"/>
                <w:szCs w:val="24"/>
                <w:highlight w:val="none"/>
                <w:lang w:val="en-US" w:eastAsia="zh-CN"/>
              </w:rPr>
              <w:t>（4）监测结果</w:t>
            </w:r>
          </w:p>
          <w:p w14:paraId="4ED06380">
            <w:pPr>
              <w:pStyle w:val="65"/>
              <w:spacing w:line="360" w:lineRule="auto"/>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 xml:space="preserve">表3-2  </w:t>
            </w:r>
            <w:r>
              <w:rPr>
                <w:rFonts w:hint="eastAsia" w:ascii="Times New Roman" w:hAnsi="Times New Roman" w:eastAsia="宋体" w:cs="Times New Roman"/>
                <w:b/>
                <w:bCs/>
                <w:color w:val="auto"/>
                <w:sz w:val="24"/>
                <w:szCs w:val="24"/>
                <w:highlight w:val="none"/>
              </w:rPr>
              <w:t>现状监测结果</w:t>
            </w:r>
          </w:p>
          <w:tbl>
            <w:tblPr>
              <w:tblStyle w:val="30"/>
              <w:tblW w:w="8032" w:type="dxa"/>
              <w:tblInd w:w="-2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195"/>
              <w:gridCol w:w="1175"/>
              <w:gridCol w:w="920"/>
              <w:gridCol w:w="946"/>
              <w:gridCol w:w="842"/>
              <w:gridCol w:w="928"/>
              <w:gridCol w:w="642"/>
              <w:gridCol w:w="695"/>
              <w:gridCol w:w="12"/>
            </w:tblGrid>
            <w:tr w14:paraId="67E187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07" w:hRule="atLeast"/>
              </w:trPr>
              <w:tc>
                <w:tcPr>
                  <w:tcW w:w="727" w:type="dxa"/>
                  <w:vMerge w:val="restart"/>
                  <w:tcBorders>
                    <w:tl2br w:val="nil"/>
                    <w:tr2bl w:val="nil"/>
                  </w:tcBorders>
                  <w:noWrap w:val="0"/>
                  <w:vAlign w:val="center"/>
                </w:tcPr>
                <w:p w14:paraId="0F8E2C74">
                  <w:pPr>
                    <w:jc w:val="both"/>
                    <w:rPr>
                      <w:rFonts w:hint="eastAsia"/>
                      <w:color w:val="auto"/>
                      <w:highlight w:val="none"/>
                    </w:rPr>
                  </w:pPr>
                  <w:r>
                    <w:rPr>
                      <w:rFonts w:hint="eastAsia"/>
                      <w:color w:val="auto"/>
                      <w:highlight w:val="none"/>
                    </w:rPr>
                    <w:t>监测</w:t>
                  </w:r>
                </w:p>
                <w:p w14:paraId="3CD07B19">
                  <w:pPr>
                    <w:jc w:val="both"/>
                    <w:rPr>
                      <w:rFonts w:hint="eastAsia"/>
                      <w:color w:val="auto"/>
                      <w:highlight w:val="none"/>
                    </w:rPr>
                  </w:pPr>
                  <w:r>
                    <w:rPr>
                      <w:rFonts w:hint="eastAsia"/>
                      <w:color w:val="auto"/>
                      <w:highlight w:val="none"/>
                    </w:rPr>
                    <w:t>点位</w:t>
                  </w:r>
                </w:p>
              </w:tc>
              <w:tc>
                <w:tcPr>
                  <w:tcW w:w="785" w:type="dxa"/>
                  <w:vMerge w:val="restart"/>
                  <w:tcBorders>
                    <w:tl2br w:val="nil"/>
                    <w:tr2bl w:val="nil"/>
                  </w:tcBorders>
                  <w:noWrap w:val="0"/>
                  <w:vAlign w:val="center"/>
                </w:tcPr>
                <w:p w14:paraId="52BEB417">
                  <w:pPr>
                    <w:jc w:val="center"/>
                    <w:rPr>
                      <w:rFonts w:hint="eastAsia"/>
                      <w:color w:val="auto"/>
                      <w:highlight w:val="none"/>
                    </w:rPr>
                  </w:pPr>
                  <w:r>
                    <w:rPr>
                      <w:rFonts w:hint="eastAsia"/>
                      <w:color w:val="auto"/>
                      <w:highlight w:val="none"/>
                    </w:rPr>
                    <w:t>监测项目</w:t>
                  </w:r>
                </w:p>
              </w:tc>
              <w:tc>
                <w:tcPr>
                  <w:tcW w:w="1312" w:type="dxa"/>
                  <w:vMerge w:val="restart"/>
                  <w:tcBorders>
                    <w:tl2br w:val="nil"/>
                    <w:tr2bl w:val="nil"/>
                  </w:tcBorders>
                  <w:noWrap w:val="0"/>
                  <w:vAlign w:val="center"/>
                </w:tcPr>
                <w:p w14:paraId="78F22E53">
                  <w:pPr>
                    <w:jc w:val="center"/>
                    <w:rPr>
                      <w:color w:val="auto"/>
                      <w:highlight w:val="none"/>
                    </w:rPr>
                  </w:pPr>
                  <w:r>
                    <w:rPr>
                      <w:rFonts w:hint="eastAsia"/>
                      <w:color w:val="auto"/>
                      <w:highlight w:val="none"/>
                    </w:rPr>
                    <w:t>采样日期</w:t>
                  </w:r>
                </w:p>
              </w:tc>
              <w:tc>
                <w:tcPr>
                  <w:tcW w:w="3780" w:type="dxa"/>
                  <w:gridSpan w:val="4"/>
                  <w:tcBorders>
                    <w:tl2br w:val="nil"/>
                    <w:tr2bl w:val="nil"/>
                  </w:tcBorders>
                  <w:noWrap w:val="0"/>
                  <w:vAlign w:val="center"/>
                </w:tcPr>
                <w:p w14:paraId="09DB3D4C">
                  <w:pPr>
                    <w:jc w:val="center"/>
                    <w:rPr>
                      <w:color w:val="auto"/>
                      <w:highlight w:val="none"/>
                    </w:rPr>
                  </w:pPr>
                  <w:r>
                    <w:rPr>
                      <w:rFonts w:hint="eastAsia"/>
                      <w:color w:val="auto"/>
                      <w:highlight w:val="none"/>
                    </w:rPr>
                    <w:t>监测结果</w:t>
                  </w:r>
                </w:p>
              </w:tc>
              <w:tc>
                <w:tcPr>
                  <w:tcW w:w="664" w:type="dxa"/>
                  <w:vMerge w:val="restart"/>
                  <w:tcBorders>
                    <w:tl2br w:val="nil"/>
                    <w:tr2bl w:val="nil"/>
                  </w:tcBorders>
                  <w:noWrap w:val="0"/>
                  <w:vAlign w:val="center"/>
                </w:tcPr>
                <w:p w14:paraId="6BDA8E3B">
                  <w:pPr>
                    <w:jc w:val="center"/>
                    <w:rPr>
                      <w:color w:val="auto"/>
                      <w:highlight w:val="none"/>
                    </w:rPr>
                  </w:pPr>
                  <w:r>
                    <w:rPr>
                      <w:rFonts w:hint="eastAsia"/>
                      <w:color w:val="auto"/>
                      <w:highlight w:val="none"/>
                    </w:rPr>
                    <w:t>标准限值</w:t>
                  </w:r>
                </w:p>
              </w:tc>
              <w:tc>
                <w:tcPr>
                  <w:tcW w:w="749" w:type="dxa"/>
                  <w:vMerge w:val="restart"/>
                  <w:tcBorders>
                    <w:tl2br w:val="nil"/>
                    <w:tr2bl w:val="nil"/>
                  </w:tcBorders>
                  <w:noWrap w:val="0"/>
                  <w:vAlign w:val="center"/>
                </w:tcPr>
                <w:p w14:paraId="402688D0">
                  <w:pPr>
                    <w:jc w:val="center"/>
                    <w:rPr>
                      <w:color w:val="auto"/>
                      <w:highlight w:val="none"/>
                    </w:rPr>
                  </w:pPr>
                  <w:r>
                    <w:rPr>
                      <w:rFonts w:hint="eastAsia"/>
                      <w:color w:val="auto"/>
                      <w:highlight w:val="none"/>
                    </w:rPr>
                    <w:t>达标情况</w:t>
                  </w:r>
                </w:p>
              </w:tc>
            </w:tr>
            <w:tr w14:paraId="6B4D0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07" w:hRule="atLeast"/>
              </w:trPr>
              <w:tc>
                <w:tcPr>
                  <w:tcW w:w="727" w:type="dxa"/>
                  <w:vMerge w:val="continue"/>
                  <w:tcBorders>
                    <w:tl2br w:val="nil"/>
                    <w:tr2bl w:val="nil"/>
                  </w:tcBorders>
                  <w:noWrap w:val="0"/>
                  <w:vAlign w:val="center"/>
                </w:tcPr>
                <w:p w14:paraId="233D465F">
                  <w:pPr>
                    <w:jc w:val="center"/>
                    <w:rPr>
                      <w:color w:val="auto"/>
                      <w:highlight w:val="none"/>
                    </w:rPr>
                  </w:pPr>
                </w:p>
              </w:tc>
              <w:tc>
                <w:tcPr>
                  <w:tcW w:w="785" w:type="dxa"/>
                  <w:vMerge w:val="continue"/>
                  <w:tcBorders>
                    <w:tl2br w:val="nil"/>
                    <w:tr2bl w:val="nil"/>
                  </w:tcBorders>
                  <w:noWrap w:val="0"/>
                  <w:vAlign w:val="center"/>
                </w:tcPr>
                <w:p w14:paraId="47B1AD43">
                  <w:pPr>
                    <w:jc w:val="center"/>
                    <w:rPr>
                      <w:color w:val="auto"/>
                      <w:highlight w:val="none"/>
                    </w:rPr>
                  </w:pPr>
                </w:p>
              </w:tc>
              <w:tc>
                <w:tcPr>
                  <w:tcW w:w="1312" w:type="dxa"/>
                  <w:vMerge w:val="continue"/>
                  <w:tcBorders>
                    <w:tl2br w:val="nil"/>
                    <w:tr2bl w:val="nil"/>
                  </w:tcBorders>
                  <w:noWrap w:val="0"/>
                  <w:vAlign w:val="center"/>
                </w:tcPr>
                <w:p w14:paraId="0DDD09AA">
                  <w:pPr>
                    <w:jc w:val="center"/>
                    <w:rPr>
                      <w:color w:val="auto"/>
                      <w:highlight w:val="none"/>
                    </w:rPr>
                  </w:pPr>
                </w:p>
              </w:tc>
              <w:tc>
                <w:tcPr>
                  <w:tcW w:w="958" w:type="dxa"/>
                  <w:tcBorders>
                    <w:tl2br w:val="nil"/>
                    <w:tr2bl w:val="nil"/>
                  </w:tcBorders>
                  <w:noWrap w:val="0"/>
                  <w:vAlign w:val="center"/>
                </w:tcPr>
                <w:p w14:paraId="130A1FCB">
                  <w:pPr>
                    <w:jc w:val="center"/>
                    <w:rPr>
                      <w:color w:val="auto"/>
                      <w:highlight w:val="none"/>
                    </w:rPr>
                  </w:pPr>
                  <w:r>
                    <w:rPr>
                      <w:rFonts w:hint="eastAsia"/>
                      <w:color w:val="auto"/>
                      <w:highlight w:val="none"/>
                    </w:rPr>
                    <w:t>第1次</w:t>
                  </w:r>
                </w:p>
              </w:tc>
              <w:tc>
                <w:tcPr>
                  <w:tcW w:w="990" w:type="dxa"/>
                  <w:tcBorders>
                    <w:tl2br w:val="nil"/>
                    <w:tr2bl w:val="nil"/>
                  </w:tcBorders>
                  <w:noWrap w:val="0"/>
                  <w:vAlign w:val="center"/>
                </w:tcPr>
                <w:p w14:paraId="05A99B9A">
                  <w:pPr>
                    <w:jc w:val="center"/>
                    <w:rPr>
                      <w:color w:val="auto"/>
                      <w:highlight w:val="none"/>
                    </w:rPr>
                  </w:pPr>
                  <w:r>
                    <w:rPr>
                      <w:rFonts w:hint="eastAsia"/>
                      <w:color w:val="auto"/>
                      <w:highlight w:val="none"/>
                    </w:rPr>
                    <w:t>第2次</w:t>
                  </w:r>
                </w:p>
              </w:tc>
              <w:tc>
                <w:tcPr>
                  <w:tcW w:w="864" w:type="dxa"/>
                  <w:tcBorders>
                    <w:tl2br w:val="nil"/>
                    <w:tr2bl w:val="nil"/>
                  </w:tcBorders>
                  <w:noWrap w:val="0"/>
                  <w:vAlign w:val="center"/>
                </w:tcPr>
                <w:p w14:paraId="1B7BE8BC">
                  <w:pPr>
                    <w:jc w:val="center"/>
                    <w:rPr>
                      <w:rFonts w:hint="eastAsia"/>
                      <w:color w:val="auto"/>
                      <w:highlight w:val="none"/>
                    </w:rPr>
                  </w:pPr>
                  <w:r>
                    <w:rPr>
                      <w:rFonts w:hint="eastAsia"/>
                      <w:color w:val="auto"/>
                      <w:highlight w:val="none"/>
                    </w:rPr>
                    <w:t>第3次</w:t>
                  </w:r>
                </w:p>
              </w:tc>
              <w:tc>
                <w:tcPr>
                  <w:tcW w:w="968" w:type="dxa"/>
                  <w:tcBorders>
                    <w:tl2br w:val="nil"/>
                    <w:tr2bl w:val="nil"/>
                  </w:tcBorders>
                  <w:noWrap w:val="0"/>
                  <w:vAlign w:val="center"/>
                </w:tcPr>
                <w:p w14:paraId="01AE2BFE">
                  <w:pPr>
                    <w:jc w:val="center"/>
                    <w:rPr>
                      <w:rFonts w:hint="eastAsia"/>
                      <w:color w:val="auto"/>
                      <w:highlight w:val="none"/>
                    </w:rPr>
                  </w:pPr>
                  <w:r>
                    <w:rPr>
                      <w:rFonts w:hint="eastAsia"/>
                      <w:color w:val="auto"/>
                      <w:highlight w:val="none"/>
                    </w:rPr>
                    <w:t>第4次</w:t>
                  </w:r>
                </w:p>
              </w:tc>
              <w:tc>
                <w:tcPr>
                  <w:tcW w:w="664" w:type="dxa"/>
                  <w:vMerge w:val="continue"/>
                  <w:tcBorders>
                    <w:tl2br w:val="nil"/>
                    <w:tr2bl w:val="nil"/>
                  </w:tcBorders>
                  <w:noWrap w:val="0"/>
                  <w:vAlign w:val="center"/>
                </w:tcPr>
                <w:p w14:paraId="1A88D592">
                  <w:pPr>
                    <w:jc w:val="center"/>
                    <w:rPr>
                      <w:rFonts w:hint="eastAsia"/>
                      <w:color w:val="auto"/>
                      <w:highlight w:val="none"/>
                    </w:rPr>
                  </w:pPr>
                </w:p>
              </w:tc>
              <w:tc>
                <w:tcPr>
                  <w:tcW w:w="749" w:type="dxa"/>
                  <w:vMerge w:val="continue"/>
                  <w:tcBorders>
                    <w:tl2br w:val="nil"/>
                    <w:tr2bl w:val="nil"/>
                  </w:tcBorders>
                  <w:noWrap w:val="0"/>
                  <w:vAlign w:val="center"/>
                </w:tcPr>
                <w:p w14:paraId="61F70BCF">
                  <w:pPr>
                    <w:jc w:val="center"/>
                    <w:rPr>
                      <w:rFonts w:hint="eastAsia"/>
                      <w:color w:val="auto"/>
                      <w:highlight w:val="none"/>
                    </w:rPr>
                  </w:pPr>
                </w:p>
              </w:tc>
            </w:tr>
            <w:tr w14:paraId="1C516C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90" w:hRule="atLeast"/>
              </w:trPr>
              <w:tc>
                <w:tcPr>
                  <w:tcW w:w="727" w:type="dxa"/>
                  <w:vMerge w:val="restart"/>
                  <w:tcBorders>
                    <w:tl2br w:val="nil"/>
                    <w:tr2bl w:val="nil"/>
                  </w:tcBorders>
                  <w:noWrap w:val="0"/>
                  <w:vAlign w:val="center"/>
                </w:tcPr>
                <w:p w14:paraId="652C9C9B">
                  <w:pPr>
                    <w:jc w:val="center"/>
                    <w:rPr>
                      <w:rFonts w:hint="default" w:eastAsia="宋体"/>
                      <w:color w:val="auto"/>
                      <w:highlight w:val="none"/>
                      <w:lang w:val="en-US" w:eastAsia="zh-CN"/>
                    </w:rPr>
                  </w:pPr>
                  <w:r>
                    <w:rPr>
                      <w:rFonts w:hint="eastAsia"/>
                      <w:color w:val="auto"/>
                      <w:highlight w:val="none"/>
                      <w:lang w:val="en-US" w:eastAsia="zh-CN"/>
                    </w:rPr>
                    <w:t>项目所在地下风向</w:t>
                  </w:r>
                </w:p>
              </w:tc>
              <w:tc>
                <w:tcPr>
                  <w:tcW w:w="785" w:type="dxa"/>
                  <w:vMerge w:val="restart"/>
                  <w:tcBorders>
                    <w:tl2br w:val="nil"/>
                    <w:tr2bl w:val="nil"/>
                  </w:tcBorders>
                  <w:noWrap w:val="0"/>
                  <w:vAlign w:val="center"/>
                </w:tcPr>
                <w:p w14:paraId="1CECB741">
                  <w:pPr>
                    <w:jc w:val="center"/>
                    <w:rPr>
                      <w:rFonts w:hint="eastAsia"/>
                      <w:color w:val="auto"/>
                      <w:highlight w:val="none"/>
                    </w:rPr>
                  </w:pPr>
                  <w:r>
                    <w:rPr>
                      <w:rFonts w:hint="eastAsia"/>
                      <w:color w:val="auto"/>
                      <w:highlight w:val="none"/>
                    </w:rPr>
                    <w:t>非甲烷总烃（m</w:t>
                  </w:r>
                  <w:r>
                    <w:rPr>
                      <w:color w:val="auto"/>
                      <w:highlight w:val="none"/>
                    </w:rPr>
                    <w:t>g/m</w:t>
                  </w:r>
                  <w:r>
                    <w:rPr>
                      <w:color w:val="auto"/>
                      <w:highlight w:val="none"/>
                      <w:vertAlign w:val="superscript"/>
                    </w:rPr>
                    <w:t>3</w:t>
                  </w:r>
                  <w:r>
                    <w:rPr>
                      <w:rFonts w:hint="eastAsia"/>
                      <w:color w:val="auto"/>
                      <w:highlight w:val="none"/>
                    </w:rPr>
                    <w:t>）</w:t>
                  </w:r>
                </w:p>
              </w:tc>
              <w:tc>
                <w:tcPr>
                  <w:tcW w:w="1312" w:type="dxa"/>
                  <w:tcBorders>
                    <w:tl2br w:val="nil"/>
                    <w:tr2bl w:val="nil"/>
                  </w:tcBorders>
                  <w:noWrap w:val="0"/>
                  <w:vAlign w:val="center"/>
                </w:tcPr>
                <w:p w14:paraId="28B97575">
                  <w:pPr>
                    <w:jc w:val="center"/>
                    <w:rPr>
                      <w:rFonts w:hint="default" w:eastAsia="宋体"/>
                      <w:color w:val="auto"/>
                      <w:highlight w:val="none"/>
                      <w:lang w:val="en-US" w:eastAsia="zh-CN"/>
                    </w:rPr>
                  </w:pPr>
                  <w:r>
                    <w:rPr>
                      <w:rFonts w:hint="eastAsia"/>
                      <w:color w:val="auto"/>
                      <w:highlight w:val="none"/>
                      <w:lang w:val="en-US" w:eastAsia="zh-CN"/>
                    </w:rPr>
                    <w:t>4月7日</w:t>
                  </w:r>
                </w:p>
              </w:tc>
              <w:tc>
                <w:tcPr>
                  <w:tcW w:w="958" w:type="dxa"/>
                  <w:tcBorders>
                    <w:tl2br w:val="nil"/>
                    <w:tr2bl w:val="nil"/>
                  </w:tcBorders>
                  <w:noWrap w:val="0"/>
                  <w:vAlign w:val="center"/>
                </w:tcPr>
                <w:p w14:paraId="3FA28237">
                  <w:pPr>
                    <w:jc w:val="center"/>
                    <w:rPr>
                      <w:rFonts w:hint="eastAsia" w:eastAsia="宋体"/>
                      <w:color w:val="auto"/>
                      <w:highlight w:val="none"/>
                      <w:lang w:eastAsia="zh-CN"/>
                    </w:rPr>
                  </w:pPr>
                  <w:r>
                    <w:rPr>
                      <w:rFonts w:hint="eastAsia"/>
                      <w:color w:val="auto"/>
                      <w:highlight w:val="none"/>
                    </w:rPr>
                    <w:t>1.2</w:t>
                  </w:r>
                  <w:r>
                    <w:rPr>
                      <w:rFonts w:hint="eastAsia"/>
                      <w:color w:val="auto"/>
                      <w:highlight w:val="none"/>
                      <w:lang w:val="en-US" w:eastAsia="zh-CN"/>
                    </w:rPr>
                    <w:t>0</w:t>
                  </w:r>
                </w:p>
              </w:tc>
              <w:tc>
                <w:tcPr>
                  <w:tcW w:w="990" w:type="dxa"/>
                  <w:tcBorders>
                    <w:tl2br w:val="nil"/>
                    <w:tr2bl w:val="nil"/>
                  </w:tcBorders>
                  <w:noWrap w:val="0"/>
                  <w:vAlign w:val="center"/>
                </w:tcPr>
                <w:p w14:paraId="73BBA71A">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07</w:t>
                  </w:r>
                </w:p>
              </w:tc>
              <w:tc>
                <w:tcPr>
                  <w:tcW w:w="864" w:type="dxa"/>
                  <w:tcBorders>
                    <w:tl2br w:val="nil"/>
                    <w:tr2bl w:val="nil"/>
                  </w:tcBorders>
                  <w:noWrap w:val="0"/>
                  <w:vAlign w:val="center"/>
                </w:tcPr>
                <w:p w14:paraId="182EC690">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09</w:t>
                  </w:r>
                </w:p>
              </w:tc>
              <w:tc>
                <w:tcPr>
                  <w:tcW w:w="968" w:type="dxa"/>
                  <w:tcBorders>
                    <w:tl2br w:val="nil"/>
                    <w:tr2bl w:val="nil"/>
                  </w:tcBorders>
                  <w:noWrap w:val="0"/>
                  <w:vAlign w:val="center"/>
                </w:tcPr>
                <w:p w14:paraId="26A812C2">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12</w:t>
                  </w:r>
                </w:p>
              </w:tc>
              <w:tc>
                <w:tcPr>
                  <w:tcW w:w="664" w:type="dxa"/>
                  <w:vMerge w:val="restart"/>
                  <w:tcBorders>
                    <w:tl2br w:val="nil"/>
                    <w:tr2bl w:val="nil"/>
                  </w:tcBorders>
                  <w:noWrap w:val="0"/>
                  <w:vAlign w:val="center"/>
                </w:tcPr>
                <w:p w14:paraId="674E124A">
                  <w:pPr>
                    <w:jc w:val="center"/>
                    <w:rPr>
                      <w:color w:val="auto"/>
                      <w:highlight w:val="none"/>
                    </w:rPr>
                  </w:pPr>
                  <w:r>
                    <w:rPr>
                      <w:rFonts w:hint="eastAsia"/>
                      <w:color w:val="auto"/>
                      <w:highlight w:val="none"/>
                    </w:rPr>
                    <w:t>2.0</w:t>
                  </w:r>
                </w:p>
              </w:tc>
              <w:tc>
                <w:tcPr>
                  <w:tcW w:w="749" w:type="dxa"/>
                  <w:vMerge w:val="restart"/>
                  <w:tcBorders>
                    <w:tl2br w:val="nil"/>
                    <w:tr2bl w:val="nil"/>
                  </w:tcBorders>
                  <w:noWrap w:val="0"/>
                  <w:vAlign w:val="center"/>
                </w:tcPr>
                <w:p w14:paraId="169885AC">
                  <w:pPr>
                    <w:jc w:val="center"/>
                    <w:rPr>
                      <w:color w:val="auto"/>
                      <w:highlight w:val="none"/>
                    </w:rPr>
                  </w:pPr>
                  <w:r>
                    <w:rPr>
                      <w:rFonts w:hint="eastAsia"/>
                      <w:color w:val="auto"/>
                      <w:highlight w:val="none"/>
                    </w:rPr>
                    <w:t>达标</w:t>
                  </w:r>
                </w:p>
              </w:tc>
            </w:tr>
            <w:tr w14:paraId="5A1CB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79" w:hRule="atLeast"/>
              </w:trPr>
              <w:tc>
                <w:tcPr>
                  <w:tcW w:w="727" w:type="dxa"/>
                  <w:vMerge w:val="continue"/>
                  <w:tcBorders>
                    <w:tl2br w:val="nil"/>
                    <w:tr2bl w:val="nil"/>
                  </w:tcBorders>
                  <w:noWrap w:val="0"/>
                  <w:vAlign w:val="center"/>
                </w:tcPr>
                <w:p w14:paraId="76F0DF85">
                  <w:pPr>
                    <w:jc w:val="center"/>
                    <w:rPr>
                      <w:rFonts w:hint="eastAsia"/>
                      <w:color w:val="auto"/>
                      <w:highlight w:val="none"/>
                    </w:rPr>
                  </w:pPr>
                </w:p>
              </w:tc>
              <w:tc>
                <w:tcPr>
                  <w:tcW w:w="785" w:type="dxa"/>
                  <w:vMerge w:val="continue"/>
                  <w:tcBorders>
                    <w:tl2br w:val="nil"/>
                    <w:tr2bl w:val="nil"/>
                  </w:tcBorders>
                  <w:noWrap w:val="0"/>
                  <w:vAlign w:val="center"/>
                </w:tcPr>
                <w:p w14:paraId="1BC0CA9A">
                  <w:pPr>
                    <w:jc w:val="center"/>
                    <w:rPr>
                      <w:rFonts w:hint="eastAsia"/>
                      <w:color w:val="auto"/>
                      <w:highlight w:val="none"/>
                    </w:rPr>
                  </w:pPr>
                </w:p>
              </w:tc>
              <w:tc>
                <w:tcPr>
                  <w:tcW w:w="1312" w:type="dxa"/>
                  <w:tcBorders>
                    <w:tl2br w:val="nil"/>
                    <w:tr2bl w:val="nil"/>
                  </w:tcBorders>
                  <w:noWrap w:val="0"/>
                  <w:vAlign w:val="center"/>
                </w:tcPr>
                <w:p w14:paraId="7442CA74">
                  <w:pPr>
                    <w:jc w:val="center"/>
                    <w:rPr>
                      <w:color w:val="auto"/>
                      <w:highlight w:val="none"/>
                    </w:rPr>
                  </w:pPr>
                  <w:r>
                    <w:rPr>
                      <w:rFonts w:hint="eastAsia"/>
                      <w:color w:val="auto"/>
                      <w:highlight w:val="none"/>
                      <w:lang w:val="en-US" w:eastAsia="zh-CN"/>
                    </w:rPr>
                    <w:t>4月8日</w:t>
                  </w:r>
                </w:p>
              </w:tc>
              <w:tc>
                <w:tcPr>
                  <w:tcW w:w="958" w:type="dxa"/>
                  <w:tcBorders>
                    <w:tl2br w:val="nil"/>
                    <w:tr2bl w:val="nil"/>
                  </w:tcBorders>
                  <w:noWrap w:val="0"/>
                  <w:vAlign w:val="center"/>
                </w:tcPr>
                <w:p w14:paraId="2D2C17AF">
                  <w:pPr>
                    <w:jc w:val="center"/>
                    <w:rPr>
                      <w:rFonts w:hint="eastAsia" w:eastAsia="宋体"/>
                      <w:color w:val="auto"/>
                      <w:highlight w:val="none"/>
                      <w:lang w:val="en-US" w:eastAsia="zh-CN"/>
                    </w:rPr>
                  </w:pPr>
                  <w:r>
                    <w:rPr>
                      <w:rFonts w:hint="eastAsia"/>
                      <w:color w:val="auto"/>
                      <w:highlight w:val="none"/>
                    </w:rPr>
                    <w:t>1.2</w:t>
                  </w:r>
                  <w:r>
                    <w:rPr>
                      <w:rFonts w:hint="eastAsia"/>
                      <w:color w:val="auto"/>
                      <w:highlight w:val="none"/>
                      <w:lang w:val="en-US" w:eastAsia="zh-CN"/>
                    </w:rPr>
                    <w:t>0</w:t>
                  </w:r>
                </w:p>
              </w:tc>
              <w:tc>
                <w:tcPr>
                  <w:tcW w:w="990" w:type="dxa"/>
                  <w:tcBorders>
                    <w:tl2br w:val="nil"/>
                    <w:tr2bl w:val="nil"/>
                  </w:tcBorders>
                  <w:noWrap w:val="0"/>
                  <w:vAlign w:val="center"/>
                </w:tcPr>
                <w:p w14:paraId="2DB85B3F">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19</w:t>
                  </w:r>
                </w:p>
              </w:tc>
              <w:tc>
                <w:tcPr>
                  <w:tcW w:w="864" w:type="dxa"/>
                  <w:tcBorders>
                    <w:tl2br w:val="nil"/>
                    <w:tr2bl w:val="nil"/>
                  </w:tcBorders>
                  <w:noWrap w:val="0"/>
                  <w:vAlign w:val="center"/>
                </w:tcPr>
                <w:p w14:paraId="65D76087">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11</w:t>
                  </w:r>
                </w:p>
              </w:tc>
              <w:tc>
                <w:tcPr>
                  <w:tcW w:w="968" w:type="dxa"/>
                  <w:tcBorders>
                    <w:tl2br w:val="nil"/>
                    <w:tr2bl w:val="nil"/>
                  </w:tcBorders>
                  <w:noWrap w:val="0"/>
                  <w:vAlign w:val="center"/>
                </w:tcPr>
                <w:p w14:paraId="0B2A648E">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21</w:t>
                  </w:r>
                </w:p>
              </w:tc>
              <w:tc>
                <w:tcPr>
                  <w:tcW w:w="664" w:type="dxa"/>
                  <w:vMerge w:val="continue"/>
                  <w:tcBorders>
                    <w:tl2br w:val="nil"/>
                    <w:tr2bl w:val="nil"/>
                  </w:tcBorders>
                  <w:noWrap w:val="0"/>
                  <w:vAlign w:val="center"/>
                </w:tcPr>
                <w:p w14:paraId="30081EBA">
                  <w:pPr>
                    <w:jc w:val="center"/>
                    <w:rPr>
                      <w:rFonts w:hint="eastAsia"/>
                      <w:color w:val="auto"/>
                      <w:highlight w:val="none"/>
                    </w:rPr>
                  </w:pPr>
                </w:p>
              </w:tc>
              <w:tc>
                <w:tcPr>
                  <w:tcW w:w="749" w:type="dxa"/>
                  <w:vMerge w:val="continue"/>
                  <w:tcBorders>
                    <w:tl2br w:val="nil"/>
                    <w:tr2bl w:val="nil"/>
                  </w:tcBorders>
                  <w:noWrap w:val="0"/>
                  <w:vAlign w:val="center"/>
                </w:tcPr>
                <w:p w14:paraId="01A51138">
                  <w:pPr>
                    <w:jc w:val="center"/>
                    <w:rPr>
                      <w:rFonts w:hint="eastAsia"/>
                      <w:color w:val="auto"/>
                      <w:highlight w:val="none"/>
                    </w:rPr>
                  </w:pPr>
                </w:p>
              </w:tc>
            </w:tr>
            <w:tr w14:paraId="2AC694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79" w:hRule="atLeast"/>
              </w:trPr>
              <w:tc>
                <w:tcPr>
                  <w:tcW w:w="727" w:type="dxa"/>
                  <w:vMerge w:val="continue"/>
                  <w:tcBorders>
                    <w:tl2br w:val="nil"/>
                    <w:tr2bl w:val="nil"/>
                  </w:tcBorders>
                  <w:noWrap w:val="0"/>
                  <w:vAlign w:val="center"/>
                </w:tcPr>
                <w:p w14:paraId="302E7A14">
                  <w:pPr>
                    <w:jc w:val="center"/>
                    <w:rPr>
                      <w:rFonts w:hint="eastAsia"/>
                      <w:color w:val="auto"/>
                      <w:highlight w:val="none"/>
                    </w:rPr>
                  </w:pPr>
                </w:p>
              </w:tc>
              <w:tc>
                <w:tcPr>
                  <w:tcW w:w="785" w:type="dxa"/>
                  <w:vMerge w:val="continue"/>
                  <w:tcBorders>
                    <w:tl2br w:val="nil"/>
                    <w:tr2bl w:val="nil"/>
                  </w:tcBorders>
                  <w:noWrap w:val="0"/>
                  <w:vAlign w:val="center"/>
                </w:tcPr>
                <w:p w14:paraId="3A9C6A9E">
                  <w:pPr>
                    <w:jc w:val="center"/>
                    <w:rPr>
                      <w:rFonts w:hint="eastAsia"/>
                      <w:color w:val="auto"/>
                      <w:highlight w:val="none"/>
                    </w:rPr>
                  </w:pPr>
                </w:p>
              </w:tc>
              <w:tc>
                <w:tcPr>
                  <w:tcW w:w="1312" w:type="dxa"/>
                  <w:tcBorders>
                    <w:tl2br w:val="nil"/>
                    <w:tr2bl w:val="nil"/>
                  </w:tcBorders>
                  <w:noWrap w:val="0"/>
                  <w:vAlign w:val="center"/>
                </w:tcPr>
                <w:p w14:paraId="001E2887">
                  <w:pPr>
                    <w:jc w:val="center"/>
                    <w:rPr>
                      <w:color w:val="auto"/>
                      <w:highlight w:val="none"/>
                    </w:rPr>
                  </w:pPr>
                  <w:r>
                    <w:rPr>
                      <w:rFonts w:hint="eastAsia"/>
                      <w:color w:val="auto"/>
                      <w:highlight w:val="none"/>
                      <w:lang w:val="en-US" w:eastAsia="zh-CN"/>
                    </w:rPr>
                    <w:t>4月9日</w:t>
                  </w:r>
                </w:p>
              </w:tc>
              <w:tc>
                <w:tcPr>
                  <w:tcW w:w="958" w:type="dxa"/>
                  <w:tcBorders>
                    <w:tl2br w:val="nil"/>
                    <w:tr2bl w:val="nil"/>
                  </w:tcBorders>
                  <w:noWrap w:val="0"/>
                  <w:vAlign w:val="center"/>
                </w:tcPr>
                <w:p w14:paraId="62ABB76C">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28</w:t>
                  </w:r>
                </w:p>
              </w:tc>
              <w:tc>
                <w:tcPr>
                  <w:tcW w:w="990" w:type="dxa"/>
                  <w:tcBorders>
                    <w:tl2br w:val="nil"/>
                    <w:tr2bl w:val="nil"/>
                  </w:tcBorders>
                  <w:noWrap w:val="0"/>
                  <w:vAlign w:val="center"/>
                </w:tcPr>
                <w:p w14:paraId="60026096">
                  <w:pPr>
                    <w:jc w:val="center"/>
                    <w:rPr>
                      <w:rFonts w:hint="eastAsia" w:eastAsia="宋体"/>
                      <w:color w:val="auto"/>
                      <w:highlight w:val="none"/>
                      <w:lang w:val="en-US" w:eastAsia="zh-CN"/>
                    </w:rPr>
                  </w:pPr>
                  <w:r>
                    <w:rPr>
                      <w:rFonts w:hint="eastAsia"/>
                      <w:color w:val="auto"/>
                      <w:highlight w:val="none"/>
                    </w:rPr>
                    <w:t>1.2</w:t>
                  </w:r>
                  <w:r>
                    <w:rPr>
                      <w:rFonts w:hint="eastAsia"/>
                      <w:color w:val="auto"/>
                      <w:highlight w:val="none"/>
                      <w:lang w:val="en-US" w:eastAsia="zh-CN"/>
                    </w:rPr>
                    <w:t>5</w:t>
                  </w:r>
                </w:p>
              </w:tc>
              <w:tc>
                <w:tcPr>
                  <w:tcW w:w="864" w:type="dxa"/>
                  <w:tcBorders>
                    <w:tl2br w:val="nil"/>
                    <w:tr2bl w:val="nil"/>
                  </w:tcBorders>
                  <w:noWrap w:val="0"/>
                  <w:vAlign w:val="center"/>
                </w:tcPr>
                <w:p w14:paraId="489AB921">
                  <w:pPr>
                    <w:jc w:val="center"/>
                    <w:rPr>
                      <w:rFonts w:hint="eastAsia" w:eastAsia="宋体"/>
                      <w:color w:val="auto"/>
                      <w:highlight w:val="none"/>
                      <w:lang w:val="en-US" w:eastAsia="zh-CN"/>
                    </w:rPr>
                  </w:pPr>
                  <w:r>
                    <w:rPr>
                      <w:rFonts w:hint="eastAsia"/>
                      <w:color w:val="auto"/>
                      <w:highlight w:val="none"/>
                    </w:rPr>
                    <w:t>1.2</w:t>
                  </w:r>
                  <w:r>
                    <w:rPr>
                      <w:rFonts w:hint="eastAsia"/>
                      <w:color w:val="auto"/>
                      <w:highlight w:val="none"/>
                      <w:lang w:val="en-US" w:eastAsia="zh-CN"/>
                    </w:rPr>
                    <w:t>7</w:t>
                  </w:r>
                </w:p>
              </w:tc>
              <w:tc>
                <w:tcPr>
                  <w:tcW w:w="968" w:type="dxa"/>
                  <w:tcBorders>
                    <w:tl2br w:val="nil"/>
                    <w:tr2bl w:val="nil"/>
                  </w:tcBorders>
                  <w:noWrap w:val="0"/>
                  <w:vAlign w:val="center"/>
                </w:tcPr>
                <w:p w14:paraId="5232A6B3">
                  <w:pPr>
                    <w:jc w:val="center"/>
                    <w:rPr>
                      <w:rFonts w:hint="default" w:eastAsia="宋体"/>
                      <w:color w:val="auto"/>
                      <w:highlight w:val="none"/>
                      <w:lang w:val="en-US" w:eastAsia="zh-CN"/>
                    </w:rPr>
                  </w:pPr>
                  <w:r>
                    <w:rPr>
                      <w:rFonts w:hint="eastAsia"/>
                      <w:color w:val="auto"/>
                      <w:highlight w:val="none"/>
                    </w:rPr>
                    <w:t>1.</w:t>
                  </w:r>
                  <w:r>
                    <w:rPr>
                      <w:rFonts w:hint="eastAsia"/>
                      <w:color w:val="auto"/>
                      <w:highlight w:val="none"/>
                      <w:lang w:val="en-US" w:eastAsia="zh-CN"/>
                    </w:rPr>
                    <w:t>25</w:t>
                  </w:r>
                </w:p>
              </w:tc>
              <w:tc>
                <w:tcPr>
                  <w:tcW w:w="664" w:type="dxa"/>
                  <w:vMerge w:val="continue"/>
                  <w:tcBorders>
                    <w:tl2br w:val="nil"/>
                    <w:tr2bl w:val="nil"/>
                  </w:tcBorders>
                  <w:noWrap w:val="0"/>
                  <w:vAlign w:val="center"/>
                </w:tcPr>
                <w:p w14:paraId="29372A0E">
                  <w:pPr>
                    <w:jc w:val="center"/>
                    <w:rPr>
                      <w:rFonts w:hint="eastAsia"/>
                      <w:color w:val="auto"/>
                      <w:highlight w:val="none"/>
                    </w:rPr>
                  </w:pPr>
                </w:p>
              </w:tc>
              <w:tc>
                <w:tcPr>
                  <w:tcW w:w="749" w:type="dxa"/>
                  <w:vMerge w:val="continue"/>
                  <w:tcBorders>
                    <w:tl2br w:val="nil"/>
                    <w:tr2bl w:val="nil"/>
                  </w:tcBorders>
                  <w:noWrap w:val="0"/>
                  <w:vAlign w:val="center"/>
                </w:tcPr>
                <w:p w14:paraId="7E173671">
                  <w:pPr>
                    <w:jc w:val="center"/>
                    <w:rPr>
                      <w:rFonts w:hint="eastAsia"/>
                      <w:color w:val="auto"/>
                      <w:highlight w:val="none"/>
                    </w:rPr>
                  </w:pPr>
                </w:p>
              </w:tc>
            </w:tr>
            <w:tr w14:paraId="0AAEF1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24" w:hRule="atLeast"/>
              </w:trPr>
              <w:tc>
                <w:tcPr>
                  <w:tcW w:w="727" w:type="dxa"/>
                  <w:vMerge w:val="continue"/>
                  <w:tcBorders>
                    <w:tl2br w:val="nil"/>
                    <w:tr2bl w:val="nil"/>
                  </w:tcBorders>
                  <w:noWrap w:val="0"/>
                  <w:vAlign w:val="center"/>
                </w:tcPr>
                <w:p w14:paraId="2E6B45F0">
                  <w:pPr>
                    <w:jc w:val="center"/>
                    <w:rPr>
                      <w:rFonts w:hint="eastAsia"/>
                      <w:color w:val="auto"/>
                      <w:highlight w:val="none"/>
                    </w:rPr>
                  </w:pPr>
                </w:p>
              </w:tc>
              <w:tc>
                <w:tcPr>
                  <w:tcW w:w="785" w:type="dxa"/>
                  <w:vMerge w:val="restart"/>
                  <w:tcBorders>
                    <w:tl2br w:val="nil"/>
                    <w:tr2bl w:val="nil"/>
                  </w:tcBorders>
                  <w:shd w:val="clear" w:color="auto" w:fill="auto"/>
                  <w:noWrap w:val="0"/>
                  <w:vAlign w:val="center"/>
                </w:tcPr>
                <w:p w14:paraId="6B5BD258">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氯化氢（</w:t>
                  </w:r>
                  <w:r>
                    <w:rPr>
                      <w:color w:val="auto"/>
                      <w:kern w:val="0"/>
                      <w:highlight w:val="none"/>
                      <w:lang w:bidi="ar"/>
                    </w:rPr>
                    <w:t>μg</w:t>
                  </w:r>
                  <w:r>
                    <w:rPr>
                      <w:color w:val="auto"/>
                      <w:highlight w:val="none"/>
                    </w:rPr>
                    <w:t>/m</w:t>
                  </w:r>
                  <w:r>
                    <w:rPr>
                      <w:color w:val="auto"/>
                      <w:highlight w:val="none"/>
                      <w:vertAlign w:val="superscript"/>
                    </w:rPr>
                    <w:t>3</w:t>
                  </w:r>
                  <w:r>
                    <w:rPr>
                      <w:rFonts w:hint="eastAsia"/>
                      <w:color w:val="auto"/>
                      <w:highlight w:val="none"/>
                    </w:rPr>
                    <w:t>）</w:t>
                  </w:r>
                </w:p>
              </w:tc>
              <w:tc>
                <w:tcPr>
                  <w:tcW w:w="1312" w:type="dxa"/>
                  <w:tcBorders>
                    <w:tl2br w:val="nil"/>
                    <w:tr2bl w:val="nil"/>
                  </w:tcBorders>
                  <w:shd w:val="clear" w:color="auto" w:fill="auto"/>
                  <w:noWrap w:val="0"/>
                  <w:vAlign w:val="center"/>
                </w:tcPr>
                <w:p w14:paraId="7B4682B6">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3月27日</w:t>
                  </w:r>
                </w:p>
              </w:tc>
              <w:tc>
                <w:tcPr>
                  <w:tcW w:w="958" w:type="dxa"/>
                  <w:tcBorders>
                    <w:tl2br w:val="nil"/>
                    <w:tr2bl w:val="nil"/>
                  </w:tcBorders>
                  <w:shd w:val="clear" w:color="auto" w:fill="auto"/>
                  <w:noWrap w:val="0"/>
                  <w:vAlign w:val="center"/>
                </w:tcPr>
                <w:p w14:paraId="7409B60C">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990" w:type="dxa"/>
                  <w:tcBorders>
                    <w:tl2br w:val="nil"/>
                    <w:tr2bl w:val="nil"/>
                  </w:tcBorders>
                  <w:shd w:val="clear" w:color="auto" w:fill="auto"/>
                  <w:noWrap w:val="0"/>
                  <w:vAlign w:val="center"/>
                </w:tcPr>
                <w:p w14:paraId="73906512">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864" w:type="dxa"/>
                  <w:tcBorders>
                    <w:tl2br w:val="nil"/>
                    <w:tr2bl w:val="nil"/>
                  </w:tcBorders>
                  <w:shd w:val="clear" w:color="auto" w:fill="auto"/>
                  <w:noWrap w:val="0"/>
                  <w:vAlign w:val="center"/>
                </w:tcPr>
                <w:p w14:paraId="126E9D2C">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968" w:type="dxa"/>
                  <w:tcBorders>
                    <w:tl2br w:val="nil"/>
                    <w:tr2bl w:val="nil"/>
                  </w:tcBorders>
                  <w:shd w:val="clear" w:color="auto" w:fill="auto"/>
                  <w:noWrap w:val="0"/>
                  <w:vAlign w:val="center"/>
                </w:tcPr>
                <w:p w14:paraId="718FF092">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664" w:type="dxa"/>
                  <w:vMerge w:val="restart"/>
                  <w:tcBorders>
                    <w:tl2br w:val="nil"/>
                    <w:tr2bl w:val="nil"/>
                  </w:tcBorders>
                  <w:noWrap w:val="0"/>
                  <w:vAlign w:val="center"/>
                </w:tcPr>
                <w:p w14:paraId="663C4D96">
                  <w:pPr>
                    <w:jc w:val="center"/>
                    <w:rPr>
                      <w:rFonts w:hint="default" w:eastAsia="宋体"/>
                      <w:color w:val="auto"/>
                      <w:highlight w:val="none"/>
                      <w:lang w:val="en-US" w:eastAsia="zh-CN"/>
                    </w:rPr>
                  </w:pPr>
                  <w:r>
                    <w:rPr>
                      <w:rFonts w:hint="eastAsia"/>
                      <w:color w:val="auto"/>
                      <w:highlight w:val="none"/>
                      <w:lang w:val="en-US" w:eastAsia="zh-CN"/>
                    </w:rPr>
                    <w:t>50</w:t>
                  </w:r>
                </w:p>
              </w:tc>
              <w:tc>
                <w:tcPr>
                  <w:tcW w:w="749" w:type="dxa"/>
                  <w:vMerge w:val="restart"/>
                  <w:tcBorders>
                    <w:tl2br w:val="nil"/>
                    <w:tr2bl w:val="nil"/>
                  </w:tcBorders>
                  <w:noWrap w:val="0"/>
                  <w:vAlign w:val="center"/>
                </w:tcPr>
                <w:p w14:paraId="0C390612">
                  <w:pPr>
                    <w:jc w:val="center"/>
                    <w:rPr>
                      <w:rFonts w:hint="eastAsia"/>
                      <w:color w:val="auto"/>
                      <w:highlight w:val="none"/>
                    </w:rPr>
                  </w:pPr>
                  <w:r>
                    <w:rPr>
                      <w:rFonts w:hint="eastAsia"/>
                      <w:color w:val="auto"/>
                      <w:highlight w:val="none"/>
                    </w:rPr>
                    <w:t>达标</w:t>
                  </w:r>
                </w:p>
              </w:tc>
            </w:tr>
            <w:tr w14:paraId="75A490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79" w:hRule="atLeast"/>
              </w:trPr>
              <w:tc>
                <w:tcPr>
                  <w:tcW w:w="727" w:type="dxa"/>
                  <w:vMerge w:val="continue"/>
                  <w:tcBorders>
                    <w:tl2br w:val="nil"/>
                    <w:tr2bl w:val="nil"/>
                  </w:tcBorders>
                  <w:noWrap w:val="0"/>
                  <w:vAlign w:val="center"/>
                </w:tcPr>
                <w:p w14:paraId="30B0935A">
                  <w:pPr>
                    <w:jc w:val="center"/>
                    <w:rPr>
                      <w:rFonts w:hint="eastAsia"/>
                      <w:color w:val="auto"/>
                      <w:highlight w:val="none"/>
                    </w:rPr>
                  </w:pPr>
                </w:p>
              </w:tc>
              <w:tc>
                <w:tcPr>
                  <w:tcW w:w="785" w:type="dxa"/>
                  <w:vMerge w:val="continue"/>
                  <w:tcBorders>
                    <w:tl2br w:val="nil"/>
                    <w:tr2bl w:val="nil"/>
                  </w:tcBorders>
                  <w:noWrap w:val="0"/>
                  <w:vAlign w:val="center"/>
                </w:tcPr>
                <w:p w14:paraId="4EEDEED8">
                  <w:pPr>
                    <w:jc w:val="center"/>
                    <w:rPr>
                      <w:rFonts w:hint="eastAsia"/>
                      <w:color w:val="auto"/>
                      <w:highlight w:val="none"/>
                    </w:rPr>
                  </w:pPr>
                </w:p>
              </w:tc>
              <w:tc>
                <w:tcPr>
                  <w:tcW w:w="1312" w:type="dxa"/>
                  <w:tcBorders>
                    <w:tl2br w:val="nil"/>
                    <w:tr2bl w:val="nil"/>
                  </w:tcBorders>
                  <w:shd w:val="clear" w:color="auto" w:fill="auto"/>
                  <w:noWrap w:val="0"/>
                  <w:vAlign w:val="center"/>
                </w:tcPr>
                <w:p w14:paraId="0F2496A1">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3月28日</w:t>
                  </w:r>
                </w:p>
              </w:tc>
              <w:tc>
                <w:tcPr>
                  <w:tcW w:w="958" w:type="dxa"/>
                  <w:tcBorders>
                    <w:tl2br w:val="nil"/>
                    <w:tr2bl w:val="nil"/>
                  </w:tcBorders>
                  <w:shd w:val="clear" w:color="auto" w:fill="auto"/>
                  <w:noWrap w:val="0"/>
                  <w:vAlign w:val="center"/>
                </w:tcPr>
                <w:p w14:paraId="7610420C">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990" w:type="dxa"/>
                  <w:tcBorders>
                    <w:tl2br w:val="nil"/>
                    <w:tr2bl w:val="nil"/>
                  </w:tcBorders>
                  <w:shd w:val="clear" w:color="auto" w:fill="auto"/>
                  <w:noWrap w:val="0"/>
                  <w:vAlign w:val="center"/>
                </w:tcPr>
                <w:p w14:paraId="0951AD7B">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864" w:type="dxa"/>
                  <w:tcBorders>
                    <w:tl2br w:val="nil"/>
                    <w:tr2bl w:val="nil"/>
                  </w:tcBorders>
                  <w:shd w:val="clear" w:color="auto" w:fill="auto"/>
                  <w:noWrap w:val="0"/>
                  <w:vAlign w:val="center"/>
                </w:tcPr>
                <w:p w14:paraId="00D5FCB7">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968" w:type="dxa"/>
                  <w:tcBorders>
                    <w:tl2br w:val="nil"/>
                    <w:tr2bl w:val="nil"/>
                  </w:tcBorders>
                  <w:shd w:val="clear" w:color="auto" w:fill="auto"/>
                  <w:noWrap w:val="0"/>
                  <w:vAlign w:val="center"/>
                </w:tcPr>
                <w:p w14:paraId="17695A3A">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664" w:type="dxa"/>
                  <w:vMerge w:val="continue"/>
                  <w:tcBorders>
                    <w:tl2br w:val="nil"/>
                    <w:tr2bl w:val="nil"/>
                  </w:tcBorders>
                  <w:noWrap w:val="0"/>
                  <w:vAlign w:val="center"/>
                </w:tcPr>
                <w:p w14:paraId="2F2111E1">
                  <w:pPr>
                    <w:jc w:val="center"/>
                    <w:rPr>
                      <w:rFonts w:hint="eastAsia"/>
                      <w:color w:val="auto"/>
                      <w:highlight w:val="none"/>
                    </w:rPr>
                  </w:pPr>
                </w:p>
              </w:tc>
              <w:tc>
                <w:tcPr>
                  <w:tcW w:w="749" w:type="dxa"/>
                  <w:vMerge w:val="continue"/>
                  <w:tcBorders>
                    <w:tl2br w:val="nil"/>
                    <w:tr2bl w:val="nil"/>
                  </w:tcBorders>
                  <w:noWrap w:val="0"/>
                  <w:vAlign w:val="center"/>
                </w:tcPr>
                <w:p w14:paraId="2E5740D3">
                  <w:pPr>
                    <w:jc w:val="center"/>
                    <w:rPr>
                      <w:rFonts w:hint="eastAsia"/>
                      <w:color w:val="auto"/>
                      <w:highlight w:val="none"/>
                    </w:rPr>
                  </w:pPr>
                </w:p>
              </w:tc>
            </w:tr>
            <w:tr w14:paraId="679A83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79" w:hRule="atLeast"/>
              </w:trPr>
              <w:tc>
                <w:tcPr>
                  <w:tcW w:w="727" w:type="dxa"/>
                  <w:vMerge w:val="continue"/>
                </w:tcPr>
                <w:p w14:paraId="11DA9628">
                  <w:pPr>
                    <w:jc w:val="center"/>
                    <w:rPr>
                      <w:rFonts w:hint="eastAsia"/>
                      <w:color w:val="auto"/>
                      <w:highlight w:val="none"/>
                    </w:rPr>
                  </w:pPr>
                </w:p>
              </w:tc>
              <w:tc>
                <w:tcPr>
                  <w:tcW w:w="785" w:type="dxa"/>
                  <w:vMerge w:val="continue"/>
                </w:tcPr>
                <w:p w14:paraId="6491ADD0">
                  <w:pPr>
                    <w:jc w:val="center"/>
                    <w:rPr>
                      <w:rFonts w:hint="eastAsia"/>
                      <w:color w:val="auto"/>
                      <w:highlight w:val="none"/>
                    </w:rPr>
                  </w:pPr>
                </w:p>
              </w:tc>
              <w:tc>
                <w:tcPr>
                  <w:tcW w:w="1312" w:type="dxa"/>
                  <w:shd w:val="clear" w:color="auto" w:fill="auto"/>
                  <w:vAlign w:val="center"/>
                </w:tcPr>
                <w:p w14:paraId="69DB3F05">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3月29日</w:t>
                  </w:r>
                </w:p>
              </w:tc>
              <w:tc>
                <w:tcPr>
                  <w:tcW w:w="958" w:type="dxa"/>
                  <w:shd w:val="clear" w:color="auto" w:fill="auto"/>
                  <w:vAlign w:val="center"/>
                </w:tcPr>
                <w:p w14:paraId="1BD240BB">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990" w:type="dxa"/>
                  <w:shd w:val="clear" w:color="auto" w:fill="auto"/>
                  <w:vAlign w:val="center"/>
                </w:tcPr>
                <w:p w14:paraId="75340697">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864" w:type="dxa"/>
                  <w:shd w:val="clear" w:color="auto" w:fill="auto"/>
                  <w:vAlign w:val="center"/>
                </w:tcPr>
                <w:p w14:paraId="050D5204">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968" w:type="dxa"/>
                  <w:shd w:val="clear" w:color="auto" w:fill="auto"/>
                  <w:vAlign w:val="center"/>
                </w:tcPr>
                <w:p w14:paraId="3E4C03FF">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ND20</w:t>
                  </w:r>
                </w:p>
              </w:tc>
              <w:tc>
                <w:tcPr>
                  <w:tcW w:w="664" w:type="dxa"/>
                  <w:vMerge w:val="continue"/>
                  <w:vAlign w:val="center"/>
                </w:tcPr>
                <w:p w14:paraId="7534A70B">
                  <w:pPr>
                    <w:jc w:val="center"/>
                    <w:rPr>
                      <w:rFonts w:hint="eastAsia"/>
                      <w:color w:val="auto"/>
                      <w:highlight w:val="none"/>
                    </w:rPr>
                  </w:pPr>
                </w:p>
              </w:tc>
              <w:tc>
                <w:tcPr>
                  <w:tcW w:w="749" w:type="dxa"/>
                  <w:vMerge w:val="continue"/>
                  <w:vAlign w:val="center"/>
                </w:tcPr>
                <w:p w14:paraId="257E94C5">
                  <w:pPr>
                    <w:jc w:val="center"/>
                    <w:rPr>
                      <w:rFonts w:hint="eastAsia"/>
                      <w:color w:val="auto"/>
                      <w:highlight w:val="none"/>
                    </w:rPr>
                  </w:pPr>
                </w:p>
              </w:tc>
            </w:tr>
            <w:tr w14:paraId="1A7D9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727" w:type="dxa"/>
                  <w:vMerge w:val="continue"/>
                </w:tcPr>
                <w:p w14:paraId="52911FB8">
                  <w:pPr>
                    <w:jc w:val="center"/>
                    <w:rPr>
                      <w:rFonts w:hint="eastAsia"/>
                      <w:color w:val="auto"/>
                      <w:highlight w:val="none"/>
                    </w:rPr>
                  </w:pPr>
                </w:p>
              </w:tc>
              <w:tc>
                <w:tcPr>
                  <w:tcW w:w="785" w:type="dxa"/>
                  <w:vMerge w:val="restart"/>
                  <w:shd w:val="clear" w:color="auto" w:fill="auto"/>
                  <w:vAlign w:val="center"/>
                </w:tcPr>
                <w:p w14:paraId="78DB4FDC">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氮氧化物（</w:t>
                  </w:r>
                  <w:r>
                    <w:rPr>
                      <w:color w:val="auto"/>
                      <w:kern w:val="0"/>
                      <w:highlight w:val="none"/>
                      <w:lang w:bidi="ar"/>
                    </w:rPr>
                    <w:t>μg</w:t>
                  </w:r>
                  <w:r>
                    <w:rPr>
                      <w:color w:val="auto"/>
                      <w:highlight w:val="none"/>
                    </w:rPr>
                    <w:t>/m</w:t>
                  </w:r>
                  <w:r>
                    <w:rPr>
                      <w:color w:val="auto"/>
                      <w:highlight w:val="none"/>
                      <w:vertAlign w:val="superscript"/>
                    </w:rPr>
                    <w:t>3</w:t>
                  </w:r>
                  <w:r>
                    <w:rPr>
                      <w:rFonts w:hint="eastAsia"/>
                      <w:color w:val="auto"/>
                      <w:highlight w:val="none"/>
                    </w:rPr>
                    <w:t>）</w:t>
                  </w:r>
                </w:p>
              </w:tc>
              <w:tc>
                <w:tcPr>
                  <w:tcW w:w="1312" w:type="dxa"/>
                  <w:shd w:val="clear" w:color="auto" w:fill="auto"/>
                  <w:vAlign w:val="center"/>
                </w:tcPr>
                <w:p w14:paraId="3F32FEA2">
                  <w:pPr>
                    <w:jc w:val="center"/>
                    <w:rPr>
                      <w:rFonts w:hint="eastAsia"/>
                      <w:color w:val="auto"/>
                      <w:highlight w:val="none"/>
                    </w:rPr>
                  </w:pPr>
                  <w:r>
                    <w:rPr>
                      <w:rFonts w:hint="eastAsia"/>
                      <w:color w:val="auto"/>
                      <w:highlight w:val="none"/>
                    </w:rPr>
                    <w:t>3月27-</w:t>
                  </w:r>
                </w:p>
                <w:p w14:paraId="7B1BC679">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3月28日</w:t>
                  </w:r>
                </w:p>
              </w:tc>
              <w:tc>
                <w:tcPr>
                  <w:tcW w:w="3780" w:type="dxa"/>
                  <w:gridSpan w:val="4"/>
                  <w:shd w:val="clear" w:color="auto" w:fill="auto"/>
                  <w:vAlign w:val="center"/>
                </w:tcPr>
                <w:p w14:paraId="402367D1">
                  <w:pPr>
                    <w:jc w:val="center"/>
                    <w:rPr>
                      <w:rFonts w:hint="eastAsia"/>
                      <w:color w:val="auto"/>
                      <w:highlight w:val="none"/>
                    </w:rPr>
                  </w:pPr>
                  <w:r>
                    <w:rPr>
                      <w:rFonts w:hint="eastAsia"/>
                      <w:color w:val="auto"/>
                      <w:highlight w:val="none"/>
                    </w:rPr>
                    <w:t>29</w:t>
                  </w:r>
                </w:p>
              </w:tc>
              <w:tc>
                <w:tcPr>
                  <w:tcW w:w="664" w:type="dxa"/>
                  <w:vMerge w:val="restart"/>
                  <w:vAlign w:val="center"/>
                </w:tcPr>
                <w:p w14:paraId="40D1B8C0">
                  <w:pPr>
                    <w:jc w:val="center"/>
                    <w:rPr>
                      <w:rFonts w:hint="default" w:eastAsia="宋体"/>
                      <w:color w:val="auto"/>
                      <w:highlight w:val="none"/>
                      <w:lang w:val="en-US" w:eastAsia="zh-CN"/>
                    </w:rPr>
                  </w:pPr>
                  <w:r>
                    <w:rPr>
                      <w:rFonts w:hint="eastAsia"/>
                      <w:color w:val="auto"/>
                      <w:highlight w:val="none"/>
                      <w:lang w:val="en-US" w:eastAsia="zh-CN"/>
                    </w:rPr>
                    <w:t>100</w:t>
                  </w:r>
                </w:p>
              </w:tc>
              <w:tc>
                <w:tcPr>
                  <w:tcW w:w="764" w:type="dxa"/>
                  <w:gridSpan w:val="2"/>
                  <w:vMerge w:val="restart"/>
                  <w:vAlign w:val="center"/>
                </w:tcPr>
                <w:p w14:paraId="19D0C9F5">
                  <w:pPr>
                    <w:jc w:val="center"/>
                    <w:rPr>
                      <w:rFonts w:hint="eastAsia"/>
                      <w:color w:val="auto"/>
                      <w:highlight w:val="none"/>
                    </w:rPr>
                  </w:pPr>
                  <w:r>
                    <w:rPr>
                      <w:rFonts w:hint="eastAsia"/>
                      <w:color w:val="auto"/>
                      <w:highlight w:val="none"/>
                    </w:rPr>
                    <w:t>达标</w:t>
                  </w:r>
                </w:p>
              </w:tc>
            </w:tr>
            <w:tr w14:paraId="09A17F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727" w:type="dxa"/>
                  <w:vMerge w:val="continue"/>
                </w:tcPr>
                <w:p w14:paraId="6C8C5A0D">
                  <w:pPr>
                    <w:jc w:val="center"/>
                    <w:rPr>
                      <w:rFonts w:hint="eastAsia"/>
                      <w:color w:val="auto"/>
                      <w:highlight w:val="none"/>
                    </w:rPr>
                  </w:pPr>
                </w:p>
              </w:tc>
              <w:tc>
                <w:tcPr>
                  <w:tcW w:w="785" w:type="dxa"/>
                  <w:vMerge w:val="continue"/>
                </w:tcPr>
                <w:p w14:paraId="3DA8A626">
                  <w:pPr>
                    <w:jc w:val="center"/>
                    <w:rPr>
                      <w:rFonts w:hint="eastAsia"/>
                      <w:color w:val="auto"/>
                      <w:highlight w:val="none"/>
                    </w:rPr>
                  </w:pPr>
                </w:p>
              </w:tc>
              <w:tc>
                <w:tcPr>
                  <w:tcW w:w="1312" w:type="dxa"/>
                  <w:shd w:val="clear" w:color="auto" w:fill="auto"/>
                  <w:vAlign w:val="center"/>
                </w:tcPr>
                <w:p w14:paraId="3C84D3A0">
                  <w:pPr>
                    <w:jc w:val="center"/>
                    <w:rPr>
                      <w:rFonts w:hint="eastAsia"/>
                      <w:color w:val="auto"/>
                      <w:highlight w:val="none"/>
                    </w:rPr>
                  </w:pPr>
                  <w:r>
                    <w:rPr>
                      <w:rFonts w:hint="eastAsia"/>
                      <w:color w:val="auto"/>
                      <w:highlight w:val="none"/>
                    </w:rPr>
                    <w:t>3月28-</w:t>
                  </w:r>
                </w:p>
                <w:p w14:paraId="4E47A26A">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3月29日</w:t>
                  </w:r>
                </w:p>
              </w:tc>
              <w:tc>
                <w:tcPr>
                  <w:tcW w:w="3780" w:type="dxa"/>
                  <w:gridSpan w:val="4"/>
                  <w:shd w:val="clear" w:color="auto" w:fill="auto"/>
                  <w:vAlign w:val="center"/>
                </w:tcPr>
                <w:p w14:paraId="74FF3D71">
                  <w:pPr>
                    <w:jc w:val="center"/>
                    <w:rPr>
                      <w:rFonts w:hint="eastAsia"/>
                      <w:color w:val="auto"/>
                      <w:highlight w:val="none"/>
                    </w:rPr>
                  </w:pPr>
                  <w:r>
                    <w:rPr>
                      <w:rFonts w:hint="eastAsia"/>
                      <w:color w:val="auto"/>
                      <w:highlight w:val="none"/>
                    </w:rPr>
                    <w:t>24</w:t>
                  </w:r>
                </w:p>
              </w:tc>
              <w:tc>
                <w:tcPr>
                  <w:tcW w:w="664" w:type="dxa"/>
                  <w:vMerge w:val="continue"/>
                </w:tcPr>
                <w:p w14:paraId="2049D331">
                  <w:pPr>
                    <w:jc w:val="center"/>
                    <w:rPr>
                      <w:rFonts w:hint="eastAsia"/>
                      <w:color w:val="auto"/>
                      <w:highlight w:val="none"/>
                    </w:rPr>
                  </w:pPr>
                </w:p>
              </w:tc>
              <w:tc>
                <w:tcPr>
                  <w:tcW w:w="764" w:type="dxa"/>
                  <w:gridSpan w:val="2"/>
                  <w:vMerge w:val="continue"/>
                </w:tcPr>
                <w:p w14:paraId="6ABF00D5">
                  <w:pPr>
                    <w:jc w:val="center"/>
                    <w:rPr>
                      <w:rFonts w:hint="eastAsia"/>
                      <w:color w:val="auto"/>
                      <w:highlight w:val="none"/>
                    </w:rPr>
                  </w:pPr>
                </w:p>
              </w:tc>
            </w:tr>
            <w:tr w14:paraId="5467D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727" w:type="dxa"/>
                  <w:vMerge w:val="continue"/>
                </w:tcPr>
                <w:p w14:paraId="6D74AAF0">
                  <w:pPr>
                    <w:jc w:val="center"/>
                    <w:rPr>
                      <w:rFonts w:hint="eastAsia"/>
                      <w:color w:val="auto"/>
                      <w:highlight w:val="none"/>
                    </w:rPr>
                  </w:pPr>
                </w:p>
              </w:tc>
              <w:tc>
                <w:tcPr>
                  <w:tcW w:w="785" w:type="dxa"/>
                  <w:vMerge w:val="continue"/>
                </w:tcPr>
                <w:p w14:paraId="39373A63">
                  <w:pPr>
                    <w:jc w:val="center"/>
                    <w:rPr>
                      <w:rFonts w:hint="eastAsia"/>
                      <w:color w:val="auto"/>
                      <w:highlight w:val="none"/>
                    </w:rPr>
                  </w:pPr>
                </w:p>
              </w:tc>
              <w:tc>
                <w:tcPr>
                  <w:tcW w:w="1312" w:type="dxa"/>
                  <w:shd w:val="clear" w:color="auto" w:fill="auto"/>
                  <w:vAlign w:val="center"/>
                </w:tcPr>
                <w:p w14:paraId="17EFA4E7">
                  <w:pPr>
                    <w:jc w:val="center"/>
                    <w:rPr>
                      <w:rFonts w:hint="eastAsia" w:eastAsia="宋体"/>
                      <w:color w:val="auto"/>
                      <w:highlight w:val="none"/>
                      <w:lang w:val="en-US" w:eastAsia="zh-CN"/>
                    </w:rPr>
                  </w:pPr>
                  <w:r>
                    <w:rPr>
                      <w:rFonts w:hint="eastAsia"/>
                      <w:color w:val="auto"/>
                      <w:highlight w:val="none"/>
                    </w:rPr>
                    <w:t>3月29-</w:t>
                  </w:r>
                  <w:r>
                    <w:rPr>
                      <w:rFonts w:hint="eastAsia"/>
                      <w:color w:val="auto"/>
                      <w:highlight w:val="none"/>
                      <w:lang w:val="en-US" w:eastAsia="zh-CN"/>
                    </w:rPr>
                    <w:t xml:space="preserve"> </w:t>
                  </w:r>
                </w:p>
                <w:p w14:paraId="1F1C99C6">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3月30日</w:t>
                  </w:r>
                </w:p>
              </w:tc>
              <w:tc>
                <w:tcPr>
                  <w:tcW w:w="3780" w:type="dxa"/>
                  <w:gridSpan w:val="4"/>
                  <w:shd w:val="clear" w:color="auto" w:fill="auto"/>
                  <w:vAlign w:val="center"/>
                </w:tcPr>
                <w:p w14:paraId="163870B5">
                  <w:pPr>
                    <w:jc w:val="center"/>
                    <w:rPr>
                      <w:rFonts w:hint="eastAsia"/>
                      <w:color w:val="auto"/>
                      <w:highlight w:val="none"/>
                    </w:rPr>
                  </w:pPr>
                  <w:r>
                    <w:rPr>
                      <w:rFonts w:hint="eastAsia"/>
                      <w:color w:val="auto"/>
                      <w:highlight w:val="none"/>
                    </w:rPr>
                    <w:t>27</w:t>
                  </w:r>
                </w:p>
              </w:tc>
              <w:tc>
                <w:tcPr>
                  <w:tcW w:w="664" w:type="dxa"/>
                  <w:vMerge w:val="continue"/>
                </w:tcPr>
                <w:p w14:paraId="2F6BDE65">
                  <w:pPr>
                    <w:jc w:val="center"/>
                    <w:rPr>
                      <w:rFonts w:hint="eastAsia"/>
                      <w:color w:val="auto"/>
                      <w:highlight w:val="none"/>
                    </w:rPr>
                  </w:pPr>
                </w:p>
              </w:tc>
              <w:tc>
                <w:tcPr>
                  <w:tcW w:w="764" w:type="dxa"/>
                  <w:gridSpan w:val="2"/>
                  <w:vMerge w:val="continue"/>
                </w:tcPr>
                <w:p w14:paraId="5401D5C8">
                  <w:pPr>
                    <w:jc w:val="center"/>
                    <w:rPr>
                      <w:rFonts w:hint="eastAsia"/>
                      <w:color w:val="auto"/>
                      <w:highlight w:val="none"/>
                    </w:rPr>
                  </w:pPr>
                </w:p>
              </w:tc>
            </w:tr>
          </w:tbl>
          <w:p w14:paraId="05AF0D62">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5B5D352C">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244B50B1">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23AA53BD">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65D32FBB">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1DF612A9">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6EE54EBB">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6743E54E">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7DCFE127">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7C9AB567">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6AECC35D">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0086905C">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303BCE91">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5690DDF1">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6F045755">
            <w:pPr>
              <w:keepNext w:val="0"/>
              <w:keepLines w:val="0"/>
              <w:pageBreakBefore w:val="0"/>
              <w:widowControl/>
              <w:kinsoku/>
              <w:wordWrap/>
              <w:overflowPunct/>
              <w:topLinePunct w:val="0"/>
              <w:autoSpaceDE/>
              <w:autoSpaceDN/>
              <w:bidi w:val="0"/>
              <w:adjustRightInd/>
              <w:snapToGrid/>
              <w:spacing w:line="240" w:lineRule="auto"/>
              <w:ind w:firstLine="420" w:firstLineChars="200"/>
              <w:jc w:val="center"/>
              <w:textAlignment w:val="auto"/>
            </w:pPr>
            <w:r>
              <w:drawing>
                <wp:inline distT="0" distB="0" distL="114300" distR="114300">
                  <wp:extent cx="4284345" cy="3307080"/>
                  <wp:effectExtent l="0" t="0" r="1905" b="762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2"/>
                          <a:stretch>
                            <a:fillRect/>
                          </a:stretch>
                        </pic:blipFill>
                        <pic:spPr>
                          <a:xfrm>
                            <a:off x="0" y="0"/>
                            <a:ext cx="4284345" cy="3307080"/>
                          </a:xfrm>
                          <a:prstGeom prst="rect">
                            <a:avLst/>
                          </a:prstGeom>
                          <a:noFill/>
                          <a:ln>
                            <a:noFill/>
                          </a:ln>
                        </pic:spPr>
                      </pic:pic>
                    </a:graphicData>
                  </a:graphic>
                </wp:inline>
              </w:drawing>
            </w:r>
          </w:p>
          <w:p w14:paraId="5CCA0854">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default" w:eastAsia="宋体"/>
                <w:b/>
                <w:bCs/>
                <w:sz w:val="24"/>
                <w:szCs w:val="32"/>
                <w:lang w:val="en-US" w:eastAsia="zh-CN"/>
              </w:rPr>
            </w:pPr>
            <w:r>
              <w:rPr>
                <w:rFonts w:hint="eastAsia"/>
                <w:b/>
                <w:bCs/>
                <w:sz w:val="24"/>
                <w:szCs w:val="32"/>
                <w:lang w:val="en-US" w:eastAsia="zh-CN"/>
              </w:rPr>
              <w:t>图3-1 本项目与引用监测数据项目位置关系图</w:t>
            </w:r>
          </w:p>
          <w:p w14:paraId="734B569D">
            <w:pPr>
              <w:keepNext w:val="0"/>
              <w:keepLines w:val="0"/>
              <w:pageBreakBefore w:val="0"/>
              <w:widowControl/>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0"/>
                <w:highlight w:val="none"/>
                <w:lang w:val="en-US" w:eastAsia="zh-CN" w:bidi="ar-SA"/>
              </w:rPr>
            </w:pPr>
          </w:p>
          <w:p w14:paraId="5FB4CFFC">
            <w:pPr>
              <w:keepNext w:val="0"/>
              <w:keepLines w:val="0"/>
              <w:pageBreakBefore w:val="0"/>
              <w:widowControl/>
              <w:kinsoku/>
              <w:wordWrap/>
              <w:overflowPunct/>
              <w:topLinePunct w:val="0"/>
              <w:autoSpaceDE/>
              <w:autoSpaceDN/>
              <w:bidi w:val="0"/>
              <w:adjustRightInd/>
              <w:snapToGrid/>
              <w:spacing w:before="157" w:beforeLines="50" w:line="360" w:lineRule="auto"/>
              <w:ind w:left="0" w:leftChars="0" w:firstLine="420" w:firstLineChars="175"/>
              <w:textAlignment w:val="auto"/>
              <w:rPr>
                <w:rFonts w:hint="default"/>
                <w:b w:val="0"/>
                <w:bCs w:val="0"/>
                <w:color w:val="auto"/>
                <w:sz w:val="24"/>
                <w:highlight w:val="none"/>
                <w:lang w:val="en-US" w:eastAsia="zh-CN"/>
              </w:rPr>
            </w:pPr>
            <w:r>
              <w:rPr>
                <w:rFonts w:hint="eastAsia"/>
                <w:b w:val="0"/>
                <w:bCs w:val="0"/>
                <w:color w:val="auto"/>
                <w:sz w:val="24"/>
                <w:highlight w:val="none"/>
                <w:lang w:val="en-US" w:eastAsia="zh-CN"/>
              </w:rPr>
              <w:t>根据以上监测结果可知，项目所在地处非甲烷总烃监测浓度值满足《大气污染物综合排放标准详解》中标准限值</w:t>
            </w:r>
            <w:r>
              <w:rPr>
                <w:rFonts w:hint="eastAsia"/>
                <w:b w:val="0"/>
                <w:bCs w:val="0"/>
                <w:color w:val="auto"/>
                <w:sz w:val="24"/>
                <w:highlight w:val="none"/>
                <w:vertAlign w:val="baseline"/>
                <w:lang w:val="en-US" w:eastAsia="zh-CN"/>
              </w:rPr>
              <w:t>。</w:t>
            </w:r>
            <w:r>
              <w:rPr>
                <w:rFonts w:hint="eastAsia"/>
                <w:color w:val="auto"/>
                <w:sz w:val="24"/>
                <w:szCs w:val="24"/>
                <w:highlight w:val="none"/>
              </w:rPr>
              <w:t>氯化氢监测结果均符合HJ 2.2-2018《环境影响评价技术导则 大气环境》附录D标准限值</w:t>
            </w:r>
            <w:r>
              <w:rPr>
                <w:rFonts w:hint="eastAsia"/>
                <w:color w:val="auto"/>
                <w:sz w:val="24"/>
                <w:szCs w:val="24"/>
                <w:highlight w:val="none"/>
                <w:lang w:eastAsia="zh-CN"/>
              </w:rPr>
              <w:t>。</w:t>
            </w:r>
            <w:r>
              <w:rPr>
                <w:rFonts w:hint="eastAsia"/>
                <w:color w:val="auto"/>
                <w:sz w:val="24"/>
                <w:szCs w:val="24"/>
                <w:highlight w:val="none"/>
              </w:rPr>
              <w:t>NO</w:t>
            </w:r>
            <w:r>
              <w:rPr>
                <w:rFonts w:hint="eastAsia"/>
                <w:color w:val="auto"/>
                <w:sz w:val="24"/>
                <w:szCs w:val="24"/>
                <w:highlight w:val="none"/>
                <w:vertAlign w:val="subscript"/>
              </w:rPr>
              <w:t>X</w:t>
            </w:r>
            <w:r>
              <w:rPr>
                <w:rFonts w:hint="eastAsia"/>
                <w:color w:val="auto"/>
                <w:sz w:val="24"/>
                <w:szCs w:val="24"/>
                <w:highlight w:val="none"/>
              </w:rPr>
              <w:t>监测结果符合GB3095-2012《环境空气质量标准》及其修改单表2二级浓度限值。</w:t>
            </w:r>
          </w:p>
          <w:p w14:paraId="19B31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b/>
                <w:bCs/>
                <w:color w:val="auto"/>
                <w:sz w:val="24"/>
                <w:highlight w:val="none"/>
              </w:rPr>
            </w:pPr>
            <w:r>
              <w:rPr>
                <w:rFonts w:hint="eastAsia"/>
                <w:b/>
                <w:bCs/>
                <w:color w:val="auto"/>
                <w:sz w:val="24"/>
                <w:highlight w:val="none"/>
                <w:lang w:val="en-US" w:eastAsia="zh-CN"/>
              </w:rPr>
              <w:t>二、</w:t>
            </w:r>
            <w:r>
              <w:rPr>
                <w:rFonts w:hint="eastAsia"/>
                <w:b/>
                <w:bCs/>
                <w:color w:val="auto"/>
                <w:sz w:val="24"/>
                <w:highlight w:val="none"/>
              </w:rPr>
              <w:t>声环境</w:t>
            </w:r>
          </w:p>
          <w:p w14:paraId="6871D3C3">
            <w:pPr>
              <w:adjustRightInd w:val="0"/>
              <w:snapToGrid w:val="0"/>
              <w:spacing w:line="360" w:lineRule="auto"/>
              <w:ind w:left="0" w:leftChars="0" w:firstLine="420" w:firstLineChars="175"/>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本项目厂界外50m范围内无医院、学校、机关、科研单位、住宅、自然保护区等声环境保护目标，故无需开展声环境质量现状评价。</w:t>
            </w:r>
          </w:p>
          <w:p w14:paraId="67F1A732">
            <w:pPr>
              <w:numPr>
                <w:ilvl w:val="0"/>
                <w:numId w:val="0"/>
              </w:numPr>
              <w:adjustRightInd w:val="0"/>
              <w:snapToGrid w:val="0"/>
              <w:spacing w:line="360" w:lineRule="auto"/>
              <w:ind w:leftChars="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三、地下水、土壤环境</w:t>
            </w:r>
          </w:p>
          <w:p w14:paraId="2287CEFB">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根据《建设项目环境影响报告表编制技术指南》（污染影响类）中：</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原则上不开展地下水、土壤环境质量现状调查。建设项目存在土壤、地下水环境污染途径的，应结合污染源、保护目标分布情况开展现状调查以留作背景值</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p>
          <w:p w14:paraId="2DC1B241">
            <w:pPr>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本项目危废贮存库进行防渗防漏等措施，</w:t>
            </w:r>
            <w:r>
              <w:rPr>
                <w:rFonts w:hint="eastAsia" w:ascii="Times New Roman" w:hAnsi="Times New Roman" w:cs="Times New Roman"/>
                <w:color w:val="auto"/>
                <w:sz w:val="24"/>
                <w:highlight w:val="none"/>
                <w:lang w:val="en-US" w:eastAsia="zh-CN"/>
              </w:rPr>
              <w:t>实验</w:t>
            </w:r>
            <w:r>
              <w:rPr>
                <w:rFonts w:hint="default" w:ascii="Times New Roman" w:hAnsi="Times New Roman" w:cs="Times New Roman"/>
                <w:color w:val="auto"/>
                <w:sz w:val="24"/>
                <w:highlight w:val="none"/>
                <w:lang w:val="en-US" w:eastAsia="zh-CN"/>
              </w:rPr>
              <w:t>研发过程固废委托处置率达100%，液体危险废物暂存于危废贮存库内专用的贮存设施，且用托盘支撑，另外，项目建设位于</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lang w:val="en-US" w:eastAsia="zh-CN"/>
              </w:rPr>
              <w:t>楼，</w:t>
            </w:r>
            <w:r>
              <w:rPr>
                <w:rFonts w:hint="default" w:ascii="Times New Roman" w:hAnsi="Times New Roman" w:eastAsia="宋体" w:cs="Times New Roman"/>
                <w:color w:val="auto"/>
                <w:kern w:val="0"/>
                <w:sz w:val="24"/>
                <w:szCs w:val="24"/>
                <w:highlight w:val="none"/>
                <w:lang w:val="en-US" w:eastAsia="zh-CN"/>
              </w:rPr>
              <w:t>不与地面直接接触，基本切断了废水、固废进入地下水和土壤的途径</w:t>
            </w:r>
            <w:r>
              <w:rPr>
                <w:rFonts w:hint="default" w:ascii="Times New Roman" w:hAnsi="Times New Roman" w:cs="Times New Roman"/>
                <w:color w:val="auto"/>
                <w:sz w:val="24"/>
                <w:highlight w:val="none"/>
                <w:lang w:val="en-US" w:eastAsia="zh-CN"/>
              </w:rPr>
              <w:t>。另外，项目厂区周边不存在土壤敏感点和地下水敏感区，因此。本项目</w:t>
            </w:r>
            <w:r>
              <w:rPr>
                <w:rFonts w:hint="eastAsia" w:cs="Times New Roman"/>
                <w:color w:val="auto"/>
                <w:sz w:val="24"/>
                <w:highlight w:val="none"/>
                <w:lang w:val="en-US" w:eastAsia="zh-CN"/>
              </w:rPr>
              <w:t>可</w:t>
            </w:r>
            <w:r>
              <w:rPr>
                <w:rFonts w:hint="default" w:ascii="Times New Roman" w:hAnsi="Times New Roman" w:cs="Times New Roman"/>
                <w:color w:val="auto"/>
                <w:sz w:val="24"/>
                <w:highlight w:val="none"/>
                <w:lang w:val="en-US" w:eastAsia="zh-CN"/>
              </w:rPr>
              <w:t>不开展土壤环境质量现状调查。</w:t>
            </w:r>
          </w:p>
          <w:p w14:paraId="209F52F3">
            <w:pPr>
              <w:spacing w:line="360" w:lineRule="auto"/>
              <w:ind w:left="0" w:leftChars="0" w:firstLine="0" w:firstLineChars="0"/>
              <w:rPr>
                <w:rFonts w:hint="eastAsia" w:ascii="Times New Roman" w:hAnsi="Times New Roman" w:eastAsia="宋体" w:cs="Times New Roman"/>
                <w:b/>
                <w:bCs/>
                <w:color w:val="auto"/>
                <w:sz w:val="24"/>
                <w:highlight w:val="none"/>
                <w:lang w:val="en-US" w:eastAsia="zh-CN"/>
              </w:rPr>
            </w:pPr>
            <w:r>
              <w:rPr>
                <w:rFonts w:hint="eastAsia" w:cs="Times New Roman"/>
                <w:b/>
                <w:bCs/>
                <w:color w:val="auto"/>
                <w:sz w:val="24"/>
                <w:highlight w:val="none"/>
                <w:lang w:val="en-US" w:eastAsia="zh-CN"/>
              </w:rPr>
              <w:t>四、</w:t>
            </w:r>
            <w:r>
              <w:rPr>
                <w:rFonts w:hint="eastAsia" w:ascii="Times New Roman" w:hAnsi="Times New Roman" w:eastAsia="宋体" w:cs="Times New Roman"/>
                <w:b/>
                <w:bCs/>
                <w:color w:val="auto"/>
                <w:sz w:val="24"/>
                <w:highlight w:val="none"/>
                <w:lang w:val="en-US" w:eastAsia="zh-CN"/>
              </w:rPr>
              <w:t>生态环境</w:t>
            </w:r>
          </w:p>
          <w:p w14:paraId="26653C04">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本项目位于伟合沣东科技产业园园区内，租赁已建成的空置厂房进行项目的生产，园区、厂区地面均已硬化，故无需进行生态现状调查。</w:t>
            </w:r>
          </w:p>
        </w:tc>
      </w:tr>
      <w:tr w14:paraId="45E724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35" w:type="dxa"/>
            <w:noWrap w:val="0"/>
            <w:vAlign w:val="center"/>
          </w:tcPr>
          <w:p w14:paraId="75E24146">
            <w:pPr>
              <w:adjustRightInd w:val="0"/>
              <w:snapToGrid w:val="0"/>
              <w:jc w:val="center"/>
              <w:rPr>
                <w:b/>
                <w:bCs/>
                <w:color w:val="auto"/>
                <w:kern w:val="0"/>
                <w:sz w:val="24"/>
                <w:highlight w:val="none"/>
              </w:rPr>
            </w:pPr>
            <w:r>
              <w:rPr>
                <w:b/>
                <w:bCs/>
                <w:color w:val="auto"/>
                <w:kern w:val="0"/>
                <w:sz w:val="24"/>
                <w:highlight w:val="none"/>
              </w:rPr>
              <w:t>环境保护目标</w:t>
            </w:r>
          </w:p>
        </w:tc>
        <w:tc>
          <w:tcPr>
            <w:tcW w:w="8304" w:type="dxa"/>
            <w:noWrap w:val="0"/>
            <w:vAlign w:val="center"/>
          </w:tcPr>
          <w:p w14:paraId="511DA969">
            <w:pPr>
              <w:pStyle w:val="72"/>
              <w:numPr>
                <w:ilvl w:val="0"/>
                <w:numId w:val="0"/>
              </w:numPr>
              <w:spacing w:before="157" w:beforeLines="50" w:line="360" w:lineRule="auto"/>
              <w:ind w:firstLine="0" w:firstLineChars="0"/>
              <w:rPr>
                <w:rFonts w:hint="eastAsia"/>
                <w:color w:val="auto"/>
                <w:sz w:val="24"/>
                <w:szCs w:val="24"/>
                <w:highlight w:val="none"/>
                <w:lang w:val="en-US" w:eastAsia="zh-CN"/>
              </w:rPr>
            </w:pPr>
            <w:r>
              <w:rPr>
                <w:rFonts w:hint="eastAsia" w:cs="Times New Roman"/>
                <w:b/>
                <w:bCs/>
                <w:color w:val="auto"/>
                <w:kern w:val="0"/>
                <w:sz w:val="24"/>
                <w:szCs w:val="24"/>
                <w:highlight w:val="none"/>
                <w:lang w:val="en-US" w:eastAsia="zh-CN"/>
              </w:rPr>
              <w:t>1.</w:t>
            </w:r>
            <w:r>
              <w:rPr>
                <w:rFonts w:hint="default" w:ascii="Times New Roman" w:hAnsi="Times New Roman" w:cs="Times New Roman"/>
                <w:b/>
                <w:bCs/>
                <w:color w:val="auto"/>
                <w:kern w:val="0"/>
                <w:sz w:val="24"/>
                <w:szCs w:val="24"/>
                <w:highlight w:val="none"/>
                <w:lang w:val="en-US" w:eastAsia="zh-CN"/>
              </w:rPr>
              <w:t>大气环境</w:t>
            </w:r>
            <w:r>
              <w:rPr>
                <w:rFonts w:hint="eastAsia" w:cs="Times New Roman"/>
                <w:b/>
                <w:bCs/>
                <w:color w:val="auto"/>
                <w:kern w:val="0"/>
                <w:sz w:val="24"/>
                <w:szCs w:val="24"/>
                <w:highlight w:val="none"/>
                <w:lang w:val="en-US" w:eastAsia="zh-CN"/>
              </w:rPr>
              <w:t>：</w:t>
            </w:r>
            <w:r>
              <w:rPr>
                <w:rFonts w:hint="eastAsia"/>
                <w:color w:val="auto"/>
                <w:sz w:val="24"/>
                <w:szCs w:val="24"/>
                <w:highlight w:val="none"/>
              </w:rPr>
              <w:t>根据《建设项目环境影响报告表编制技术指南（污染影响类）》，大气评价范围为500m。经调查，</w:t>
            </w:r>
            <w:r>
              <w:rPr>
                <w:rFonts w:hint="eastAsia"/>
                <w:color w:val="auto"/>
                <w:sz w:val="24"/>
                <w:szCs w:val="24"/>
                <w:highlight w:val="none"/>
                <w:lang w:val="en-US" w:eastAsia="zh-CN"/>
              </w:rPr>
              <w:t>本项目位于工业园内，</w:t>
            </w:r>
            <w:r>
              <w:rPr>
                <w:rFonts w:hint="eastAsia"/>
                <w:color w:val="auto"/>
                <w:sz w:val="24"/>
                <w:szCs w:val="24"/>
                <w:highlight w:val="none"/>
              </w:rPr>
              <w:t>本项目厂界外500m范围内无自然保护区、风景名胜区、文化区、居住区等保护目标。</w:t>
            </w:r>
          </w:p>
          <w:p w14:paraId="77B3AD5D">
            <w:pPr>
              <w:keepNext w:val="0"/>
              <w:keepLines w:val="0"/>
              <w:pageBreakBefore w:val="0"/>
              <w:widowControl w:val="0"/>
              <w:kinsoku/>
              <w:wordWrap/>
              <w:overflowPunct/>
              <w:topLinePunct w:val="0"/>
              <w:autoSpaceDE/>
              <w:autoSpaceDN/>
              <w:bidi w:val="0"/>
              <w:adjustRightInd/>
              <w:snapToGrid/>
              <w:spacing w:before="157" w:beforeLines="50" w:line="360" w:lineRule="auto"/>
              <w:ind w:firstLine="0" w:firstLineChars="0"/>
              <w:textAlignment w:val="auto"/>
              <w:rPr>
                <w:rFonts w:hint="eastAsia"/>
                <w:color w:val="auto"/>
                <w:sz w:val="24"/>
                <w:szCs w:val="24"/>
                <w:highlight w:val="none"/>
                <w:lang w:val="en-US" w:eastAsia="zh-CN"/>
              </w:rPr>
            </w:pPr>
            <w:r>
              <w:rPr>
                <w:rFonts w:hint="eastAsia" w:ascii="Times New Roman" w:hAnsi="Times New Roman" w:eastAsia="宋体" w:cs="Times New Roman"/>
                <w:b/>
                <w:bCs/>
                <w:color w:val="auto"/>
                <w:kern w:val="2"/>
                <w:sz w:val="24"/>
                <w:szCs w:val="24"/>
                <w:highlight w:val="none"/>
                <w:lang w:val="en-US" w:eastAsia="zh-CN" w:bidi="ar-SA"/>
              </w:rPr>
              <w:t>2</w:t>
            </w:r>
            <w:r>
              <w:rPr>
                <w:rFonts w:hint="eastAsia" w:cs="Times New Roman"/>
                <w:b/>
                <w:bCs/>
                <w:color w:val="auto"/>
                <w:kern w:val="2"/>
                <w:sz w:val="24"/>
                <w:szCs w:val="24"/>
                <w:highlight w:val="none"/>
                <w:lang w:val="en-US" w:eastAsia="zh-CN" w:bidi="ar-SA"/>
              </w:rPr>
              <w:t>.</w:t>
            </w:r>
            <w:r>
              <w:rPr>
                <w:rFonts w:hint="eastAsia" w:ascii="Times New Roman" w:hAnsi="Times New Roman" w:eastAsia="宋体" w:cs="Times New Roman"/>
                <w:b/>
                <w:bCs/>
                <w:color w:val="auto"/>
                <w:kern w:val="2"/>
                <w:sz w:val="24"/>
                <w:szCs w:val="24"/>
                <w:highlight w:val="none"/>
                <w:lang w:val="en-US" w:eastAsia="zh-CN" w:bidi="ar-SA"/>
              </w:rPr>
              <w:t>声环境</w:t>
            </w:r>
            <w:r>
              <w:rPr>
                <w:rFonts w:hint="eastAsia" w:cs="Times New Roman"/>
                <w:b/>
                <w:bCs/>
                <w:color w:val="auto"/>
                <w:kern w:val="2"/>
                <w:sz w:val="24"/>
                <w:szCs w:val="24"/>
                <w:highlight w:val="none"/>
                <w:lang w:val="en-US" w:eastAsia="zh-CN" w:bidi="ar-SA"/>
              </w:rPr>
              <w:t>：</w:t>
            </w:r>
            <w:r>
              <w:rPr>
                <w:rFonts w:hint="eastAsia"/>
                <w:color w:val="auto"/>
                <w:sz w:val="24"/>
                <w:szCs w:val="24"/>
                <w:highlight w:val="none"/>
                <w:lang w:val="en-US" w:eastAsia="zh-CN"/>
              </w:rPr>
              <w:t>项目厂界外50m范围内无声环境保护目标。</w:t>
            </w:r>
          </w:p>
          <w:p w14:paraId="65CC31EC">
            <w:pPr>
              <w:pStyle w:val="3"/>
              <w:numPr>
                <w:ilvl w:val="-1"/>
                <w:numId w:val="0"/>
              </w:numPr>
              <w:rPr>
                <w:rFonts w:hint="eastAsia"/>
                <w:b w:val="0"/>
                <w:bCs w:val="0"/>
                <w:color w:val="auto"/>
                <w:sz w:val="24"/>
                <w:szCs w:val="24"/>
                <w:highlight w:val="none"/>
                <w:lang w:val="en-US" w:eastAsia="zh-CN"/>
              </w:rPr>
            </w:pPr>
            <w:r>
              <w:rPr>
                <w:rFonts w:hint="eastAsia"/>
                <w:b/>
                <w:bCs/>
                <w:color w:val="auto"/>
                <w:sz w:val="24"/>
                <w:szCs w:val="24"/>
                <w:highlight w:val="none"/>
                <w:lang w:val="en-US" w:eastAsia="zh-CN"/>
              </w:rPr>
              <w:t>3.地下水环境：</w:t>
            </w:r>
            <w:r>
              <w:rPr>
                <w:rFonts w:hint="eastAsia"/>
                <w:b w:val="0"/>
                <w:bCs w:val="0"/>
                <w:color w:val="auto"/>
                <w:sz w:val="24"/>
                <w:highlight w:val="none"/>
              </w:rPr>
              <w:t>厂界外500m范围内无地下水集中式饮用水水源、热 水、矿泉水、温泉等特殊地下水资源</w:t>
            </w:r>
            <w:r>
              <w:rPr>
                <w:rFonts w:hint="eastAsia"/>
                <w:b w:val="0"/>
                <w:bCs w:val="0"/>
                <w:color w:val="auto"/>
                <w:sz w:val="24"/>
                <w:highlight w:val="none"/>
                <w:lang w:eastAsia="zh-CN"/>
              </w:rPr>
              <w:t>。</w:t>
            </w:r>
          </w:p>
          <w:p w14:paraId="224B34C0">
            <w:pPr>
              <w:pStyle w:val="3"/>
              <w:numPr>
                <w:ilvl w:val="-1"/>
                <w:numId w:val="0"/>
              </w:numPr>
              <w:rPr>
                <w:rFonts w:hint="eastAsia"/>
                <w:b w:val="0"/>
                <w:bCs w:val="0"/>
                <w:color w:val="auto"/>
                <w:sz w:val="24"/>
                <w:szCs w:val="24"/>
                <w:highlight w:val="none"/>
                <w:lang w:val="en-US" w:eastAsia="zh-CN"/>
              </w:rPr>
            </w:pPr>
            <w:r>
              <w:rPr>
                <w:rFonts w:hint="eastAsia" w:cs="Times New Roman"/>
                <w:b/>
                <w:bCs/>
                <w:color w:val="auto"/>
                <w:kern w:val="0"/>
                <w:sz w:val="24"/>
                <w:highlight w:val="none"/>
                <w:lang w:val="en-US" w:eastAsia="zh-CN"/>
              </w:rPr>
              <w:t>4.</w:t>
            </w:r>
            <w:r>
              <w:rPr>
                <w:rFonts w:hint="eastAsia" w:ascii="Times New Roman" w:hAnsi="Times New Roman" w:eastAsia="宋体" w:cs="Times New Roman"/>
                <w:b/>
                <w:bCs/>
                <w:color w:val="auto"/>
                <w:kern w:val="0"/>
                <w:sz w:val="24"/>
                <w:highlight w:val="none"/>
                <w:lang w:eastAsia="zh-CN"/>
              </w:rPr>
              <w:t>生态</w:t>
            </w:r>
            <w:r>
              <w:rPr>
                <w:rFonts w:hint="eastAsia" w:eastAsia="宋体"/>
                <w:b/>
                <w:bCs/>
                <w:color w:val="auto"/>
                <w:kern w:val="0"/>
                <w:sz w:val="24"/>
                <w:highlight w:val="none"/>
              </w:rPr>
              <w:t>环境</w:t>
            </w:r>
            <w:r>
              <w:rPr>
                <w:rFonts w:hint="eastAsia" w:eastAsia="宋体"/>
                <w:color w:val="auto"/>
                <w:kern w:val="0"/>
                <w:sz w:val="24"/>
                <w:highlight w:val="none"/>
              </w:rPr>
              <w:t>：</w:t>
            </w:r>
            <w:r>
              <w:rPr>
                <w:rFonts w:hint="eastAsia" w:eastAsia="宋体"/>
                <w:color w:val="auto"/>
                <w:kern w:val="0"/>
                <w:sz w:val="24"/>
                <w:highlight w:val="none"/>
                <w:lang w:val="en-US" w:eastAsia="zh-CN"/>
              </w:rPr>
              <w:t>本项目不涉及</w:t>
            </w:r>
            <w:r>
              <w:rPr>
                <w:rFonts w:hint="eastAsia" w:ascii="Times New Roman" w:hAnsi="Times New Roman" w:eastAsia="宋体" w:cs="Times New Roman"/>
                <w:color w:val="auto"/>
                <w:kern w:val="0"/>
                <w:sz w:val="24"/>
                <w:highlight w:val="none"/>
                <w:lang w:eastAsia="zh-CN"/>
              </w:rPr>
              <w:t>生态</w:t>
            </w:r>
            <w:r>
              <w:rPr>
                <w:rFonts w:hint="eastAsia" w:cs="Times New Roman"/>
                <w:color w:val="auto"/>
                <w:kern w:val="0"/>
                <w:sz w:val="24"/>
                <w:highlight w:val="none"/>
                <w:lang w:eastAsia="zh-CN"/>
              </w:rPr>
              <w:t>环境</w:t>
            </w:r>
            <w:r>
              <w:rPr>
                <w:rFonts w:hint="eastAsia" w:eastAsia="宋体"/>
                <w:color w:val="auto"/>
                <w:kern w:val="0"/>
                <w:sz w:val="24"/>
                <w:highlight w:val="none"/>
                <w:lang w:val="en-US" w:eastAsia="zh-CN"/>
              </w:rPr>
              <w:t>保护目标。</w:t>
            </w:r>
          </w:p>
          <w:p w14:paraId="05E7B8D9">
            <w:pPr>
              <w:numPr>
                <w:ilvl w:val="-1"/>
                <w:numId w:val="0"/>
              </w:numPr>
              <w:rPr>
                <w:rFonts w:hint="default"/>
                <w:color w:val="auto"/>
                <w:highlight w:val="none"/>
                <w:lang w:val="en-US" w:eastAsia="zh-CN"/>
              </w:rPr>
            </w:pPr>
            <w:r>
              <w:rPr>
                <w:rFonts w:hint="eastAsia"/>
                <w:color w:val="auto"/>
                <w:highlight w:val="none"/>
                <w:lang w:val="en-US" w:eastAsia="zh-CN"/>
              </w:rPr>
              <w:t xml:space="preserve">  </w:t>
            </w:r>
          </w:p>
        </w:tc>
      </w:tr>
      <w:tr w14:paraId="78CBBA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9" w:hRule="atLeast"/>
          <w:jc w:val="center"/>
        </w:trPr>
        <w:tc>
          <w:tcPr>
            <w:tcW w:w="735" w:type="dxa"/>
            <w:noWrap w:val="0"/>
            <w:vAlign w:val="center"/>
          </w:tcPr>
          <w:p w14:paraId="35692C47">
            <w:pPr>
              <w:adjustRightInd w:val="0"/>
              <w:snapToGrid w:val="0"/>
              <w:jc w:val="center"/>
              <w:rPr>
                <w:b/>
                <w:bCs/>
                <w:color w:val="auto"/>
                <w:kern w:val="0"/>
                <w:sz w:val="24"/>
                <w:highlight w:val="none"/>
              </w:rPr>
            </w:pPr>
            <w:r>
              <w:rPr>
                <w:b/>
                <w:bCs/>
                <w:color w:val="auto"/>
                <w:kern w:val="0"/>
                <w:sz w:val="24"/>
                <w:highlight w:val="none"/>
              </w:rPr>
              <w:t>污染物排放控制标准</w:t>
            </w:r>
          </w:p>
        </w:tc>
        <w:tc>
          <w:tcPr>
            <w:tcW w:w="8304" w:type="dxa"/>
            <w:noWrap w:val="0"/>
            <w:vAlign w:val="center"/>
          </w:tcPr>
          <w:p w14:paraId="5B37847C">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w:t>
            </w:r>
            <w:r>
              <w:rPr>
                <w:rFonts w:hint="eastAsia"/>
                <w:b/>
                <w:bCs/>
                <w:color w:val="auto"/>
                <w:sz w:val="24"/>
                <w:szCs w:val="24"/>
                <w:highlight w:val="none"/>
                <w:lang w:val="en-US" w:eastAsia="zh-CN"/>
              </w:rPr>
              <w:t>废气</w:t>
            </w:r>
          </w:p>
          <w:p w14:paraId="044112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highlight w:val="none"/>
              </w:rPr>
            </w:pPr>
            <w:r>
              <w:rPr>
                <w:rFonts w:hint="eastAsia"/>
                <w:color w:val="auto"/>
                <w:sz w:val="24"/>
                <w:highlight w:val="none"/>
              </w:rPr>
              <w:t>本项目属于</w:t>
            </w:r>
            <w:r>
              <w:rPr>
                <w:rFonts w:hint="eastAsia"/>
                <w:color w:val="auto"/>
                <w:sz w:val="24"/>
                <w:highlight w:val="none"/>
                <w:lang w:val="en-US" w:eastAsia="zh-CN"/>
              </w:rPr>
              <w:t>医药</w:t>
            </w:r>
            <w:r>
              <w:rPr>
                <w:rFonts w:hint="eastAsia"/>
                <w:color w:val="auto"/>
                <w:sz w:val="24"/>
                <w:highlight w:val="none"/>
              </w:rPr>
              <w:t>研发机构，项目运营过程中非甲烷总烃及HCl有组织废气执行《制药工业大气污染物排放标准》（GB 37823-2019）表2大气污染物特别排放限值中“化学药品原料药制造、兽用药品原料药制造、生物药品制品制造、医药中间体生产和药物研发机构工艺废气”标准限值；厂区内非甲烷总烃无组织废气执行《挥发性有机物排放控制标准》（DB61/T1061-2017）表 1 医药制造标准及无组织排放监控浓度限值；厂界HCl执行《制药工业大气污染物排放标准》（GB 37823-2019）表2大气污染物特别排放限值及表4企业边界大气污染物浓度限值；NOx执行《大气污染物综合排放标准》（GB16297-1996）表2有组织及无组织标准限值</w:t>
            </w:r>
            <w:r>
              <w:rPr>
                <w:rFonts w:hint="eastAsia"/>
                <w:color w:val="auto"/>
                <w:sz w:val="24"/>
                <w:highlight w:val="none"/>
                <w:lang w:eastAsia="zh-CN"/>
              </w:rPr>
              <w:t>。</w:t>
            </w:r>
          </w:p>
          <w:p w14:paraId="79E0D2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highlight w:val="none"/>
              </w:rPr>
            </w:pPr>
            <w:r>
              <w:rPr>
                <w:rFonts w:hint="eastAsia"/>
                <w:color w:val="auto"/>
                <w:sz w:val="24"/>
                <w:highlight w:val="none"/>
              </w:rPr>
              <w:t>根据《制药工业大气污染物排放标准》（GB 37823-2019）中“4.7 排放光气、氰化氢和氯气的排气筒高度不低于25m，其他排气筒高度不低于15m（因安全考虑或有特殊工艺要求的除外），具体高度以及与周围建筑物的相对高度关系应根据环境影响评价文件确定。”本项目不排放光气、氰化氢和氯气，因此排气筒满足不低于15m的要求即可。根据《大气污染物综合排放标准》（GB16297-1996）要求，排气筒高度除需遵守表列排放速率标准值外，还应高出周围200m半径范围的建筑5m以上，不能达到该要求的排气筒，应按其高度对应的表列排放速率标准值严格50％执行。本项目周边200m范围内最高建筑物高度约为</w:t>
            </w:r>
            <w:r>
              <w:rPr>
                <w:rFonts w:hint="eastAsia"/>
                <w:color w:val="auto"/>
                <w:sz w:val="24"/>
                <w:highlight w:val="none"/>
                <w:lang w:eastAsia="zh-CN"/>
              </w:rPr>
              <w:t>3</w:t>
            </w:r>
            <w:r>
              <w:rPr>
                <w:rFonts w:hint="eastAsia"/>
                <w:color w:val="auto"/>
                <w:sz w:val="24"/>
                <w:highlight w:val="none"/>
                <w:lang w:val="en-US" w:eastAsia="zh-CN"/>
              </w:rPr>
              <w:t>0</w:t>
            </w:r>
            <w:r>
              <w:rPr>
                <w:rFonts w:hint="eastAsia"/>
                <w:color w:val="auto"/>
                <w:sz w:val="24"/>
                <w:highlight w:val="none"/>
              </w:rPr>
              <w:t>m，排气筒高度难以达到要求，因此本项目排放速率标准值严格50％执行。</w:t>
            </w:r>
          </w:p>
          <w:p w14:paraId="6DB0301B">
            <w:pPr>
              <w:bidi w:val="0"/>
              <w:jc w:val="center"/>
              <w:rPr>
                <w:rFonts w:hint="default"/>
                <w:b/>
                <w:bCs/>
                <w:color w:val="auto"/>
                <w:sz w:val="24"/>
                <w:szCs w:val="24"/>
                <w:highlight w:val="none"/>
                <w:lang w:val="en-US" w:eastAsia="zh-CN"/>
              </w:rPr>
            </w:pPr>
            <w:r>
              <w:rPr>
                <w:rFonts w:hint="default"/>
                <w:b/>
                <w:bCs/>
                <w:color w:val="auto"/>
                <w:sz w:val="24"/>
                <w:szCs w:val="24"/>
                <w:highlight w:val="none"/>
                <w:lang w:val="en-US" w:eastAsia="zh-CN"/>
              </w:rPr>
              <w:t>表3-3  项目营运期排放控制标准</w:t>
            </w:r>
          </w:p>
          <w:tbl>
            <w:tblPr>
              <w:tblStyle w:val="30"/>
              <w:tblW w:w="4996" w:type="pct"/>
              <w:tblInd w:w="-2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383"/>
              <w:gridCol w:w="1080"/>
              <w:gridCol w:w="651"/>
              <w:gridCol w:w="1431"/>
              <w:gridCol w:w="2713"/>
            </w:tblGrid>
            <w:tr w14:paraId="39E751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4" w:type="pct"/>
                  <w:vMerge w:val="restart"/>
                  <w:tcBorders>
                    <w:tl2br w:val="nil"/>
                    <w:tr2bl w:val="nil"/>
                  </w:tcBorders>
                  <w:noWrap w:val="0"/>
                  <w:vAlign w:val="center"/>
                </w:tcPr>
                <w:p w14:paraId="7198D95E">
                  <w:pPr>
                    <w:pStyle w:val="108"/>
                    <w:adjustRightInd w:val="0"/>
                    <w:snapToGrid w:val="0"/>
                    <w:jc w:val="center"/>
                    <w:rPr>
                      <w:rFonts w:cs="Times New Roman"/>
                      <w:bCs/>
                      <w:color w:val="auto"/>
                      <w:szCs w:val="21"/>
                      <w:highlight w:val="none"/>
                      <w:lang w:val="en-US" w:eastAsia="zh-CN"/>
                    </w:rPr>
                  </w:pPr>
                  <w:r>
                    <w:rPr>
                      <w:rFonts w:cs="Times New Roman"/>
                      <w:bCs/>
                      <w:color w:val="auto"/>
                      <w:szCs w:val="21"/>
                      <w:highlight w:val="none"/>
                      <w:lang w:val="en-US" w:eastAsia="zh-CN"/>
                    </w:rPr>
                    <w:t>污染物</w:t>
                  </w:r>
                </w:p>
              </w:tc>
              <w:tc>
                <w:tcPr>
                  <w:tcW w:w="1528" w:type="pct"/>
                  <w:gridSpan w:val="2"/>
                  <w:tcBorders>
                    <w:tl2br w:val="nil"/>
                    <w:tr2bl w:val="nil"/>
                  </w:tcBorders>
                  <w:noWrap w:val="0"/>
                  <w:vAlign w:val="center"/>
                </w:tcPr>
                <w:p w14:paraId="24D6EA6E">
                  <w:pPr>
                    <w:pStyle w:val="108"/>
                    <w:adjustRightInd w:val="0"/>
                    <w:snapToGrid w:val="0"/>
                    <w:jc w:val="center"/>
                    <w:rPr>
                      <w:rFonts w:cs="Times New Roman"/>
                      <w:bCs/>
                      <w:color w:val="auto"/>
                      <w:szCs w:val="21"/>
                      <w:highlight w:val="none"/>
                      <w:lang w:val="en-US" w:eastAsia="zh-CN"/>
                    </w:rPr>
                  </w:pPr>
                  <w:r>
                    <w:rPr>
                      <w:rFonts w:cs="Times New Roman"/>
                      <w:bCs/>
                      <w:color w:val="auto"/>
                      <w:szCs w:val="21"/>
                      <w:highlight w:val="none"/>
                      <w:lang w:val="en-US" w:eastAsia="zh-CN"/>
                    </w:rPr>
                    <w:t>有组织排放限值</w:t>
                  </w:r>
                </w:p>
              </w:tc>
              <w:tc>
                <w:tcPr>
                  <w:tcW w:w="1292" w:type="pct"/>
                  <w:gridSpan w:val="2"/>
                  <w:tcBorders>
                    <w:tl2br w:val="nil"/>
                    <w:tr2bl w:val="nil"/>
                  </w:tcBorders>
                  <w:noWrap w:val="0"/>
                  <w:vAlign w:val="center"/>
                </w:tcPr>
                <w:p w14:paraId="0B34443C">
                  <w:pPr>
                    <w:widowControl/>
                    <w:adjustRightInd w:val="0"/>
                    <w:snapToGrid w:val="0"/>
                    <w:jc w:val="center"/>
                    <w:rPr>
                      <w:b/>
                      <w:bCs/>
                      <w:color w:val="auto"/>
                      <w:kern w:val="0"/>
                      <w:szCs w:val="21"/>
                      <w:highlight w:val="none"/>
                      <w:lang w:bidi="ar"/>
                    </w:rPr>
                  </w:pPr>
                  <w:r>
                    <w:rPr>
                      <w:b/>
                      <w:bCs/>
                      <w:color w:val="auto"/>
                      <w:kern w:val="0"/>
                      <w:szCs w:val="21"/>
                      <w:highlight w:val="none"/>
                      <w:lang w:bidi="ar"/>
                    </w:rPr>
                    <w:t>无组织排放监控浓度限值</w:t>
                  </w:r>
                </w:p>
              </w:tc>
              <w:tc>
                <w:tcPr>
                  <w:tcW w:w="1683" w:type="pct"/>
                  <w:vMerge w:val="restart"/>
                  <w:tcBorders>
                    <w:tl2br w:val="nil"/>
                    <w:tr2bl w:val="nil"/>
                  </w:tcBorders>
                  <w:noWrap w:val="0"/>
                  <w:vAlign w:val="center"/>
                </w:tcPr>
                <w:p w14:paraId="16D2B75A">
                  <w:pPr>
                    <w:widowControl/>
                    <w:adjustRightInd w:val="0"/>
                    <w:snapToGrid w:val="0"/>
                    <w:jc w:val="center"/>
                    <w:rPr>
                      <w:rFonts w:hint="eastAsia"/>
                      <w:b/>
                      <w:bCs/>
                      <w:color w:val="auto"/>
                      <w:kern w:val="0"/>
                      <w:szCs w:val="21"/>
                      <w:highlight w:val="none"/>
                      <w:lang w:bidi="ar"/>
                    </w:rPr>
                  </w:pPr>
                  <w:r>
                    <w:rPr>
                      <w:rFonts w:hint="eastAsia"/>
                      <w:b/>
                      <w:bCs/>
                      <w:color w:val="auto"/>
                      <w:kern w:val="0"/>
                      <w:szCs w:val="21"/>
                      <w:highlight w:val="none"/>
                      <w:lang w:bidi="ar"/>
                    </w:rPr>
                    <w:t>执行标准</w:t>
                  </w:r>
                </w:p>
              </w:tc>
            </w:tr>
            <w:tr w14:paraId="7ED8FC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94" w:type="pct"/>
                  <w:vMerge w:val="continue"/>
                  <w:tcBorders>
                    <w:tl2br w:val="nil"/>
                    <w:tr2bl w:val="nil"/>
                  </w:tcBorders>
                  <w:noWrap w:val="0"/>
                  <w:vAlign w:val="center"/>
                </w:tcPr>
                <w:p w14:paraId="1873D1D7">
                  <w:pPr>
                    <w:pStyle w:val="108"/>
                    <w:adjustRightInd w:val="0"/>
                    <w:snapToGrid w:val="0"/>
                    <w:jc w:val="center"/>
                    <w:rPr>
                      <w:rFonts w:cs="Times New Roman"/>
                      <w:bCs/>
                      <w:color w:val="auto"/>
                      <w:szCs w:val="21"/>
                      <w:highlight w:val="none"/>
                      <w:lang w:val="en-US" w:eastAsia="zh-CN"/>
                    </w:rPr>
                  </w:pPr>
                </w:p>
              </w:tc>
              <w:tc>
                <w:tcPr>
                  <w:tcW w:w="858" w:type="pct"/>
                  <w:tcBorders>
                    <w:tl2br w:val="nil"/>
                    <w:tr2bl w:val="nil"/>
                  </w:tcBorders>
                  <w:noWrap w:val="0"/>
                  <w:vAlign w:val="center"/>
                </w:tcPr>
                <w:p w14:paraId="534E8898">
                  <w:pPr>
                    <w:pStyle w:val="108"/>
                    <w:adjustRightInd w:val="0"/>
                    <w:snapToGrid w:val="0"/>
                    <w:jc w:val="center"/>
                    <w:rPr>
                      <w:rFonts w:cs="Times New Roman"/>
                      <w:bCs/>
                      <w:color w:val="auto"/>
                      <w:szCs w:val="21"/>
                      <w:highlight w:val="none"/>
                      <w:lang w:val="en-US" w:eastAsia="zh-CN"/>
                    </w:rPr>
                  </w:pPr>
                  <w:r>
                    <w:rPr>
                      <w:rFonts w:cs="Times New Roman"/>
                      <w:bCs/>
                      <w:color w:val="auto"/>
                      <w:szCs w:val="21"/>
                      <w:highlight w:val="none"/>
                      <w:lang w:val="en-US" w:eastAsia="zh-CN"/>
                    </w:rPr>
                    <w:t>最高允许排放浓度（mg/m</w:t>
                  </w:r>
                  <w:r>
                    <w:rPr>
                      <w:rFonts w:cs="Times New Roman"/>
                      <w:bCs/>
                      <w:color w:val="auto"/>
                      <w:szCs w:val="21"/>
                      <w:highlight w:val="none"/>
                      <w:vertAlign w:val="superscript"/>
                      <w:lang w:val="en-US" w:eastAsia="zh-CN"/>
                    </w:rPr>
                    <w:t>3</w:t>
                  </w:r>
                  <w:r>
                    <w:rPr>
                      <w:rFonts w:cs="Times New Roman"/>
                      <w:bCs/>
                      <w:color w:val="auto"/>
                      <w:szCs w:val="21"/>
                      <w:highlight w:val="none"/>
                      <w:lang w:val="en-US" w:eastAsia="zh-CN"/>
                    </w:rPr>
                    <w:t>）</w:t>
                  </w:r>
                </w:p>
              </w:tc>
              <w:tc>
                <w:tcPr>
                  <w:tcW w:w="670" w:type="pct"/>
                  <w:tcBorders>
                    <w:tl2br w:val="nil"/>
                    <w:tr2bl w:val="nil"/>
                  </w:tcBorders>
                  <w:noWrap w:val="0"/>
                  <w:vAlign w:val="center"/>
                </w:tcPr>
                <w:p w14:paraId="25232851">
                  <w:pPr>
                    <w:pStyle w:val="108"/>
                    <w:adjustRightInd w:val="0"/>
                    <w:snapToGrid w:val="0"/>
                    <w:jc w:val="center"/>
                    <w:rPr>
                      <w:rFonts w:hint="default" w:cs="Times New Roman"/>
                      <w:bCs/>
                      <w:color w:val="auto"/>
                      <w:szCs w:val="21"/>
                      <w:highlight w:val="none"/>
                      <w:lang w:val="en-US" w:eastAsia="zh-CN"/>
                    </w:rPr>
                  </w:pPr>
                  <w:r>
                    <w:rPr>
                      <w:rFonts w:hint="eastAsia" w:cs="Times New Roman"/>
                      <w:bCs/>
                      <w:color w:val="auto"/>
                      <w:szCs w:val="21"/>
                      <w:highlight w:val="none"/>
                      <w:lang w:val="en-US" w:eastAsia="zh-CN"/>
                    </w:rPr>
                    <w:t>最高允许排放速率（kg/h）</w:t>
                  </w:r>
                </w:p>
              </w:tc>
              <w:tc>
                <w:tcPr>
                  <w:tcW w:w="404" w:type="pct"/>
                  <w:tcBorders>
                    <w:tl2br w:val="nil"/>
                    <w:tr2bl w:val="nil"/>
                  </w:tcBorders>
                  <w:noWrap w:val="0"/>
                  <w:vAlign w:val="center"/>
                </w:tcPr>
                <w:p w14:paraId="340DE1D7">
                  <w:pPr>
                    <w:pStyle w:val="108"/>
                    <w:adjustRightInd w:val="0"/>
                    <w:snapToGrid w:val="0"/>
                    <w:jc w:val="center"/>
                    <w:rPr>
                      <w:rFonts w:cs="Times New Roman"/>
                      <w:bCs/>
                      <w:color w:val="auto"/>
                      <w:szCs w:val="21"/>
                      <w:highlight w:val="none"/>
                      <w:lang w:val="en-US" w:eastAsia="zh-CN"/>
                    </w:rPr>
                  </w:pPr>
                  <w:r>
                    <w:rPr>
                      <w:rFonts w:cs="Times New Roman"/>
                      <w:bCs/>
                      <w:color w:val="auto"/>
                      <w:szCs w:val="21"/>
                      <w:highlight w:val="none"/>
                      <w:lang w:val="en-US" w:eastAsia="zh-CN"/>
                    </w:rPr>
                    <w:t>监控点</w:t>
                  </w:r>
                </w:p>
              </w:tc>
              <w:tc>
                <w:tcPr>
                  <w:tcW w:w="887" w:type="pct"/>
                  <w:tcBorders>
                    <w:tl2br w:val="nil"/>
                    <w:tr2bl w:val="nil"/>
                  </w:tcBorders>
                  <w:noWrap w:val="0"/>
                  <w:vAlign w:val="center"/>
                </w:tcPr>
                <w:p w14:paraId="120B9AC1">
                  <w:pPr>
                    <w:pStyle w:val="108"/>
                    <w:adjustRightInd w:val="0"/>
                    <w:snapToGrid w:val="0"/>
                    <w:jc w:val="center"/>
                    <w:rPr>
                      <w:rFonts w:cs="Times New Roman"/>
                      <w:bCs/>
                      <w:color w:val="auto"/>
                      <w:szCs w:val="21"/>
                      <w:highlight w:val="none"/>
                      <w:lang w:val="en-US" w:eastAsia="zh-CN"/>
                    </w:rPr>
                  </w:pPr>
                  <w:r>
                    <w:rPr>
                      <w:rFonts w:cs="Times New Roman"/>
                      <w:bCs/>
                      <w:color w:val="auto"/>
                      <w:szCs w:val="21"/>
                      <w:highlight w:val="none"/>
                      <w:lang w:val="en-US" w:eastAsia="zh-CN"/>
                    </w:rPr>
                    <w:t>最高允许排放浓度（mg/m</w:t>
                  </w:r>
                  <w:r>
                    <w:rPr>
                      <w:rFonts w:cs="Times New Roman"/>
                      <w:bCs/>
                      <w:color w:val="auto"/>
                      <w:szCs w:val="21"/>
                      <w:highlight w:val="none"/>
                      <w:vertAlign w:val="superscript"/>
                      <w:lang w:val="en-US" w:eastAsia="zh-CN"/>
                    </w:rPr>
                    <w:t>3</w:t>
                  </w:r>
                  <w:r>
                    <w:rPr>
                      <w:rFonts w:cs="Times New Roman"/>
                      <w:bCs/>
                      <w:color w:val="auto"/>
                      <w:szCs w:val="21"/>
                      <w:highlight w:val="none"/>
                      <w:lang w:val="en-US" w:eastAsia="zh-CN"/>
                    </w:rPr>
                    <w:t>）</w:t>
                  </w:r>
                </w:p>
              </w:tc>
              <w:tc>
                <w:tcPr>
                  <w:tcW w:w="1683" w:type="pct"/>
                  <w:vMerge w:val="continue"/>
                  <w:tcBorders>
                    <w:tl2br w:val="nil"/>
                    <w:tr2bl w:val="nil"/>
                  </w:tcBorders>
                  <w:noWrap w:val="0"/>
                  <w:vAlign w:val="center"/>
                </w:tcPr>
                <w:p w14:paraId="4B3F9520">
                  <w:pPr>
                    <w:pStyle w:val="108"/>
                    <w:adjustRightInd w:val="0"/>
                    <w:snapToGrid w:val="0"/>
                    <w:jc w:val="center"/>
                    <w:rPr>
                      <w:rFonts w:cs="Times New Roman"/>
                      <w:bCs/>
                      <w:color w:val="auto"/>
                      <w:szCs w:val="21"/>
                      <w:highlight w:val="none"/>
                      <w:lang w:val="en-US" w:eastAsia="zh-CN"/>
                    </w:rPr>
                  </w:pPr>
                </w:p>
              </w:tc>
            </w:tr>
            <w:tr w14:paraId="711218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494" w:type="pct"/>
                  <w:vMerge w:val="restart"/>
                  <w:tcBorders>
                    <w:tl2br w:val="nil"/>
                    <w:tr2bl w:val="nil"/>
                  </w:tcBorders>
                  <w:noWrap w:val="0"/>
                  <w:vAlign w:val="center"/>
                </w:tcPr>
                <w:p w14:paraId="2BB5F81A">
                  <w:pPr>
                    <w:pStyle w:val="108"/>
                    <w:adjustRightInd w:val="0"/>
                    <w:snapToGrid w:val="0"/>
                    <w:jc w:val="center"/>
                    <w:rPr>
                      <w:rFonts w:cs="Times New Roman"/>
                      <w:b w:val="0"/>
                      <w:color w:val="auto"/>
                      <w:szCs w:val="21"/>
                      <w:highlight w:val="none"/>
                      <w:lang w:val="en-US" w:eastAsia="zh-CN"/>
                    </w:rPr>
                  </w:pPr>
                  <w:r>
                    <w:rPr>
                      <w:rFonts w:cs="Times New Roman"/>
                      <w:b w:val="0"/>
                      <w:color w:val="auto"/>
                      <w:szCs w:val="21"/>
                      <w:highlight w:val="none"/>
                      <w:lang w:val="en-US" w:eastAsia="zh-CN"/>
                    </w:rPr>
                    <w:t>非甲烷总烃</w:t>
                  </w:r>
                </w:p>
              </w:tc>
              <w:tc>
                <w:tcPr>
                  <w:tcW w:w="858" w:type="pct"/>
                  <w:vMerge w:val="restart"/>
                  <w:tcBorders>
                    <w:tl2br w:val="nil"/>
                    <w:tr2bl w:val="nil"/>
                  </w:tcBorders>
                  <w:noWrap w:val="0"/>
                  <w:vAlign w:val="center"/>
                </w:tcPr>
                <w:p w14:paraId="06392575">
                  <w:pPr>
                    <w:pStyle w:val="108"/>
                    <w:adjustRightInd w:val="0"/>
                    <w:snapToGrid w:val="0"/>
                    <w:jc w:val="center"/>
                    <w:rPr>
                      <w:rFonts w:cs="Times New Roman"/>
                      <w:b w:val="0"/>
                      <w:color w:val="auto"/>
                      <w:szCs w:val="21"/>
                      <w:highlight w:val="none"/>
                      <w:lang w:val="en-US" w:eastAsia="zh-CN"/>
                    </w:rPr>
                  </w:pPr>
                  <w:r>
                    <w:rPr>
                      <w:rFonts w:hint="eastAsia" w:cs="Times New Roman"/>
                      <w:b w:val="0"/>
                      <w:color w:val="auto"/>
                      <w:szCs w:val="21"/>
                      <w:highlight w:val="none"/>
                      <w:lang w:val="en-US" w:eastAsia="zh-CN"/>
                    </w:rPr>
                    <w:t>60</w:t>
                  </w:r>
                </w:p>
              </w:tc>
              <w:tc>
                <w:tcPr>
                  <w:tcW w:w="670" w:type="pct"/>
                  <w:vMerge w:val="restart"/>
                  <w:tcBorders>
                    <w:tl2br w:val="nil"/>
                    <w:tr2bl w:val="nil"/>
                  </w:tcBorders>
                  <w:noWrap w:val="0"/>
                  <w:vAlign w:val="center"/>
                </w:tcPr>
                <w:p w14:paraId="70879041">
                  <w:pPr>
                    <w:pStyle w:val="108"/>
                    <w:adjustRightInd w:val="0"/>
                    <w:snapToGrid w:val="0"/>
                    <w:jc w:val="center"/>
                    <w:rPr>
                      <w:rFonts w:hint="default" w:cs="Times New Roman"/>
                      <w:b w:val="0"/>
                      <w:color w:val="auto"/>
                      <w:szCs w:val="21"/>
                      <w:highlight w:val="none"/>
                      <w:lang w:val="en-US" w:eastAsia="zh-CN"/>
                    </w:rPr>
                  </w:pPr>
                  <w:r>
                    <w:rPr>
                      <w:rFonts w:hint="eastAsia" w:cs="Times New Roman"/>
                      <w:b w:val="0"/>
                      <w:color w:val="auto"/>
                      <w:szCs w:val="21"/>
                      <w:highlight w:val="none"/>
                      <w:lang w:val="en-US" w:eastAsia="zh-CN"/>
                    </w:rPr>
                    <w:t>/</w:t>
                  </w:r>
                </w:p>
              </w:tc>
              <w:tc>
                <w:tcPr>
                  <w:tcW w:w="404" w:type="pct"/>
                  <w:vMerge w:val="restart"/>
                  <w:tcBorders>
                    <w:tl2br w:val="nil"/>
                    <w:tr2bl w:val="nil"/>
                  </w:tcBorders>
                  <w:noWrap w:val="0"/>
                  <w:vAlign w:val="center"/>
                </w:tcPr>
                <w:p w14:paraId="683F1C00">
                  <w:pPr>
                    <w:pStyle w:val="108"/>
                    <w:adjustRightInd w:val="0"/>
                    <w:snapToGrid w:val="0"/>
                    <w:jc w:val="center"/>
                    <w:rPr>
                      <w:rFonts w:cs="Times New Roman"/>
                      <w:b w:val="0"/>
                      <w:color w:val="auto"/>
                      <w:szCs w:val="21"/>
                      <w:highlight w:val="none"/>
                      <w:lang w:val="en-US" w:eastAsia="zh-CN"/>
                    </w:rPr>
                  </w:pPr>
                  <w:r>
                    <w:rPr>
                      <w:rFonts w:hint="eastAsia" w:cs="Times New Roman"/>
                      <w:b w:val="0"/>
                      <w:color w:val="auto"/>
                      <w:szCs w:val="21"/>
                      <w:highlight w:val="none"/>
                      <w:lang w:val="en-US" w:eastAsia="zh-CN"/>
                    </w:rPr>
                    <w:t>企业厂区内</w:t>
                  </w:r>
                </w:p>
              </w:tc>
              <w:tc>
                <w:tcPr>
                  <w:tcW w:w="887" w:type="pct"/>
                  <w:tcBorders>
                    <w:tl2br w:val="nil"/>
                    <w:tr2bl w:val="nil"/>
                  </w:tcBorders>
                  <w:noWrap w:val="0"/>
                  <w:vAlign w:val="center"/>
                </w:tcPr>
                <w:p w14:paraId="411EFBDC">
                  <w:pPr>
                    <w:pStyle w:val="108"/>
                    <w:adjustRightInd w:val="0"/>
                    <w:snapToGrid w:val="0"/>
                    <w:jc w:val="center"/>
                    <w:rPr>
                      <w:rFonts w:hint="eastAsia" w:cs="Times New Roman"/>
                      <w:b w:val="0"/>
                      <w:color w:val="auto"/>
                      <w:szCs w:val="21"/>
                      <w:highlight w:val="none"/>
                      <w:lang w:val="en-US" w:eastAsia="zh-CN"/>
                    </w:rPr>
                  </w:pPr>
                  <w:r>
                    <w:rPr>
                      <w:rFonts w:hint="eastAsia" w:cs="Times New Roman"/>
                      <w:b w:val="0"/>
                      <w:color w:val="auto"/>
                      <w:szCs w:val="21"/>
                      <w:highlight w:val="none"/>
                      <w:lang w:val="en-US" w:eastAsia="zh-CN"/>
                    </w:rPr>
                    <w:t>3（监控点处1h平均浓度值）</w:t>
                  </w:r>
                </w:p>
              </w:tc>
              <w:tc>
                <w:tcPr>
                  <w:tcW w:w="1683" w:type="pct"/>
                  <w:vMerge w:val="restart"/>
                  <w:tcBorders>
                    <w:tl2br w:val="nil"/>
                    <w:tr2bl w:val="nil"/>
                  </w:tcBorders>
                  <w:noWrap w:val="0"/>
                  <w:vAlign w:val="center"/>
                </w:tcPr>
                <w:p w14:paraId="78A25F9A">
                  <w:pPr>
                    <w:pStyle w:val="108"/>
                    <w:adjustRightInd w:val="0"/>
                    <w:snapToGrid w:val="0"/>
                    <w:jc w:val="center"/>
                    <w:rPr>
                      <w:rFonts w:hint="eastAsia" w:cs="Times New Roman"/>
                      <w:b w:val="0"/>
                      <w:color w:val="auto"/>
                      <w:szCs w:val="21"/>
                      <w:highlight w:val="none"/>
                      <w:lang w:val="en-US" w:eastAsia="zh-CN"/>
                    </w:rPr>
                  </w:pPr>
                  <w:r>
                    <w:rPr>
                      <w:rFonts w:hint="eastAsia" w:ascii="Times New Roman" w:hAnsi="Times New Roman" w:eastAsia="宋体" w:cs="Times New Roman"/>
                      <w:b w:val="0"/>
                      <w:color w:val="auto"/>
                      <w:szCs w:val="21"/>
                      <w:highlight w:val="none"/>
                      <w:lang w:val="en-US" w:eastAsia="zh-CN"/>
                    </w:rPr>
                    <w:t>《制药工业大气污染物排放标准》（GB 37823-2019）表2大气污染物特别排放限值及</w:t>
                  </w:r>
                  <w:r>
                    <w:rPr>
                      <w:rFonts w:hint="eastAsia" w:ascii="Times New Roman" w:hAnsi="Times New Roman" w:eastAsia="宋体" w:cs="Times New Roman"/>
                      <w:b w:val="0"/>
                      <w:snapToGrid/>
                      <w:color w:val="auto"/>
                      <w:sz w:val="21"/>
                      <w:szCs w:val="21"/>
                      <w:highlight w:val="none"/>
                      <w:lang w:val="en-US" w:eastAsia="zh-CN"/>
                    </w:rPr>
                    <w:t>《挥发性有机物无组织排放控制标准》（DB61/T1061-2017）</w:t>
                  </w:r>
                  <w:r>
                    <w:rPr>
                      <w:rFonts w:hint="eastAsia" w:ascii="Times New Roman" w:hAnsi="Times New Roman" w:eastAsia="宋体" w:cs="Times New Roman"/>
                      <w:b w:val="0"/>
                      <w:color w:val="auto"/>
                      <w:sz w:val="21"/>
                      <w:szCs w:val="21"/>
                      <w:highlight w:val="none"/>
                    </w:rPr>
                    <w:t>表 1 医药制造标准及无组织排放监控浓度限值</w:t>
                  </w:r>
                </w:p>
              </w:tc>
            </w:tr>
            <w:tr w14:paraId="1F8E41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94" w:type="pct"/>
                  <w:vMerge w:val="continue"/>
                  <w:tcBorders>
                    <w:tl2br w:val="nil"/>
                    <w:tr2bl w:val="nil"/>
                  </w:tcBorders>
                  <w:noWrap w:val="0"/>
                  <w:vAlign w:val="center"/>
                </w:tcPr>
                <w:p w14:paraId="3276D6B9">
                  <w:pPr>
                    <w:pStyle w:val="108"/>
                    <w:adjustRightInd w:val="0"/>
                    <w:snapToGrid w:val="0"/>
                    <w:jc w:val="center"/>
                    <w:rPr>
                      <w:color w:val="auto"/>
                      <w:highlight w:val="none"/>
                      <w:lang w:val="en-US" w:eastAsia="zh-CN"/>
                    </w:rPr>
                  </w:pPr>
                </w:p>
              </w:tc>
              <w:tc>
                <w:tcPr>
                  <w:tcW w:w="858" w:type="pct"/>
                  <w:vMerge w:val="continue"/>
                  <w:tcBorders>
                    <w:tl2br w:val="nil"/>
                    <w:tr2bl w:val="nil"/>
                  </w:tcBorders>
                  <w:noWrap w:val="0"/>
                  <w:vAlign w:val="center"/>
                </w:tcPr>
                <w:p w14:paraId="67B33E49">
                  <w:pPr>
                    <w:pStyle w:val="108"/>
                    <w:adjustRightInd w:val="0"/>
                    <w:snapToGrid w:val="0"/>
                    <w:jc w:val="center"/>
                    <w:rPr>
                      <w:color w:val="auto"/>
                      <w:highlight w:val="none"/>
                      <w:lang w:val="en-US" w:eastAsia="zh-CN"/>
                    </w:rPr>
                  </w:pPr>
                </w:p>
              </w:tc>
              <w:tc>
                <w:tcPr>
                  <w:tcW w:w="670" w:type="pct"/>
                  <w:vMerge w:val="continue"/>
                  <w:tcBorders>
                    <w:tl2br w:val="nil"/>
                    <w:tr2bl w:val="nil"/>
                  </w:tcBorders>
                  <w:noWrap w:val="0"/>
                  <w:vAlign w:val="center"/>
                </w:tcPr>
                <w:p w14:paraId="1538D7E0">
                  <w:pPr>
                    <w:pStyle w:val="108"/>
                    <w:adjustRightInd w:val="0"/>
                    <w:snapToGrid w:val="0"/>
                    <w:jc w:val="center"/>
                    <w:rPr>
                      <w:color w:val="auto"/>
                      <w:highlight w:val="none"/>
                      <w:lang w:val="en-US" w:eastAsia="zh-CN"/>
                    </w:rPr>
                  </w:pPr>
                </w:p>
              </w:tc>
              <w:tc>
                <w:tcPr>
                  <w:tcW w:w="404" w:type="pct"/>
                  <w:vMerge w:val="continue"/>
                  <w:tcBorders>
                    <w:tl2br w:val="nil"/>
                    <w:tr2bl w:val="nil"/>
                  </w:tcBorders>
                  <w:noWrap w:val="0"/>
                  <w:vAlign w:val="center"/>
                </w:tcPr>
                <w:p w14:paraId="64ABF1A8">
                  <w:pPr>
                    <w:pStyle w:val="108"/>
                    <w:adjustRightInd w:val="0"/>
                    <w:snapToGrid w:val="0"/>
                    <w:jc w:val="center"/>
                    <w:rPr>
                      <w:rFonts w:hint="eastAsia" w:cs="Times New Roman"/>
                      <w:b w:val="0"/>
                      <w:color w:val="auto"/>
                      <w:szCs w:val="21"/>
                      <w:highlight w:val="none"/>
                      <w:lang w:val="en-US" w:eastAsia="zh-CN"/>
                    </w:rPr>
                  </w:pPr>
                </w:p>
              </w:tc>
              <w:tc>
                <w:tcPr>
                  <w:tcW w:w="887" w:type="pct"/>
                  <w:tcBorders>
                    <w:tl2br w:val="nil"/>
                    <w:tr2bl w:val="nil"/>
                  </w:tcBorders>
                  <w:noWrap w:val="0"/>
                  <w:vAlign w:val="center"/>
                </w:tcPr>
                <w:p w14:paraId="22DA635E">
                  <w:pPr>
                    <w:pStyle w:val="108"/>
                    <w:adjustRightInd w:val="0"/>
                    <w:snapToGrid w:val="0"/>
                    <w:jc w:val="center"/>
                    <w:rPr>
                      <w:rFonts w:cs="Times New Roman"/>
                      <w:b w:val="0"/>
                      <w:color w:val="auto"/>
                      <w:szCs w:val="21"/>
                      <w:highlight w:val="none"/>
                      <w:lang w:val="en-US" w:eastAsia="zh-CN"/>
                    </w:rPr>
                  </w:pPr>
                  <w:r>
                    <w:rPr>
                      <w:rFonts w:hint="eastAsia" w:cs="Times New Roman"/>
                      <w:b w:val="0"/>
                      <w:color w:val="auto"/>
                      <w:szCs w:val="21"/>
                      <w:highlight w:val="none"/>
                      <w:lang w:val="en-US" w:eastAsia="zh-CN"/>
                    </w:rPr>
                    <w:t>10（监控点处任意一次浓度值）</w:t>
                  </w:r>
                </w:p>
              </w:tc>
              <w:tc>
                <w:tcPr>
                  <w:tcW w:w="1683" w:type="pct"/>
                  <w:vMerge w:val="continue"/>
                  <w:tcBorders>
                    <w:tl2br w:val="nil"/>
                    <w:tr2bl w:val="nil"/>
                  </w:tcBorders>
                  <w:noWrap w:val="0"/>
                  <w:vAlign w:val="center"/>
                </w:tcPr>
                <w:p w14:paraId="0C84A0D2">
                  <w:pPr>
                    <w:pStyle w:val="108"/>
                    <w:adjustRightInd w:val="0"/>
                    <w:snapToGrid w:val="0"/>
                    <w:jc w:val="center"/>
                    <w:rPr>
                      <w:rFonts w:hint="eastAsia" w:cs="Times New Roman"/>
                      <w:b w:val="0"/>
                      <w:color w:val="auto"/>
                      <w:szCs w:val="21"/>
                      <w:highlight w:val="none"/>
                      <w:lang w:val="en-US" w:eastAsia="zh-CN"/>
                    </w:rPr>
                  </w:pPr>
                </w:p>
              </w:tc>
            </w:tr>
            <w:tr w14:paraId="718929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94" w:type="pct"/>
                  <w:tcBorders>
                    <w:tl2br w:val="nil"/>
                    <w:tr2bl w:val="nil"/>
                  </w:tcBorders>
                  <w:noWrap w:val="0"/>
                  <w:vAlign w:val="center"/>
                </w:tcPr>
                <w:p w14:paraId="563640AD">
                  <w:pPr>
                    <w:pStyle w:val="109"/>
                    <w:adjustRightInd w:val="0"/>
                    <w:snapToGrid w:val="0"/>
                    <w:jc w:val="center"/>
                    <w:rPr>
                      <w:rFonts w:hint="eastAsia"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rPr>
                    <w:t>HCl</w:t>
                  </w:r>
                </w:p>
              </w:tc>
              <w:tc>
                <w:tcPr>
                  <w:tcW w:w="858" w:type="pct"/>
                  <w:tcBorders>
                    <w:tl2br w:val="nil"/>
                    <w:tr2bl w:val="nil"/>
                  </w:tcBorders>
                  <w:noWrap w:val="0"/>
                  <w:vAlign w:val="center"/>
                </w:tcPr>
                <w:p w14:paraId="5C5EE463">
                  <w:pPr>
                    <w:pStyle w:val="108"/>
                    <w:adjustRightInd w:val="0"/>
                    <w:snapToGrid w:val="0"/>
                    <w:jc w:val="center"/>
                    <w:rPr>
                      <w:rFonts w:cs="Times New Roman"/>
                      <w:b w:val="0"/>
                      <w:color w:val="auto"/>
                      <w:szCs w:val="21"/>
                      <w:highlight w:val="none"/>
                      <w:lang w:val="en-US" w:eastAsia="zh-CN"/>
                    </w:rPr>
                  </w:pPr>
                  <w:r>
                    <w:rPr>
                      <w:rFonts w:hint="eastAsia" w:cs="Times New Roman"/>
                      <w:b w:val="0"/>
                      <w:color w:val="auto"/>
                      <w:szCs w:val="21"/>
                      <w:highlight w:val="none"/>
                      <w:lang w:val="en-US" w:eastAsia="zh-CN"/>
                    </w:rPr>
                    <w:t>30</w:t>
                  </w:r>
                </w:p>
              </w:tc>
              <w:tc>
                <w:tcPr>
                  <w:tcW w:w="670" w:type="pct"/>
                  <w:tcBorders>
                    <w:tl2br w:val="nil"/>
                    <w:tr2bl w:val="nil"/>
                  </w:tcBorders>
                  <w:noWrap w:val="0"/>
                  <w:vAlign w:val="center"/>
                </w:tcPr>
                <w:p w14:paraId="4FFE8ECE">
                  <w:pPr>
                    <w:pStyle w:val="108"/>
                    <w:adjustRightInd w:val="0"/>
                    <w:snapToGrid w:val="0"/>
                    <w:jc w:val="center"/>
                    <w:rPr>
                      <w:rFonts w:hint="default" w:cs="Times New Roman"/>
                      <w:b w:val="0"/>
                      <w:color w:val="auto"/>
                      <w:szCs w:val="21"/>
                      <w:highlight w:val="none"/>
                      <w:lang w:val="en-US" w:eastAsia="zh-CN"/>
                    </w:rPr>
                  </w:pPr>
                  <w:r>
                    <w:rPr>
                      <w:rFonts w:hint="eastAsia" w:cs="Times New Roman"/>
                      <w:b w:val="0"/>
                      <w:color w:val="auto"/>
                      <w:szCs w:val="21"/>
                      <w:highlight w:val="none"/>
                      <w:lang w:val="en-US" w:eastAsia="zh-CN"/>
                    </w:rPr>
                    <w:t>/</w:t>
                  </w:r>
                </w:p>
              </w:tc>
              <w:tc>
                <w:tcPr>
                  <w:tcW w:w="404" w:type="pct"/>
                  <w:tcBorders>
                    <w:tl2br w:val="nil"/>
                    <w:tr2bl w:val="nil"/>
                  </w:tcBorders>
                  <w:noWrap w:val="0"/>
                  <w:vAlign w:val="center"/>
                </w:tcPr>
                <w:p w14:paraId="74BA805E">
                  <w:pPr>
                    <w:adjustRightInd w:val="0"/>
                    <w:snapToGrid w:val="0"/>
                    <w:jc w:val="center"/>
                    <w:rPr>
                      <w:color w:val="auto"/>
                      <w:szCs w:val="21"/>
                      <w:highlight w:val="none"/>
                    </w:rPr>
                  </w:pPr>
                  <w:r>
                    <w:rPr>
                      <w:color w:val="auto"/>
                      <w:szCs w:val="21"/>
                      <w:highlight w:val="none"/>
                    </w:rPr>
                    <w:t>周界外浓度最高点</w:t>
                  </w:r>
                </w:p>
              </w:tc>
              <w:tc>
                <w:tcPr>
                  <w:tcW w:w="887" w:type="pct"/>
                  <w:tcBorders>
                    <w:tl2br w:val="nil"/>
                    <w:tr2bl w:val="nil"/>
                  </w:tcBorders>
                  <w:noWrap w:val="0"/>
                  <w:vAlign w:val="center"/>
                </w:tcPr>
                <w:p w14:paraId="28C09CD0">
                  <w:pPr>
                    <w:adjustRightInd w:val="0"/>
                    <w:snapToGrid w:val="0"/>
                    <w:jc w:val="center"/>
                    <w:rPr>
                      <w:color w:val="auto"/>
                      <w:szCs w:val="21"/>
                      <w:highlight w:val="none"/>
                    </w:rPr>
                  </w:pPr>
                  <w:r>
                    <w:rPr>
                      <w:rFonts w:hint="eastAsia"/>
                      <w:color w:val="auto"/>
                      <w:szCs w:val="21"/>
                      <w:highlight w:val="none"/>
                    </w:rPr>
                    <w:t>0.2</w:t>
                  </w:r>
                </w:p>
              </w:tc>
              <w:tc>
                <w:tcPr>
                  <w:tcW w:w="1683" w:type="pct"/>
                  <w:tcBorders>
                    <w:tl2br w:val="nil"/>
                    <w:tr2bl w:val="nil"/>
                  </w:tcBorders>
                  <w:noWrap w:val="0"/>
                  <w:vAlign w:val="center"/>
                </w:tcPr>
                <w:p w14:paraId="40C3D602">
                  <w:pPr>
                    <w:adjustRightInd w:val="0"/>
                    <w:snapToGrid w:val="0"/>
                    <w:jc w:val="center"/>
                    <w:rPr>
                      <w:rFonts w:hint="eastAsia"/>
                      <w:color w:val="auto"/>
                      <w:szCs w:val="21"/>
                      <w:highlight w:val="none"/>
                    </w:rPr>
                  </w:pPr>
                  <w:r>
                    <w:rPr>
                      <w:rFonts w:hint="eastAsia"/>
                      <w:color w:val="auto"/>
                      <w:szCs w:val="21"/>
                      <w:highlight w:val="none"/>
                    </w:rPr>
                    <w:t>《制药工业大气污染物排放标准》（GB 37823-2019）</w:t>
                  </w:r>
                  <w:r>
                    <w:rPr>
                      <w:rFonts w:hint="eastAsia" w:cs="Times New Roman"/>
                      <w:b w:val="0"/>
                      <w:color w:val="auto"/>
                      <w:szCs w:val="21"/>
                      <w:highlight w:val="none"/>
                      <w:lang w:val="en-US" w:eastAsia="zh-CN"/>
                    </w:rPr>
                    <w:t>表2大气污染物特别排放限值及</w:t>
                  </w:r>
                  <w:r>
                    <w:rPr>
                      <w:rFonts w:hint="eastAsia"/>
                      <w:color w:val="auto"/>
                      <w:szCs w:val="21"/>
                      <w:highlight w:val="none"/>
                    </w:rPr>
                    <w:t>表4企业边界大气污染物浓度限值</w:t>
                  </w:r>
                </w:p>
              </w:tc>
            </w:tr>
            <w:tr w14:paraId="6D4A47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494" w:type="pct"/>
                  <w:tcBorders>
                    <w:tl2br w:val="nil"/>
                    <w:tr2bl w:val="nil"/>
                  </w:tcBorders>
                  <w:noWrap w:val="0"/>
                  <w:vAlign w:val="center"/>
                </w:tcPr>
                <w:p w14:paraId="39F706DB">
                  <w:pPr>
                    <w:pStyle w:val="109"/>
                    <w:adjustRightInd w:val="0"/>
                    <w:snapToGrid w:val="0"/>
                    <w:jc w:val="center"/>
                    <w:rPr>
                      <w:rFonts w:hint="eastAsia"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rPr>
                    <w:t>NOx</w:t>
                  </w:r>
                </w:p>
              </w:tc>
              <w:tc>
                <w:tcPr>
                  <w:tcW w:w="858" w:type="pct"/>
                  <w:tcBorders>
                    <w:tl2br w:val="nil"/>
                    <w:tr2bl w:val="nil"/>
                  </w:tcBorders>
                  <w:noWrap w:val="0"/>
                  <w:vAlign w:val="center"/>
                </w:tcPr>
                <w:p w14:paraId="22ACDAB7">
                  <w:pPr>
                    <w:pStyle w:val="108"/>
                    <w:adjustRightInd w:val="0"/>
                    <w:snapToGrid w:val="0"/>
                    <w:jc w:val="center"/>
                    <w:rPr>
                      <w:rFonts w:hint="default" w:cs="Times New Roman"/>
                      <w:b w:val="0"/>
                      <w:color w:val="auto"/>
                      <w:szCs w:val="21"/>
                      <w:highlight w:val="none"/>
                      <w:lang w:val="en-US" w:eastAsia="zh-CN"/>
                    </w:rPr>
                  </w:pPr>
                  <w:r>
                    <w:rPr>
                      <w:rFonts w:hint="eastAsia" w:cs="Times New Roman"/>
                      <w:b w:val="0"/>
                      <w:color w:val="auto"/>
                      <w:szCs w:val="21"/>
                      <w:highlight w:val="none"/>
                      <w:lang w:val="en-US" w:eastAsia="zh-CN"/>
                    </w:rPr>
                    <w:t>240</w:t>
                  </w:r>
                </w:p>
              </w:tc>
              <w:tc>
                <w:tcPr>
                  <w:tcW w:w="670" w:type="pct"/>
                  <w:tcBorders>
                    <w:tl2br w:val="nil"/>
                    <w:tr2bl w:val="nil"/>
                  </w:tcBorders>
                  <w:noWrap w:val="0"/>
                  <w:vAlign w:val="center"/>
                </w:tcPr>
                <w:p w14:paraId="26A9E988">
                  <w:pPr>
                    <w:pStyle w:val="108"/>
                    <w:adjustRightInd w:val="0"/>
                    <w:snapToGrid w:val="0"/>
                    <w:jc w:val="center"/>
                    <w:rPr>
                      <w:rFonts w:hint="default" w:cs="Times New Roman"/>
                      <w:b w:val="0"/>
                      <w:color w:val="auto"/>
                      <w:szCs w:val="21"/>
                      <w:highlight w:val="none"/>
                      <w:lang w:val="en-US" w:eastAsia="zh-CN"/>
                    </w:rPr>
                  </w:pPr>
                  <w:r>
                    <w:rPr>
                      <w:rFonts w:hint="eastAsia" w:cs="Times New Roman"/>
                      <w:b w:val="0"/>
                      <w:color w:val="auto"/>
                      <w:szCs w:val="21"/>
                      <w:highlight w:val="none"/>
                      <w:lang w:val="en-US" w:eastAsia="zh-CN"/>
                    </w:rPr>
                    <w:t>1.89</w:t>
                  </w:r>
                </w:p>
              </w:tc>
              <w:tc>
                <w:tcPr>
                  <w:tcW w:w="404" w:type="pct"/>
                  <w:tcBorders>
                    <w:tl2br w:val="nil"/>
                    <w:tr2bl w:val="nil"/>
                  </w:tcBorders>
                  <w:noWrap w:val="0"/>
                  <w:vAlign w:val="center"/>
                </w:tcPr>
                <w:p w14:paraId="37873E73">
                  <w:pPr>
                    <w:adjustRightInd w:val="0"/>
                    <w:snapToGrid w:val="0"/>
                    <w:jc w:val="center"/>
                    <w:rPr>
                      <w:color w:val="auto"/>
                      <w:szCs w:val="21"/>
                      <w:highlight w:val="none"/>
                    </w:rPr>
                  </w:pPr>
                  <w:r>
                    <w:rPr>
                      <w:color w:val="auto"/>
                      <w:szCs w:val="21"/>
                      <w:highlight w:val="none"/>
                    </w:rPr>
                    <w:t>周界外浓度最高点</w:t>
                  </w:r>
                </w:p>
              </w:tc>
              <w:tc>
                <w:tcPr>
                  <w:tcW w:w="887" w:type="pct"/>
                  <w:tcBorders>
                    <w:tl2br w:val="nil"/>
                    <w:tr2bl w:val="nil"/>
                  </w:tcBorders>
                  <w:noWrap w:val="0"/>
                  <w:vAlign w:val="center"/>
                </w:tcPr>
                <w:p w14:paraId="1E6FEC3B">
                  <w:pPr>
                    <w:adjustRightInd w:val="0"/>
                    <w:snapToGrid w:val="0"/>
                    <w:jc w:val="center"/>
                    <w:rPr>
                      <w:color w:val="auto"/>
                      <w:szCs w:val="21"/>
                      <w:highlight w:val="none"/>
                    </w:rPr>
                  </w:pPr>
                  <w:r>
                    <w:rPr>
                      <w:color w:val="auto"/>
                      <w:szCs w:val="21"/>
                      <w:highlight w:val="none"/>
                    </w:rPr>
                    <w:t>0.12</w:t>
                  </w:r>
                </w:p>
              </w:tc>
              <w:tc>
                <w:tcPr>
                  <w:tcW w:w="1683" w:type="pct"/>
                  <w:tcBorders>
                    <w:tl2br w:val="nil"/>
                    <w:tr2bl w:val="nil"/>
                  </w:tcBorders>
                  <w:noWrap w:val="0"/>
                  <w:vAlign w:val="center"/>
                </w:tcPr>
                <w:p w14:paraId="72A00EC7">
                  <w:pPr>
                    <w:adjustRightInd w:val="0"/>
                    <w:snapToGrid w:val="0"/>
                    <w:jc w:val="center"/>
                    <w:rPr>
                      <w:rFonts w:hint="eastAsia"/>
                      <w:color w:val="auto"/>
                      <w:szCs w:val="21"/>
                      <w:highlight w:val="none"/>
                    </w:rPr>
                  </w:pPr>
                  <w:r>
                    <w:rPr>
                      <w:rFonts w:hint="eastAsia"/>
                      <w:color w:val="auto"/>
                      <w:szCs w:val="21"/>
                      <w:highlight w:val="none"/>
                    </w:rPr>
                    <w:t>《大气污染物综合排放标准》（GB16297-1996）</w:t>
                  </w:r>
                  <w:r>
                    <w:rPr>
                      <w:rFonts w:hint="eastAsia"/>
                      <w:color w:val="auto"/>
                      <w:szCs w:val="21"/>
                      <w:highlight w:val="none"/>
                      <w:lang w:val="en-US" w:eastAsia="zh-CN"/>
                    </w:rPr>
                    <w:t>表2有组织（注：此处最高允许排放速率按50%</w:t>
                  </w:r>
                  <w:r>
                    <w:rPr>
                      <w:rFonts w:hint="eastAsia"/>
                      <w:color w:val="auto"/>
                      <w:lang w:val="en-US" w:eastAsia="zh-CN"/>
                    </w:rPr>
                    <w:t>执行</w:t>
                  </w:r>
                  <w:r>
                    <w:rPr>
                      <w:rFonts w:hint="eastAsia"/>
                      <w:color w:val="auto"/>
                      <w:szCs w:val="21"/>
                      <w:highlight w:val="none"/>
                      <w:lang w:val="en-US" w:eastAsia="zh-CN"/>
                    </w:rPr>
                    <w:t>。）</w:t>
                  </w:r>
                  <w:r>
                    <w:rPr>
                      <w:rFonts w:hint="eastAsia"/>
                      <w:color w:val="auto"/>
                      <w:szCs w:val="21"/>
                      <w:highlight w:val="none"/>
                    </w:rPr>
                    <w:t>标准限值</w:t>
                  </w:r>
                  <w:r>
                    <w:rPr>
                      <w:rFonts w:hint="eastAsia"/>
                      <w:color w:val="auto"/>
                      <w:szCs w:val="21"/>
                      <w:highlight w:val="none"/>
                      <w:lang w:val="en-US" w:eastAsia="zh-CN"/>
                    </w:rPr>
                    <w:t>及</w:t>
                  </w:r>
                  <w:r>
                    <w:rPr>
                      <w:rFonts w:hint="eastAsia"/>
                      <w:color w:val="auto"/>
                      <w:szCs w:val="21"/>
                      <w:highlight w:val="none"/>
                    </w:rPr>
                    <w:t>无组织标准限值</w:t>
                  </w:r>
                </w:p>
                <w:p w14:paraId="77F119EC">
                  <w:pPr>
                    <w:adjustRightInd w:val="0"/>
                    <w:snapToGrid w:val="0"/>
                    <w:jc w:val="center"/>
                    <w:rPr>
                      <w:rFonts w:hint="eastAsia"/>
                      <w:color w:val="auto"/>
                      <w:szCs w:val="21"/>
                      <w:highlight w:val="none"/>
                    </w:rPr>
                  </w:pPr>
                </w:p>
              </w:tc>
            </w:tr>
          </w:tbl>
          <w:p w14:paraId="1BDE8517">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color w:val="auto"/>
                <w:sz w:val="24"/>
                <w:szCs w:val="32"/>
                <w:highlight w:val="none"/>
                <w:lang w:val="en-US" w:eastAsia="zh-CN"/>
              </w:rPr>
            </w:pPr>
            <w:r>
              <w:rPr>
                <w:rFonts w:hint="eastAsia" w:cs="Times New Roman"/>
                <w:b/>
                <w:bCs/>
                <w:color w:val="auto"/>
                <w:sz w:val="24"/>
                <w:szCs w:val="32"/>
                <w:highlight w:val="none"/>
                <w:lang w:val="en-US" w:eastAsia="zh-CN"/>
              </w:rPr>
              <w:t>2.</w:t>
            </w:r>
            <w:r>
              <w:rPr>
                <w:rFonts w:hint="default" w:ascii="Times New Roman" w:hAnsi="Times New Roman" w:eastAsia="宋体" w:cs="Times New Roman"/>
                <w:b/>
                <w:bCs/>
                <w:color w:val="auto"/>
                <w:sz w:val="24"/>
                <w:szCs w:val="32"/>
                <w:highlight w:val="none"/>
                <w:lang w:val="en-US" w:eastAsia="zh-CN"/>
              </w:rPr>
              <w:t>废水</w:t>
            </w:r>
          </w:p>
          <w:p w14:paraId="4A7AED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color w:val="auto"/>
                <w:sz w:val="24"/>
                <w:szCs w:val="24"/>
                <w:highlight w:val="none"/>
                <w:lang w:val="en-US" w:eastAsia="zh-CN"/>
              </w:rPr>
              <w:t>实验器具的第五次、第六次清洗废水和台面、</w:t>
            </w:r>
            <w:r>
              <w:rPr>
                <w:color w:val="auto"/>
                <w:sz w:val="24"/>
                <w:szCs w:val="24"/>
                <w:highlight w:val="none"/>
              </w:rPr>
              <w:t>地面</w:t>
            </w:r>
            <w:r>
              <w:rPr>
                <w:rFonts w:hint="eastAsia"/>
                <w:color w:val="auto"/>
                <w:sz w:val="24"/>
                <w:szCs w:val="24"/>
                <w:highlight w:val="none"/>
                <w:lang w:val="en-US" w:eastAsia="zh-CN"/>
              </w:rPr>
              <w:t>清洗</w:t>
            </w:r>
            <w:r>
              <w:rPr>
                <w:color w:val="auto"/>
                <w:sz w:val="24"/>
                <w:szCs w:val="24"/>
                <w:highlight w:val="none"/>
              </w:rPr>
              <w:t>废水排至</w:t>
            </w:r>
            <w:r>
              <w:rPr>
                <w:rFonts w:hint="eastAsia"/>
                <w:color w:val="auto"/>
                <w:sz w:val="24"/>
                <w:szCs w:val="24"/>
                <w:highlight w:val="none"/>
                <w:lang w:val="en-US" w:eastAsia="zh-CN"/>
              </w:rPr>
              <w:t>现有</w:t>
            </w:r>
            <w:r>
              <w:rPr>
                <w:color w:val="auto"/>
                <w:sz w:val="24"/>
                <w:szCs w:val="24"/>
                <w:highlight w:val="none"/>
              </w:rPr>
              <w:t>自建的污</w:t>
            </w:r>
            <w:r>
              <w:rPr>
                <w:rFonts w:hint="eastAsia"/>
                <w:color w:val="auto"/>
                <w:sz w:val="24"/>
                <w:szCs w:val="24"/>
                <w:highlight w:val="none"/>
              </w:rPr>
              <w:t>水</w:t>
            </w:r>
            <w:r>
              <w:rPr>
                <w:rFonts w:hint="eastAsia"/>
                <w:color w:val="auto"/>
                <w:sz w:val="24"/>
                <w:szCs w:val="24"/>
                <w:highlight w:val="none"/>
                <w:lang w:eastAsia="zh-CN"/>
              </w:rPr>
              <w:t>处理设施</w:t>
            </w:r>
            <w:r>
              <w:rPr>
                <w:rFonts w:hint="eastAsia"/>
                <w:color w:val="auto"/>
                <w:sz w:val="24"/>
                <w:szCs w:val="24"/>
                <w:highlight w:val="none"/>
              </w:rPr>
              <w:t>进行预处理，与</w:t>
            </w:r>
            <w:r>
              <w:rPr>
                <w:rFonts w:hint="eastAsia"/>
                <w:color w:val="auto"/>
                <w:sz w:val="24"/>
                <w:szCs w:val="24"/>
                <w:highlight w:val="none"/>
                <w:lang w:val="en-US" w:eastAsia="zh-CN"/>
              </w:rPr>
              <w:t>现有</w:t>
            </w:r>
            <w:r>
              <w:rPr>
                <w:rFonts w:hint="eastAsia"/>
                <w:color w:val="auto"/>
                <w:sz w:val="24"/>
                <w:szCs w:val="24"/>
                <w:highlight w:val="none"/>
              </w:rPr>
              <w:t>生活污水一起排入化粪池（依托</w:t>
            </w:r>
            <w:r>
              <w:rPr>
                <w:rFonts w:hint="eastAsia"/>
                <w:color w:val="auto"/>
                <w:sz w:val="24"/>
                <w:szCs w:val="24"/>
                <w:highlight w:val="none"/>
                <w:lang w:val="en-US" w:eastAsia="zh-CN"/>
              </w:rPr>
              <w:t>伟合</w:t>
            </w:r>
            <w:r>
              <w:rPr>
                <w:rFonts w:hint="eastAsia"/>
                <w:color w:val="auto"/>
                <w:sz w:val="24"/>
                <w:szCs w:val="24"/>
                <w:highlight w:val="none"/>
              </w:rPr>
              <w:t>沣东科技产业园）内，经处理达标后排入市政污水管网，最终进入西安净水处理有限责任公司第六再生水厂进一步处理；执行《污水综合排放标准》（GB8978-1996）</w:t>
            </w:r>
            <w:r>
              <w:rPr>
                <w:rFonts w:hint="eastAsia"/>
                <w:color w:val="auto"/>
                <w:sz w:val="24"/>
                <w:szCs w:val="24"/>
                <w:highlight w:val="none"/>
                <w:lang w:val="en-US" w:eastAsia="zh-CN"/>
              </w:rPr>
              <w:t>表2</w:t>
            </w:r>
            <w:r>
              <w:rPr>
                <w:rFonts w:hint="eastAsia"/>
                <w:color w:val="auto"/>
                <w:sz w:val="24"/>
                <w:szCs w:val="24"/>
                <w:highlight w:val="none"/>
              </w:rPr>
              <w:t>三级标准，《污水排入城镇下水道水质标准》（GB/T31962-2015）中</w:t>
            </w:r>
            <w:r>
              <w:rPr>
                <w:rFonts w:hint="eastAsia"/>
                <w:color w:val="auto"/>
                <w:sz w:val="24"/>
                <w:szCs w:val="24"/>
                <w:highlight w:val="none"/>
                <w:lang w:val="en-US" w:eastAsia="zh-CN"/>
              </w:rPr>
              <w:t>A</w:t>
            </w:r>
            <w:r>
              <w:rPr>
                <w:rFonts w:hint="eastAsia"/>
                <w:color w:val="auto"/>
                <w:sz w:val="24"/>
                <w:szCs w:val="24"/>
                <w:highlight w:val="none"/>
              </w:rPr>
              <w:t>级</w:t>
            </w:r>
            <w:r>
              <w:rPr>
                <w:rFonts w:hint="eastAsia"/>
                <w:color w:val="auto"/>
                <w:sz w:val="24"/>
                <w:szCs w:val="24"/>
                <w:highlight w:val="none"/>
                <w:lang w:val="en-US" w:eastAsia="zh-CN"/>
              </w:rPr>
              <w:t>标准。</w:t>
            </w:r>
          </w:p>
          <w:p w14:paraId="14AA7EED">
            <w:pPr>
              <w:bidi w:val="0"/>
              <w:jc w:val="center"/>
              <w:rPr>
                <w:rFonts w:hint="eastAsia"/>
                <w:b/>
                <w:bCs/>
                <w:color w:val="auto"/>
                <w:sz w:val="24"/>
                <w:szCs w:val="24"/>
                <w:highlight w:val="none"/>
              </w:rPr>
            </w:pPr>
            <w:r>
              <w:rPr>
                <w:rFonts w:hint="eastAsia"/>
                <w:b/>
                <w:bCs/>
                <w:color w:val="auto"/>
                <w:sz w:val="24"/>
                <w:szCs w:val="24"/>
                <w:highlight w:val="none"/>
                <w:lang w:val="en-US" w:eastAsia="zh-CN"/>
              </w:rPr>
              <w:t>表3-4 废水排放标准一览表  单位：mg/L</w:t>
            </w:r>
          </w:p>
          <w:tbl>
            <w:tblPr>
              <w:tblStyle w:val="80"/>
              <w:tblW w:w="765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1934"/>
              <w:gridCol w:w="932"/>
              <w:gridCol w:w="946"/>
              <w:gridCol w:w="807"/>
              <w:gridCol w:w="866"/>
              <w:gridCol w:w="724"/>
              <w:gridCol w:w="725"/>
              <w:gridCol w:w="725"/>
            </w:tblGrid>
            <w:tr w14:paraId="403F4D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021" w:type="pct"/>
                  <w:tcBorders>
                    <w:tl2br w:val="nil"/>
                    <w:tr2bl w:val="nil"/>
                  </w:tcBorders>
                  <w:noWrap w:val="0"/>
                  <w:vAlign w:val="center"/>
                </w:tcPr>
                <w:p w14:paraId="22A90971">
                  <w:pPr>
                    <w:pStyle w:val="26"/>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baseline"/>
                    <w:rPr>
                      <w:rFonts w:hint="eastAsia" w:ascii="宋体" w:hAnsi="宋体" w:eastAsia="宋体" w:cs="宋体"/>
                      <w:b/>
                      <w:bCs/>
                      <w:snapToGrid w:val="0"/>
                      <w:color w:val="auto"/>
                      <w:kern w:val="0"/>
                      <w:sz w:val="21"/>
                      <w:szCs w:val="21"/>
                      <w:highlight w:val="none"/>
                    </w:rPr>
                  </w:pPr>
                  <w:r>
                    <w:rPr>
                      <w:rFonts w:hint="eastAsia" w:ascii="宋体" w:hAnsi="宋体" w:eastAsia="宋体" w:cs="宋体"/>
                      <w:b/>
                      <w:bCs/>
                      <w:snapToGrid/>
                      <w:color w:val="auto"/>
                      <w:spacing w:val="8"/>
                      <w:kern w:val="0"/>
                      <w:sz w:val="21"/>
                      <w:szCs w:val="21"/>
                      <w:highlight w:val="none"/>
                      <w:lang w:val="en-US" w:eastAsia="zh-CN" w:bidi="ar"/>
                    </w:rPr>
                    <w:t>执行标准</w:t>
                  </w:r>
                </w:p>
              </w:tc>
              <w:tc>
                <w:tcPr>
                  <w:tcW w:w="643" w:type="pct"/>
                  <w:tcBorders>
                    <w:tl2br w:val="nil"/>
                    <w:tr2bl w:val="nil"/>
                  </w:tcBorders>
                  <w:noWrap w:val="0"/>
                  <w:vAlign w:val="center"/>
                </w:tcPr>
                <w:p w14:paraId="4D4C9A14">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highlight w:val="none"/>
                    </w:rPr>
                  </w:pPr>
                  <w:r>
                    <w:rPr>
                      <w:rFonts w:hint="default" w:ascii="Times New Roman" w:hAnsi="Times New Roman" w:cs="Times New Roman"/>
                      <w:b/>
                      <w:bCs/>
                      <w:snapToGrid/>
                      <w:color w:val="auto"/>
                      <w:spacing w:val="4"/>
                      <w:kern w:val="0"/>
                      <w:sz w:val="21"/>
                      <w:szCs w:val="21"/>
                      <w:highlight w:val="none"/>
                      <w:lang w:val="en-US" w:eastAsia="zh-CN" w:bidi="ar"/>
                    </w:rPr>
                    <w:t>COD</w:t>
                  </w:r>
                </w:p>
              </w:tc>
              <w:tc>
                <w:tcPr>
                  <w:tcW w:w="652" w:type="pct"/>
                  <w:tcBorders>
                    <w:tl2br w:val="nil"/>
                    <w:tr2bl w:val="nil"/>
                  </w:tcBorders>
                  <w:noWrap w:val="0"/>
                  <w:vAlign w:val="center"/>
                </w:tcPr>
                <w:p w14:paraId="3723EDCD">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highlight w:val="none"/>
                    </w:rPr>
                  </w:pPr>
                  <w:r>
                    <w:rPr>
                      <w:rFonts w:hint="default" w:ascii="Times New Roman" w:hAnsi="Times New Roman" w:cs="Times New Roman"/>
                      <w:b/>
                      <w:bCs/>
                      <w:snapToGrid/>
                      <w:color w:val="auto"/>
                      <w:spacing w:val="5"/>
                      <w:kern w:val="0"/>
                      <w:sz w:val="21"/>
                      <w:szCs w:val="21"/>
                      <w:highlight w:val="none"/>
                      <w:lang w:val="en-US" w:eastAsia="zh-CN" w:bidi="ar"/>
                    </w:rPr>
                    <w:t>BOD</w:t>
                  </w:r>
                  <w:r>
                    <w:rPr>
                      <w:rFonts w:hint="default" w:ascii="Times New Roman" w:hAnsi="Times New Roman" w:cs="Times New Roman"/>
                      <w:b/>
                      <w:bCs/>
                      <w:snapToGrid/>
                      <w:color w:val="auto"/>
                      <w:spacing w:val="5"/>
                      <w:kern w:val="0"/>
                      <w:position w:val="-1"/>
                      <w:sz w:val="21"/>
                      <w:szCs w:val="21"/>
                      <w:highlight w:val="none"/>
                      <w:vertAlign w:val="subscript"/>
                      <w:lang w:val="en-US" w:eastAsia="zh-CN" w:bidi="ar"/>
                    </w:rPr>
                    <w:t>5</w:t>
                  </w:r>
                </w:p>
              </w:tc>
              <w:tc>
                <w:tcPr>
                  <w:tcW w:w="561" w:type="pct"/>
                  <w:tcBorders>
                    <w:tl2br w:val="nil"/>
                    <w:tr2bl w:val="nil"/>
                  </w:tcBorders>
                  <w:noWrap w:val="0"/>
                  <w:vAlign w:val="center"/>
                </w:tcPr>
                <w:p w14:paraId="3E39F49C">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highlight w:val="none"/>
                    </w:rPr>
                  </w:pPr>
                  <w:r>
                    <w:rPr>
                      <w:rFonts w:hint="default" w:ascii="Times New Roman" w:hAnsi="Times New Roman" w:cs="Times New Roman"/>
                      <w:b/>
                      <w:bCs/>
                      <w:snapToGrid/>
                      <w:color w:val="auto"/>
                      <w:spacing w:val="-1"/>
                      <w:kern w:val="0"/>
                      <w:sz w:val="21"/>
                      <w:szCs w:val="21"/>
                      <w:highlight w:val="none"/>
                      <w:lang w:val="en-US" w:eastAsia="zh-CN" w:bidi="ar"/>
                    </w:rPr>
                    <w:t>SS</w:t>
                  </w:r>
                </w:p>
              </w:tc>
              <w:tc>
                <w:tcPr>
                  <w:tcW w:w="600" w:type="pct"/>
                  <w:tcBorders>
                    <w:tl2br w:val="nil"/>
                    <w:tr2bl w:val="nil"/>
                  </w:tcBorders>
                  <w:noWrap w:val="0"/>
                  <w:vAlign w:val="center"/>
                </w:tcPr>
                <w:p w14:paraId="7D67EBAE">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val="0"/>
                      <w:color w:val="auto"/>
                      <w:kern w:val="0"/>
                      <w:sz w:val="21"/>
                      <w:szCs w:val="21"/>
                      <w:highlight w:val="none"/>
                    </w:rPr>
                  </w:pPr>
                  <w:r>
                    <w:rPr>
                      <w:rFonts w:hint="default" w:ascii="Times New Roman" w:hAnsi="Times New Roman" w:cs="Times New Roman"/>
                      <w:b/>
                      <w:bCs/>
                      <w:snapToGrid/>
                      <w:color w:val="auto"/>
                      <w:kern w:val="0"/>
                      <w:sz w:val="21"/>
                      <w:szCs w:val="21"/>
                      <w:highlight w:val="none"/>
                      <w:lang w:val="en-US" w:eastAsia="zh-CN" w:bidi="ar"/>
                    </w:rPr>
                    <w:t>NH</w:t>
                  </w:r>
                  <w:r>
                    <w:rPr>
                      <w:rFonts w:hint="default" w:ascii="Times New Roman" w:hAnsi="Times New Roman" w:cs="Times New Roman"/>
                      <w:b/>
                      <w:bCs/>
                      <w:snapToGrid/>
                      <w:color w:val="auto"/>
                      <w:spacing w:val="7"/>
                      <w:kern w:val="0"/>
                      <w:position w:val="-1"/>
                      <w:sz w:val="21"/>
                      <w:szCs w:val="21"/>
                      <w:highlight w:val="none"/>
                      <w:vertAlign w:val="subscript"/>
                      <w:lang w:val="en-US" w:eastAsia="zh-CN" w:bidi="ar"/>
                    </w:rPr>
                    <w:t>3</w:t>
                  </w:r>
                  <w:r>
                    <w:rPr>
                      <w:rFonts w:hint="default" w:ascii="Times New Roman" w:hAnsi="Times New Roman" w:cs="Times New Roman"/>
                      <w:b/>
                      <w:bCs/>
                      <w:snapToGrid/>
                      <w:color w:val="auto"/>
                      <w:spacing w:val="7"/>
                      <w:kern w:val="0"/>
                      <w:sz w:val="21"/>
                      <w:szCs w:val="21"/>
                      <w:highlight w:val="none"/>
                      <w:lang w:val="en-US" w:eastAsia="zh-CN" w:bidi="ar"/>
                    </w:rPr>
                    <w:t>-N</w:t>
                  </w:r>
                </w:p>
              </w:tc>
              <w:tc>
                <w:tcPr>
                  <w:tcW w:w="507" w:type="pct"/>
                  <w:tcBorders>
                    <w:tl2br w:val="nil"/>
                    <w:tr2bl w:val="nil"/>
                  </w:tcBorders>
                  <w:noWrap w:val="0"/>
                  <w:vAlign w:val="center"/>
                </w:tcPr>
                <w:p w14:paraId="697A5CD8">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b/>
                      <w:bCs/>
                      <w:snapToGrid/>
                      <w:color w:val="auto"/>
                      <w:spacing w:val="2"/>
                      <w:kern w:val="0"/>
                      <w:sz w:val="21"/>
                      <w:szCs w:val="21"/>
                      <w:highlight w:val="none"/>
                      <w:lang w:val="en-US" w:eastAsia="zh-CN" w:bidi="ar"/>
                    </w:rPr>
                  </w:pPr>
                  <w:r>
                    <w:rPr>
                      <w:rFonts w:hint="eastAsia" w:cs="Times New Roman"/>
                      <w:b/>
                      <w:bCs/>
                      <w:snapToGrid/>
                      <w:color w:val="auto"/>
                      <w:spacing w:val="2"/>
                      <w:kern w:val="0"/>
                      <w:sz w:val="21"/>
                      <w:szCs w:val="21"/>
                      <w:highlight w:val="none"/>
                      <w:lang w:val="en-US" w:eastAsia="zh-CN" w:bidi="ar"/>
                    </w:rPr>
                    <w:t>p</w:t>
                  </w:r>
                  <w:r>
                    <w:rPr>
                      <w:rFonts w:hint="eastAsia" w:ascii="Times New Roman" w:hAnsi="Times New Roman" w:cs="Times New Roman"/>
                      <w:b/>
                      <w:bCs/>
                      <w:snapToGrid/>
                      <w:color w:val="auto"/>
                      <w:spacing w:val="2"/>
                      <w:kern w:val="0"/>
                      <w:sz w:val="21"/>
                      <w:szCs w:val="21"/>
                      <w:highlight w:val="none"/>
                      <w:lang w:val="en-US" w:eastAsia="zh-CN" w:bidi="ar"/>
                    </w:rPr>
                    <w:t>H</w:t>
                  </w:r>
                </w:p>
              </w:tc>
              <w:tc>
                <w:tcPr>
                  <w:tcW w:w="507" w:type="pct"/>
                  <w:tcBorders>
                    <w:tl2br w:val="nil"/>
                    <w:tr2bl w:val="nil"/>
                  </w:tcBorders>
                  <w:noWrap w:val="0"/>
                  <w:vAlign w:val="center"/>
                </w:tcPr>
                <w:p w14:paraId="717067B1">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cs="Times New Roman"/>
                      <w:b/>
                      <w:bCs/>
                      <w:snapToGrid w:val="0"/>
                      <w:color w:val="auto"/>
                      <w:spacing w:val="2"/>
                      <w:kern w:val="0"/>
                      <w:sz w:val="21"/>
                      <w:szCs w:val="21"/>
                      <w:highlight w:val="none"/>
                      <w:lang w:val="en-US" w:eastAsia="zh-CN" w:bidi="ar"/>
                    </w:rPr>
                  </w:pPr>
                  <w:r>
                    <w:rPr>
                      <w:rFonts w:hint="eastAsia" w:cs="Times New Roman"/>
                      <w:b/>
                      <w:bCs/>
                      <w:snapToGrid/>
                      <w:color w:val="auto"/>
                      <w:spacing w:val="2"/>
                      <w:kern w:val="0"/>
                      <w:sz w:val="21"/>
                      <w:szCs w:val="21"/>
                      <w:highlight w:val="none"/>
                      <w:lang w:val="en-US" w:eastAsia="zh-CN" w:bidi="ar"/>
                    </w:rPr>
                    <w:t>TN</w:t>
                  </w:r>
                </w:p>
              </w:tc>
              <w:tc>
                <w:tcPr>
                  <w:tcW w:w="507" w:type="pct"/>
                  <w:tcBorders>
                    <w:tl2br w:val="nil"/>
                    <w:tr2bl w:val="nil"/>
                  </w:tcBorders>
                  <w:noWrap w:val="0"/>
                  <w:vAlign w:val="center"/>
                </w:tcPr>
                <w:p w14:paraId="04427E73">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cs="Times New Roman"/>
                      <w:b/>
                      <w:bCs/>
                      <w:snapToGrid w:val="0"/>
                      <w:color w:val="auto"/>
                      <w:spacing w:val="2"/>
                      <w:kern w:val="0"/>
                      <w:sz w:val="21"/>
                      <w:szCs w:val="21"/>
                      <w:highlight w:val="none"/>
                      <w:lang w:val="en-US" w:eastAsia="zh-CN" w:bidi="ar"/>
                    </w:rPr>
                  </w:pPr>
                  <w:r>
                    <w:rPr>
                      <w:rFonts w:hint="eastAsia" w:cs="Times New Roman"/>
                      <w:b/>
                      <w:bCs/>
                      <w:snapToGrid/>
                      <w:color w:val="auto"/>
                      <w:spacing w:val="2"/>
                      <w:kern w:val="0"/>
                      <w:sz w:val="21"/>
                      <w:szCs w:val="21"/>
                      <w:highlight w:val="none"/>
                      <w:lang w:val="en-US" w:eastAsia="zh-CN" w:bidi="ar"/>
                    </w:rPr>
                    <w:t>TP</w:t>
                  </w:r>
                </w:p>
              </w:tc>
            </w:tr>
            <w:tr w14:paraId="4EF026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79" w:hRule="atLeast"/>
                <w:jc w:val="center"/>
              </w:trPr>
              <w:tc>
                <w:tcPr>
                  <w:tcW w:w="1021" w:type="pct"/>
                  <w:tcBorders>
                    <w:tl2br w:val="nil"/>
                    <w:tr2bl w:val="nil"/>
                  </w:tcBorders>
                  <w:noWrap w:val="0"/>
                  <w:vAlign w:val="center"/>
                </w:tcPr>
                <w:p w14:paraId="1DA97613">
                  <w:pPr>
                    <w:bidi w:val="0"/>
                    <w:jc w:val="center"/>
                    <w:rPr>
                      <w:rFonts w:hint="default"/>
                      <w:snapToGrid w:val="0"/>
                      <w:color w:val="auto"/>
                      <w:highlight w:val="none"/>
                      <w:lang w:val="en-US" w:eastAsia="zh-CN"/>
                    </w:rPr>
                  </w:pPr>
                  <w:r>
                    <w:rPr>
                      <w:rFonts w:hint="eastAsia"/>
                      <w:snapToGrid w:val="0"/>
                      <w:color w:val="auto"/>
                      <w:highlight w:val="none"/>
                      <w:lang w:eastAsia="zh-CN"/>
                    </w:rPr>
                    <w:t>《</w:t>
                  </w:r>
                  <w:r>
                    <w:rPr>
                      <w:rFonts w:hint="eastAsia"/>
                      <w:snapToGrid w:val="0"/>
                      <w:color w:val="auto"/>
                      <w:highlight w:val="none"/>
                      <w:lang w:val="en-US" w:eastAsia="zh-CN"/>
                    </w:rPr>
                    <w:t>污水排入城镇下水道水质标准</w:t>
                  </w:r>
                  <w:r>
                    <w:rPr>
                      <w:rFonts w:hint="eastAsia"/>
                      <w:snapToGrid w:val="0"/>
                      <w:color w:val="auto"/>
                      <w:highlight w:val="none"/>
                      <w:lang w:eastAsia="zh-CN"/>
                    </w:rPr>
                    <w:t>》（</w:t>
                  </w:r>
                  <w:r>
                    <w:rPr>
                      <w:rFonts w:hint="default"/>
                      <w:snapToGrid w:val="0"/>
                      <w:color w:val="auto"/>
                      <w:highlight w:val="none"/>
                      <w:lang w:val="en-US" w:eastAsia="zh-CN"/>
                    </w:rPr>
                    <w:t>GB/T31962-2015</w:t>
                  </w:r>
                  <w:r>
                    <w:rPr>
                      <w:rFonts w:hint="eastAsia"/>
                      <w:snapToGrid w:val="0"/>
                      <w:color w:val="auto"/>
                      <w:highlight w:val="none"/>
                      <w:lang w:eastAsia="zh-CN"/>
                    </w:rPr>
                    <w:t>）</w:t>
                  </w:r>
                  <w:r>
                    <w:rPr>
                      <w:rFonts w:hint="eastAsia"/>
                      <w:snapToGrid w:val="0"/>
                      <w:color w:val="auto"/>
                      <w:highlight w:val="none"/>
                      <w:lang w:val="en-US" w:eastAsia="zh-CN"/>
                    </w:rPr>
                    <w:t>A级</w:t>
                  </w:r>
                </w:p>
              </w:tc>
              <w:tc>
                <w:tcPr>
                  <w:tcW w:w="643" w:type="pct"/>
                  <w:tcBorders>
                    <w:tl2br w:val="nil"/>
                    <w:tr2bl w:val="nil"/>
                  </w:tcBorders>
                  <w:noWrap w:val="0"/>
                  <w:vAlign w:val="center"/>
                </w:tcPr>
                <w:p w14:paraId="548D9DDD">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2"/>
                      <w:kern w:val="0"/>
                      <w:sz w:val="21"/>
                      <w:szCs w:val="21"/>
                      <w:highlight w:val="none"/>
                      <w:lang w:val="en-US" w:eastAsia="zh-CN" w:bidi="ar"/>
                    </w:rPr>
                    <w:t>/</w:t>
                  </w:r>
                </w:p>
              </w:tc>
              <w:tc>
                <w:tcPr>
                  <w:tcW w:w="652" w:type="pct"/>
                  <w:tcBorders>
                    <w:tl2br w:val="nil"/>
                    <w:tr2bl w:val="nil"/>
                  </w:tcBorders>
                  <w:noWrap w:val="0"/>
                  <w:vAlign w:val="center"/>
                </w:tcPr>
                <w:p w14:paraId="07EFBF23">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2"/>
                      <w:kern w:val="0"/>
                      <w:sz w:val="21"/>
                      <w:szCs w:val="21"/>
                      <w:highlight w:val="none"/>
                      <w:lang w:val="en-US" w:eastAsia="zh-CN" w:bidi="ar"/>
                    </w:rPr>
                    <w:t>/</w:t>
                  </w:r>
                </w:p>
              </w:tc>
              <w:tc>
                <w:tcPr>
                  <w:tcW w:w="561" w:type="pct"/>
                  <w:tcBorders>
                    <w:tl2br w:val="nil"/>
                    <w:tr2bl w:val="nil"/>
                  </w:tcBorders>
                  <w:noWrap w:val="0"/>
                  <w:vAlign w:val="center"/>
                </w:tcPr>
                <w:p w14:paraId="0CDA7BFB">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2"/>
                      <w:kern w:val="0"/>
                      <w:sz w:val="21"/>
                      <w:szCs w:val="21"/>
                      <w:highlight w:val="none"/>
                      <w:lang w:val="en-US" w:eastAsia="zh-CN" w:bidi="ar"/>
                    </w:rPr>
                    <w:t>/</w:t>
                  </w:r>
                </w:p>
              </w:tc>
              <w:tc>
                <w:tcPr>
                  <w:tcW w:w="600" w:type="pct"/>
                  <w:tcBorders>
                    <w:tl2br w:val="nil"/>
                    <w:tr2bl w:val="nil"/>
                  </w:tcBorders>
                  <w:noWrap w:val="0"/>
                  <w:vAlign w:val="center"/>
                </w:tcPr>
                <w:p w14:paraId="455BE1FC">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3"/>
                      <w:kern w:val="0"/>
                      <w:sz w:val="21"/>
                      <w:szCs w:val="21"/>
                      <w:highlight w:val="none"/>
                      <w:lang w:val="en-US" w:eastAsia="zh-CN" w:bidi="ar"/>
                    </w:rPr>
                    <w:t>45</w:t>
                  </w:r>
                </w:p>
              </w:tc>
              <w:tc>
                <w:tcPr>
                  <w:tcW w:w="507" w:type="pct"/>
                  <w:tcBorders>
                    <w:tl2br w:val="nil"/>
                    <w:tr2bl w:val="nil"/>
                  </w:tcBorders>
                  <w:noWrap w:val="0"/>
                  <w:vAlign w:val="center"/>
                </w:tcPr>
                <w:p w14:paraId="0673AEB2">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color w:val="auto"/>
                      <w:spacing w:val="1"/>
                      <w:kern w:val="0"/>
                      <w:sz w:val="21"/>
                      <w:szCs w:val="21"/>
                      <w:highlight w:val="none"/>
                      <w:lang w:val="en-US" w:eastAsia="zh-CN" w:bidi="ar"/>
                    </w:rPr>
                  </w:pPr>
                  <w:r>
                    <w:rPr>
                      <w:rFonts w:hint="eastAsia" w:ascii="Times New Roman" w:hAnsi="Times New Roman" w:cs="Times New Roman"/>
                      <w:snapToGrid/>
                      <w:color w:val="auto"/>
                      <w:spacing w:val="1"/>
                      <w:kern w:val="0"/>
                      <w:sz w:val="21"/>
                      <w:szCs w:val="21"/>
                      <w:highlight w:val="none"/>
                      <w:lang w:val="en-US" w:eastAsia="zh-CN" w:bidi="ar"/>
                    </w:rPr>
                    <w:t>/</w:t>
                  </w:r>
                </w:p>
              </w:tc>
              <w:tc>
                <w:tcPr>
                  <w:tcW w:w="507" w:type="pct"/>
                  <w:tcBorders>
                    <w:tl2br w:val="nil"/>
                    <w:tr2bl w:val="nil"/>
                  </w:tcBorders>
                  <w:noWrap w:val="0"/>
                  <w:vAlign w:val="center"/>
                </w:tcPr>
                <w:p w14:paraId="08471406">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spacing w:val="1"/>
                      <w:kern w:val="0"/>
                      <w:sz w:val="21"/>
                      <w:szCs w:val="21"/>
                      <w:highlight w:val="none"/>
                      <w:lang w:val="en-US" w:eastAsia="zh-CN" w:bidi="ar"/>
                    </w:rPr>
                  </w:pPr>
                  <w:r>
                    <w:rPr>
                      <w:rFonts w:hint="eastAsia" w:cs="Times New Roman"/>
                      <w:snapToGrid/>
                      <w:color w:val="auto"/>
                      <w:spacing w:val="1"/>
                      <w:kern w:val="0"/>
                      <w:sz w:val="21"/>
                      <w:szCs w:val="21"/>
                      <w:highlight w:val="none"/>
                      <w:lang w:val="en-US" w:eastAsia="zh-CN" w:bidi="ar"/>
                    </w:rPr>
                    <w:t>8</w:t>
                  </w:r>
                </w:p>
              </w:tc>
              <w:tc>
                <w:tcPr>
                  <w:tcW w:w="507" w:type="pct"/>
                  <w:tcBorders>
                    <w:tl2br w:val="nil"/>
                    <w:tr2bl w:val="nil"/>
                  </w:tcBorders>
                  <w:noWrap w:val="0"/>
                  <w:vAlign w:val="center"/>
                </w:tcPr>
                <w:p w14:paraId="314E6A0A">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spacing w:val="1"/>
                      <w:kern w:val="0"/>
                      <w:sz w:val="21"/>
                      <w:szCs w:val="21"/>
                      <w:highlight w:val="none"/>
                      <w:lang w:val="en-US" w:eastAsia="zh-CN" w:bidi="ar"/>
                    </w:rPr>
                  </w:pPr>
                  <w:r>
                    <w:rPr>
                      <w:rFonts w:hint="eastAsia" w:cs="Times New Roman"/>
                      <w:snapToGrid/>
                      <w:color w:val="auto"/>
                      <w:spacing w:val="1"/>
                      <w:kern w:val="0"/>
                      <w:sz w:val="21"/>
                      <w:szCs w:val="21"/>
                      <w:highlight w:val="none"/>
                      <w:lang w:val="en-US" w:eastAsia="zh-CN" w:bidi="ar"/>
                    </w:rPr>
                    <w:t>70</w:t>
                  </w:r>
                </w:p>
              </w:tc>
            </w:tr>
            <w:tr w14:paraId="724853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06" w:hRule="atLeast"/>
                <w:jc w:val="center"/>
              </w:trPr>
              <w:tc>
                <w:tcPr>
                  <w:tcW w:w="1021" w:type="pct"/>
                  <w:tcBorders>
                    <w:tl2br w:val="nil"/>
                    <w:tr2bl w:val="nil"/>
                  </w:tcBorders>
                  <w:noWrap w:val="0"/>
                  <w:vAlign w:val="center"/>
                </w:tcPr>
                <w:p w14:paraId="5D459E95">
                  <w:pPr>
                    <w:bidi w:val="0"/>
                    <w:jc w:val="center"/>
                    <w:rPr>
                      <w:rFonts w:hint="default"/>
                      <w:snapToGrid w:val="0"/>
                      <w:color w:val="auto"/>
                      <w:highlight w:val="none"/>
                      <w:lang w:val="en-US" w:eastAsia="zh-CN"/>
                    </w:rPr>
                  </w:pPr>
                  <w:r>
                    <w:rPr>
                      <w:rFonts w:hint="eastAsia"/>
                      <w:snapToGrid w:val="0"/>
                      <w:color w:val="auto"/>
                      <w:highlight w:val="none"/>
                      <w:lang w:eastAsia="zh-CN"/>
                    </w:rPr>
                    <w:t>《</w:t>
                  </w:r>
                  <w:r>
                    <w:rPr>
                      <w:rFonts w:hint="eastAsia"/>
                      <w:snapToGrid w:val="0"/>
                      <w:color w:val="auto"/>
                      <w:highlight w:val="none"/>
                      <w:lang w:val="en-US" w:eastAsia="zh-CN"/>
                    </w:rPr>
                    <w:t>污水综合排放标准</w:t>
                  </w:r>
                  <w:r>
                    <w:rPr>
                      <w:rFonts w:hint="eastAsia"/>
                      <w:snapToGrid w:val="0"/>
                      <w:color w:val="auto"/>
                      <w:highlight w:val="none"/>
                      <w:lang w:eastAsia="zh-CN"/>
                    </w:rPr>
                    <w:t>》）</w:t>
                  </w:r>
                  <w:r>
                    <w:rPr>
                      <w:rFonts w:hint="default"/>
                      <w:snapToGrid w:val="0"/>
                      <w:color w:val="auto"/>
                      <w:highlight w:val="none"/>
                      <w:lang w:val="en-US" w:eastAsia="zh-CN"/>
                    </w:rPr>
                    <w:t>GB8978-1996</w:t>
                  </w:r>
                  <w:r>
                    <w:rPr>
                      <w:rFonts w:hint="eastAsia"/>
                      <w:snapToGrid w:val="0"/>
                      <w:color w:val="auto"/>
                      <w:highlight w:val="none"/>
                      <w:lang w:val="en-US" w:eastAsia="zh-CN"/>
                    </w:rPr>
                    <w:t>）三级标准</w:t>
                  </w:r>
                </w:p>
              </w:tc>
              <w:tc>
                <w:tcPr>
                  <w:tcW w:w="643" w:type="pct"/>
                  <w:tcBorders>
                    <w:tl2br w:val="nil"/>
                    <w:tr2bl w:val="nil"/>
                  </w:tcBorders>
                  <w:noWrap w:val="0"/>
                  <w:vAlign w:val="center"/>
                </w:tcPr>
                <w:p w14:paraId="41D46F84">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1"/>
                      <w:kern w:val="0"/>
                      <w:sz w:val="21"/>
                      <w:szCs w:val="21"/>
                      <w:highlight w:val="none"/>
                      <w:lang w:val="en-US" w:eastAsia="zh-CN" w:bidi="ar"/>
                    </w:rPr>
                    <w:t>500</w:t>
                  </w:r>
                </w:p>
              </w:tc>
              <w:tc>
                <w:tcPr>
                  <w:tcW w:w="652" w:type="pct"/>
                  <w:tcBorders>
                    <w:tl2br w:val="nil"/>
                    <w:tr2bl w:val="nil"/>
                  </w:tcBorders>
                  <w:noWrap w:val="0"/>
                  <w:vAlign w:val="center"/>
                </w:tcPr>
                <w:p w14:paraId="0F64F5DD">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lang w:val="en-US"/>
                    </w:rPr>
                  </w:pPr>
                  <w:r>
                    <w:rPr>
                      <w:rFonts w:hint="eastAsia" w:cs="Times New Roman"/>
                      <w:snapToGrid/>
                      <w:color w:val="auto"/>
                      <w:spacing w:val="2"/>
                      <w:kern w:val="0"/>
                      <w:sz w:val="21"/>
                      <w:szCs w:val="21"/>
                      <w:highlight w:val="none"/>
                      <w:lang w:val="en-US" w:eastAsia="zh-CN" w:bidi="ar"/>
                    </w:rPr>
                    <w:t>300</w:t>
                  </w:r>
                </w:p>
              </w:tc>
              <w:tc>
                <w:tcPr>
                  <w:tcW w:w="561" w:type="pct"/>
                  <w:tcBorders>
                    <w:tl2br w:val="nil"/>
                    <w:tr2bl w:val="nil"/>
                  </w:tcBorders>
                  <w:noWrap w:val="0"/>
                  <w:vAlign w:val="center"/>
                </w:tcPr>
                <w:p w14:paraId="6970C7EC">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4"/>
                      <w:kern w:val="0"/>
                      <w:sz w:val="21"/>
                      <w:szCs w:val="21"/>
                      <w:highlight w:val="none"/>
                      <w:lang w:val="en-US" w:eastAsia="zh-CN" w:bidi="ar"/>
                    </w:rPr>
                    <w:t>400</w:t>
                  </w:r>
                </w:p>
              </w:tc>
              <w:tc>
                <w:tcPr>
                  <w:tcW w:w="600" w:type="pct"/>
                  <w:tcBorders>
                    <w:tl2br w:val="nil"/>
                    <w:tr2bl w:val="nil"/>
                  </w:tcBorders>
                  <w:noWrap w:val="0"/>
                  <w:vAlign w:val="center"/>
                </w:tcPr>
                <w:p w14:paraId="6711A9A7">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val="0"/>
                      <w:color w:val="auto"/>
                      <w:kern w:val="0"/>
                      <w:sz w:val="21"/>
                      <w:szCs w:val="21"/>
                      <w:highlight w:val="none"/>
                    </w:rPr>
                  </w:pPr>
                  <w:r>
                    <w:rPr>
                      <w:rFonts w:hint="default" w:ascii="Times New Roman" w:hAnsi="Times New Roman" w:cs="Times New Roman"/>
                      <w:snapToGrid/>
                      <w:color w:val="auto"/>
                      <w:spacing w:val="2"/>
                      <w:kern w:val="0"/>
                      <w:sz w:val="21"/>
                      <w:szCs w:val="21"/>
                      <w:highlight w:val="none"/>
                      <w:lang w:val="en-US" w:eastAsia="zh-CN" w:bidi="ar"/>
                    </w:rPr>
                    <w:t>/</w:t>
                  </w:r>
                </w:p>
              </w:tc>
              <w:tc>
                <w:tcPr>
                  <w:tcW w:w="507" w:type="pct"/>
                  <w:tcBorders>
                    <w:tl2br w:val="nil"/>
                    <w:tr2bl w:val="nil"/>
                  </w:tcBorders>
                  <w:noWrap w:val="0"/>
                  <w:vAlign w:val="center"/>
                </w:tcPr>
                <w:p w14:paraId="6273FB23">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default" w:ascii="Times New Roman" w:hAnsi="Times New Roman" w:cs="Times New Roman"/>
                      <w:snapToGrid/>
                      <w:color w:val="auto"/>
                      <w:spacing w:val="2"/>
                      <w:kern w:val="0"/>
                      <w:sz w:val="21"/>
                      <w:szCs w:val="21"/>
                      <w:highlight w:val="none"/>
                      <w:lang w:val="en-US" w:eastAsia="zh-CN" w:bidi="ar"/>
                    </w:rPr>
                  </w:pPr>
                  <w:r>
                    <w:rPr>
                      <w:rFonts w:hint="eastAsia" w:ascii="Times New Roman" w:hAnsi="Times New Roman" w:cs="Times New Roman"/>
                      <w:snapToGrid/>
                      <w:color w:val="auto"/>
                      <w:spacing w:val="2"/>
                      <w:kern w:val="0"/>
                      <w:sz w:val="21"/>
                      <w:szCs w:val="21"/>
                      <w:highlight w:val="none"/>
                      <w:lang w:val="en-US" w:eastAsia="zh-CN" w:bidi="ar"/>
                    </w:rPr>
                    <w:t>6-9</w:t>
                  </w:r>
                </w:p>
              </w:tc>
              <w:tc>
                <w:tcPr>
                  <w:tcW w:w="507" w:type="pct"/>
                  <w:tcBorders>
                    <w:tl2br w:val="nil"/>
                    <w:tr2bl w:val="nil"/>
                  </w:tcBorders>
                  <w:noWrap w:val="0"/>
                  <w:vAlign w:val="center"/>
                </w:tcPr>
                <w:p w14:paraId="4C6CFF47">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eastAsia" w:ascii="Times New Roman" w:hAnsi="Times New Roman" w:cs="Times New Roman"/>
                      <w:snapToGrid w:val="0"/>
                      <w:color w:val="auto"/>
                      <w:spacing w:val="2"/>
                      <w:kern w:val="0"/>
                      <w:sz w:val="21"/>
                      <w:szCs w:val="21"/>
                      <w:highlight w:val="yellow"/>
                      <w:lang w:val="en-US" w:eastAsia="zh-CN" w:bidi="ar"/>
                    </w:rPr>
                  </w:pPr>
                </w:p>
              </w:tc>
              <w:tc>
                <w:tcPr>
                  <w:tcW w:w="507" w:type="pct"/>
                  <w:tcBorders>
                    <w:tl2br w:val="nil"/>
                    <w:tr2bl w:val="nil"/>
                  </w:tcBorders>
                  <w:noWrap w:val="0"/>
                  <w:vAlign w:val="center"/>
                </w:tcPr>
                <w:p w14:paraId="7A37737F">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240" w:lineRule="auto"/>
                    <w:ind w:left="0" w:right="0" w:firstLine="0" w:firstLineChars="0"/>
                    <w:jc w:val="center"/>
                    <w:textAlignment w:val="baseline"/>
                    <w:rPr>
                      <w:rFonts w:hint="eastAsia" w:ascii="Times New Roman" w:hAnsi="Times New Roman" w:cs="Times New Roman"/>
                      <w:snapToGrid w:val="0"/>
                      <w:color w:val="auto"/>
                      <w:spacing w:val="2"/>
                      <w:kern w:val="0"/>
                      <w:sz w:val="21"/>
                      <w:szCs w:val="21"/>
                      <w:highlight w:val="yellow"/>
                      <w:lang w:val="en-US" w:eastAsia="zh-CN" w:bidi="ar"/>
                    </w:rPr>
                  </w:pPr>
                </w:p>
              </w:tc>
            </w:tr>
          </w:tbl>
          <w:p w14:paraId="023F4CD0">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eastAsia"/>
                <w:b/>
                <w:bCs/>
                <w:color w:val="auto"/>
                <w:sz w:val="24"/>
                <w:szCs w:val="24"/>
                <w:highlight w:val="none"/>
                <w:lang w:val="en-US" w:eastAsia="zh-CN"/>
              </w:rPr>
            </w:pPr>
            <w:r>
              <w:rPr>
                <w:rFonts w:hint="eastAsia"/>
                <w:b/>
                <w:bCs/>
                <w:color w:val="auto"/>
                <w:sz w:val="24"/>
                <w:szCs w:val="24"/>
                <w:highlight w:val="none"/>
                <w:lang w:val="en-US" w:eastAsia="zh-CN"/>
              </w:rPr>
              <w:t>3.噪声</w:t>
            </w:r>
          </w:p>
          <w:p w14:paraId="5CFA54EB">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firstLine="480" w:firstLineChars="200"/>
              <w:textAlignment w:val="auto"/>
              <w:rPr>
                <w:color w:val="auto"/>
                <w:spacing w:val="-2"/>
                <w:sz w:val="24"/>
                <w:szCs w:val="24"/>
                <w:highlight w:val="none"/>
              </w:rPr>
            </w:pPr>
            <w:r>
              <w:rPr>
                <w:rFonts w:hint="eastAsia"/>
                <w:color w:val="auto"/>
                <w:sz w:val="24"/>
                <w:szCs w:val="24"/>
                <w:highlight w:val="none"/>
                <w:lang w:val="en-US" w:eastAsia="zh-CN"/>
              </w:rPr>
              <w:t>根据沣东新城声环境功能区划图，项目所在位置为三类声功能区（附图5 ），运营期厂界噪声执行《工业企业厂界环境噪声排放标准》</w:t>
            </w:r>
            <w:r>
              <w:rPr>
                <w:rFonts w:hint="eastAsia"/>
                <w:color w:val="auto"/>
                <w:sz w:val="24"/>
                <w:szCs w:val="24"/>
                <w:highlight w:val="none"/>
                <w:lang w:eastAsia="zh-CN"/>
              </w:rPr>
              <w:t>（</w:t>
            </w:r>
            <w:r>
              <w:rPr>
                <w:color w:val="auto"/>
                <w:sz w:val="24"/>
                <w:szCs w:val="24"/>
                <w:highlight w:val="none"/>
              </w:rPr>
              <w:t>GB12348-2008）中3类标准。</w:t>
            </w:r>
          </w:p>
          <w:p w14:paraId="70FD117A">
            <w:pPr>
              <w:bidi w:val="0"/>
              <w:jc w:val="center"/>
              <w:rPr>
                <w:rFonts w:hint="default"/>
                <w:b/>
                <w:bCs/>
                <w:color w:val="auto"/>
                <w:sz w:val="24"/>
                <w:szCs w:val="24"/>
                <w:highlight w:val="none"/>
                <w:lang w:val="en-US" w:eastAsia="zh-CN"/>
              </w:rPr>
            </w:pPr>
            <w:r>
              <w:rPr>
                <w:rFonts w:hint="default"/>
                <w:b/>
                <w:bCs/>
                <w:color w:val="auto"/>
                <w:sz w:val="24"/>
                <w:szCs w:val="24"/>
                <w:highlight w:val="none"/>
                <w:lang w:val="en-US" w:eastAsia="zh-CN"/>
              </w:rPr>
              <w:t>表3-</w:t>
            </w:r>
            <w:r>
              <w:rPr>
                <w:rFonts w:hint="eastAsia"/>
                <w:b/>
                <w:bCs/>
                <w:color w:val="auto"/>
                <w:sz w:val="24"/>
                <w:szCs w:val="24"/>
                <w:highlight w:val="none"/>
                <w:lang w:val="en-US" w:eastAsia="zh-CN"/>
              </w:rPr>
              <w:t>5</w:t>
            </w:r>
            <w:r>
              <w:rPr>
                <w:rFonts w:hint="default"/>
                <w:b/>
                <w:bCs/>
                <w:color w:val="auto"/>
                <w:sz w:val="24"/>
                <w:szCs w:val="24"/>
                <w:highlight w:val="none"/>
                <w:lang w:val="en-US" w:eastAsia="zh-CN"/>
              </w:rPr>
              <w:t xml:space="preserve">  噪声排放标准一览表</w:t>
            </w:r>
          </w:p>
          <w:tbl>
            <w:tblPr>
              <w:tblStyle w:val="80"/>
              <w:tblW w:w="806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4019"/>
              <w:gridCol w:w="2112"/>
              <w:gridCol w:w="1929"/>
            </w:tblGrid>
            <w:tr w14:paraId="18FF55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019" w:type="dxa"/>
                  <w:vMerge w:val="restart"/>
                  <w:tcBorders>
                    <w:tl2br w:val="nil"/>
                    <w:tr2bl w:val="nil"/>
                  </w:tcBorders>
                  <w:noWrap w:val="0"/>
                  <w:vAlign w:val="center"/>
                </w:tcPr>
                <w:p w14:paraId="23B6E6B5">
                  <w:pPr>
                    <w:keepNext w:val="0"/>
                    <w:keepLines w:val="0"/>
                    <w:pageBreakBefore w:val="0"/>
                    <w:widowControl w:val="0"/>
                    <w:kinsoku/>
                    <w:wordWrap/>
                    <w:overflowPunct/>
                    <w:topLinePunct w:val="0"/>
                    <w:autoSpaceDE/>
                    <w:autoSpaceDN/>
                    <w:bidi w:val="0"/>
                    <w:adjustRightInd/>
                    <w:snapToGrid/>
                    <w:jc w:val="center"/>
                    <w:textAlignment w:val="auto"/>
                    <w:rPr>
                      <w:rFonts w:hint="eastAsia"/>
                      <w:b/>
                      <w:bCs/>
                      <w:snapToGrid w:val="0"/>
                      <w:color w:val="auto"/>
                      <w:highlight w:val="none"/>
                    </w:rPr>
                  </w:pPr>
                  <w:r>
                    <w:rPr>
                      <w:rFonts w:hint="eastAsia"/>
                      <w:b/>
                      <w:bCs/>
                      <w:snapToGrid w:val="0"/>
                      <w:color w:val="auto"/>
                      <w:highlight w:val="none"/>
                      <w:lang w:val="en-US" w:eastAsia="zh-CN"/>
                    </w:rPr>
                    <w:t>执行标准</w:t>
                  </w:r>
                </w:p>
              </w:tc>
              <w:tc>
                <w:tcPr>
                  <w:tcW w:w="4041" w:type="dxa"/>
                  <w:gridSpan w:val="2"/>
                  <w:tcBorders>
                    <w:tl2br w:val="nil"/>
                    <w:tr2bl w:val="nil"/>
                  </w:tcBorders>
                  <w:noWrap w:val="0"/>
                  <w:vAlign w:val="center"/>
                </w:tcPr>
                <w:p w14:paraId="391D4326">
                  <w:pPr>
                    <w:keepNext w:val="0"/>
                    <w:keepLines w:val="0"/>
                    <w:pageBreakBefore w:val="0"/>
                    <w:widowControl w:val="0"/>
                    <w:kinsoku/>
                    <w:wordWrap/>
                    <w:overflowPunct/>
                    <w:topLinePunct w:val="0"/>
                    <w:autoSpaceDE/>
                    <w:autoSpaceDN/>
                    <w:bidi w:val="0"/>
                    <w:adjustRightInd/>
                    <w:snapToGrid/>
                    <w:ind w:firstLine="422" w:firstLineChars="200"/>
                    <w:jc w:val="center"/>
                    <w:textAlignment w:val="auto"/>
                    <w:rPr>
                      <w:rFonts w:hint="default"/>
                      <w:b/>
                      <w:bCs/>
                      <w:snapToGrid w:val="0"/>
                      <w:color w:val="auto"/>
                      <w:highlight w:val="none"/>
                    </w:rPr>
                  </w:pPr>
                  <w:r>
                    <w:rPr>
                      <w:rFonts w:hint="eastAsia"/>
                      <w:b/>
                      <w:bCs/>
                      <w:snapToGrid w:val="0"/>
                      <w:color w:val="auto"/>
                      <w:highlight w:val="none"/>
                      <w:lang w:val="en-US" w:eastAsia="zh-CN"/>
                    </w:rPr>
                    <w:t>标准值</w:t>
                  </w:r>
                  <w:r>
                    <w:rPr>
                      <w:rFonts w:hint="default"/>
                      <w:b/>
                      <w:bCs/>
                      <w:snapToGrid w:val="0"/>
                      <w:color w:val="auto"/>
                      <w:highlight w:val="none"/>
                      <w:lang w:val="en-US" w:eastAsia="zh-CN"/>
                    </w:rPr>
                    <w:t>dB</w:t>
                  </w:r>
                  <w:r>
                    <w:rPr>
                      <w:rFonts w:hint="eastAsia"/>
                      <w:b/>
                      <w:bCs/>
                      <w:snapToGrid w:val="0"/>
                      <w:color w:val="auto"/>
                      <w:highlight w:val="none"/>
                      <w:lang w:val="en-US" w:eastAsia="zh-CN"/>
                    </w:rPr>
                    <w:t>（</w:t>
                  </w:r>
                  <w:r>
                    <w:rPr>
                      <w:rFonts w:hint="default"/>
                      <w:b/>
                      <w:bCs/>
                      <w:snapToGrid w:val="0"/>
                      <w:color w:val="auto"/>
                      <w:highlight w:val="none"/>
                      <w:lang w:val="en-US" w:eastAsia="zh-CN"/>
                    </w:rPr>
                    <w:t>A</w:t>
                  </w:r>
                  <w:r>
                    <w:rPr>
                      <w:rFonts w:hint="eastAsia"/>
                      <w:b/>
                      <w:bCs/>
                      <w:snapToGrid w:val="0"/>
                      <w:color w:val="auto"/>
                      <w:highlight w:val="none"/>
                      <w:lang w:val="en-US" w:eastAsia="zh-CN"/>
                    </w:rPr>
                    <w:t>）</w:t>
                  </w:r>
                </w:p>
              </w:tc>
            </w:tr>
            <w:tr w14:paraId="3C1684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019" w:type="dxa"/>
                  <w:vMerge w:val="continue"/>
                  <w:tcBorders>
                    <w:tl2br w:val="nil"/>
                    <w:tr2bl w:val="nil"/>
                  </w:tcBorders>
                  <w:noWrap w:val="0"/>
                  <w:vAlign w:val="center"/>
                </w:tcPr>
                <w:p w14:paraId="7FBF3B29">
                  <w:pPr>
                    <w:keepNext w:val="0"/>
                    <w:keepLines w:val="0"/>
                    <w:pageBreakBefore w:val="0"/>
                    <w:widowControl w:val="0"/>
                    <w:kinsoku/>
                    <w:wordWrap/>
                    <w:overflowPunct/>
                    <w:topLinePunct w:val="0"/>
                    <w:autoSpaceDE/>
                    <w:autoSpaceDN/>
                    <w:bidi w:val="0"/>
                    <w:adjustRightInd/>
                    <w:snapToGrid/>
                    <w:ind w:firstLine="422" w:firstLineChars="200"/>
                    <w:jc w:val="center"/>
                    <w:textAlignment w:val="auto"/>
                    <w:rPr>
                      <w:rFonts w:hint="default"/>
                      <w:b/>
                      <w:bCs/>
                      <w:snapToGrid w:val="0"/>
                      <w:color w:val="auto"/>
                      <w:highlight w:val="none"/>
                    </w:rPr>
                  </w:pPr>
                </w:p>
              </w:tc>
              <w:tc>
                <w:tcPr>
                  <w:tcW w:w="2112" w:type="dxa"/>
                  <w:tcBorders>
                    <w:tl2br w:val="nil"/>
                    <w:tr2bl w:val="nil"/>
                  </w:tcBorders>
                  <w:noWrap w:val="0"/>
                  <w:vAlign w:val="center"/>
                </w:tcPr>
                <w:p w14:paraId="4FEDF39D">
                  <w:pPr>
                    <w:keepNext w:val="0"/>
                    <w:keepLines w:val="0"/>
                    <w:pageBreakBefore w:val="0"/>
                    <w:widowControl w:val="0"/>
                    <w:kinsoku/>
                    <w:wordWrap/>
                    <w:overflowPunct/>
                    <w:topLinePunct w:val="0"/>
                    <w:autoSpaceDE/>
                    <w:autoSpaceDN/>
                    <w:bidi w:val="0"/>
                    <w:adjustRightInd/>
                    <w:snapToGrid/>
                    <w:jc w:val="center"/>
                    <w:textAlignment w:val="auto"/>
                    <w:rPr>
                      <w:rFonts w:hint="eastAsia"/>
                      <w:b/>
                      <w:bCs/>
                      <w:snapToGrid w:val="0"/>
                      <w:color w:val="auto"/>
                      <w:highlight w:val="none"/>
                    </w:rPr>
                  </w:pPr>
                  <w:r>
                    <w:rPr>
                      <w:rFonts w:hint="eastAsia"/>
                      <w:b/>
                      <w:bCs/>
                      <w:snapToGrid w:val="0"/>
                      <w:color w:val="auto"/>
                      <w:highlight w:val="none"/>
                      <w:lang w:val="en-US" w:eastAsia="zh-CN"/>
                    </w:rPr>
                    <w:t>昼间</w:t>
                  </w:r>
                </w:p>
              </w:tc>
              <w:tc>
                <w:tcPr>
                  <w:tcW w:w="1929" w:type="dxa"/>
                  <w:tcBorders>
                    <w:tl2br w:val="nil"/>
                    <w:tr2bl w:val="nil"/>
                  </w:tcBorders>
                  <w:noWrap w:val="0"/>
                  <w:vAlign w:val="center"/>
                </w:tcPr>
                <w:p w14:paraId="7E157843">
                  <w:pPr>
                    <w:keepNext w:val="0"/>
                    <w:keepLines w:val="0"/>
                    <w:pageBreakBefore w:val="0"/>
                    <w:widowControl w:val="0"/>
                    <w:kinsoku/>
                    <w:wordWrap/>
                    <w:overflowPunct/>
                    <w:topLinePunct w:val="0"/>
                    <w:autoSpaceDE/>
                    <w:autoSpaceDN/>
                    <w:bidi w:val="0"/>
                    <w:adjustRightInd/>
                    <w:snapToGrid/>
                    <w:jc w:val="center"/>
                    <w:textAlignment w:val="auto"/>
                    <w:rPr>
                      <w:rFonts w:hint="eastAsia"/>
                      <w:b/>
                      <w:bCs/>
                      <w:snapToGrid w:val="0"/>
                      <w:color w:val="auto"/>
                      <w:highlight w:val="none"/>
                    </w:rPr>
                  </w:pPr>
                  <w:r>
                    <w:rPr>
                      <w:rFonts w:hint="eastAsia"/>
                      <w:b/>
                      <w:bCs/>
                      <w:snapToGrid w:val="0"/>
                      <w:color w:val="auto"/>
                      <w:highlight w:val="none"/>
                      <w:lang w:val="en-US" w:eastAsia="zh-CN"/>
                    </w:rPr>
                    <w:t>夜间</w:t>
                  </w:r>
                </w:p>
              </w:tc>
            </w:tr>
            <w:tr w14:paraId="17922E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019" w:type="dxa"/>
                  <w:tcBorders>
                    <w:tl2br w:val="nil"/>
                    <w:tr2bl w:val="nil"/>
                  </w:tcBorders>
                  <w:noWrap w:val="0"/>
                  <w:vAlign w:val="center"/>
                </w:tcPr>
                <w:p w14:paraId="43957512">
                  <w:pPr>
                    <w:keepNext w:val="0"/>
                    <w:keepLines w:val="0"/>
                    <w:pageBreakBefore w:val="0"/>
                    <w:widowControl w:val="0"/>
                    <w:kinsoku/>
                    <w:wordWrap/>
                    <w:overflowPunct/>
                    <w:topLinePunct w:val="0"/>
                    <w:autoSpaceDE/>
                    <w:autoSpaceDN/>
                    <w:bidi w:val="0"/>
                    <w:adjustRightInd/>
                    <w:snapToGrid/>
                    <w:jc w:val="center"/>
                    <w:textAlignment w:val="auto"/>
                    <w:rPr>
                      <w:rFonts w:hint="eastAsia"/>
                      <w:snapToGrid w:val="0"/>
                      <w:color w:val="auto"/>
                      <w:highlight w:val="none"/>
                    </w:rPr>
                  </w:pPr>
                  <w:r>
                    <w:rPr>
                      <w:rFonts w:hint="default"/>
                      <w:snapToGrid w:val="0"/>
                      <w:color w:val="auto"/>
                      <w:highlight w:val="none"/>
                      <w:lang w:val="en-US" w:eastAsia="zh-CN"/>
                    </w:rPr>
                    <w:t>《工业企业厂界环境噪声排放标准》（GB12348-2008）中3类标准</w:t>
                  </w:r>
                </w:p>
              </w:tc>
              <w:tc>
                <w:tcPr>
                  <w:tcW w:w="2112" w:type="dxa"/>
                  <w:tcBorders>
                    <w:tl2br w:val="nil"/>
                    <w:tr2bl w:val="nil"/>
                  </w:tcBorders>
                  <w:noWrap w:val="0"/>
                  <w:vAlign w:val="center"/>
                </w:tcPr>
                <w:p w14:paraId="1815BB1E">
                  <w:pPr>
                    <w:keepNext w:val="0"/>
                    <w:keepLines w:val="0"/>
                    <w:pageBreakBefore w:val="0"/>
                    <w:widowControl w:val="0"/>
                    <w:kinsoku/>
                    <w:wordWrap/>
                    <w:overflowPunct/>
                    <w:topLinePunct w:val="0"/>
                    <w:autoSpaceDE/>
                    <w:autoSpaceDN/>
                    <w:bidi w:val="0"/>
                    <w:adjustRightInd/>
                    <w:snapToGrid/>
                    <w:jc w:val="center"/>
                    <w:textAlignment w:val="auto"/>
                    <w:rPr>
                      <w:rFonts w:hint="default"/>
                      <w:snapToGrid w:val="0"/>
                      <w:color w:val="auto"/>
                      <w:highlight w:val="none"/>
                    </w:rPr>
                  </w:pPr>
                  <w:r>
                    <w:rPr>
                      <w:rFonts w:hint="default"/>
                      <w:snapToGrid w:val="0"/>
                      <w:color w:val="auto"/>
                      <w:highlight w:val="none"/>
                      <w:lang w:val="en-US" w:eastAsia="zh-CN"/>
                    </w:rPr>
                    <w:t>65</w:t>
                  </w:r>
                </w:p>
              </w:tc>
              <w:tc>
                <w:tcPr>
                  <w:tcW w:w="1929" w:type="dxa"/>
                  <w:tcBorders>
                    <w:tl2br w:val="nil"/>
                    <w:tr2bl w:val="nil"/>
                  </w:tcBorders>
                  <w:noWrap w:val="0"/>
                  <w:vAlign w:val="center"/>
                </w:tcPr>
                <w:p w14:paraId="1CA7344C">
                  <w:pPr>
                    <w:keepNext w:val="0"/>
                    <w:keepLines w:val="0"/>
                    <w:pageBreakBefore w:val="0"/>
                    <w:widowControl w:val="0"/>
                    <w:kinsoku/>
                    <w:wordWrap/>
                    <w:overflowPunct/>
                    <w:topLinePunct w:val="0"/>
                    <w:autoSpaceDE/>
                    <w:autoSpaceDN/>
                    <w:bidi w:val="0"/>
                    <w:adjustRightInd/>
                    <w:snapToGrid/>
                    <w:jc w:val="center"/>
                    <w:textAlignment w:val="auto"/>
                    <w:rPr>
                      <w:rFonts w:hint="default"/>
                      <w:snapToGrid w:val="0"/>
                      <w:color w:val="auto"/>
                      <w:highlight w:val="none"/>
                    </w:rPr>
                  </w:pPr>
                  <w:r>
                    <w:rPr>
                      <w:rFonts w:hint="default"/>
                      <w:snapToGrid w:val="0"/>
                      <w:color w:val="auto"/>
                      <w:highlight w:val="none"/>
                      <w:lang w:val="en-US" w:eastAsia="zh-CN"/>
                    </w:rPr>
                    <w:t>55</w:t>
                  </w:r>
                </w:p>
              </w:tc>
            </w:tr>
          </w:tbl>
          <w:p w14:paraId="51A459A9">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rFonts w:hint="default" w:ascii="Times New Roman" w:hAnsi="Times New Roman"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lang w:val="en-US" w:eastAsia="zh-CN"/>
              </w:rPr>
              <w:t>固体废物</w:t>
            </w:r>
          </w:p>
          <w:p w14:paraId="264CB4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sz w:val="24"/>
                <w:szCs w:val="24"/>
                <w:highlight w:val="none"/>
                <w:lang w:val="en-US" w:eastAsia="zh-CN"/>
              </w:rPr>
              <w:t>本项目产生的一般固体废物处理和处置执行执行《一般工业固体废物贮存和填埋污染控制标准》（GB18599-2020）；危险废物贮存执行《危险废物贮存污染控制标准》（GB18597-2023）有关要求。</w:t>
            </w:r>
          </w:p>
        </w:tc>
      </w:tr>
      <w:tr w14:paraId="757D2F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5" w:type="dxa"/>
            <w:noWrap w:val="0"/>
            <w:vAlign w:val="center"/>
          </w:tcPr>
          <w:p w14:paraId="35C36F84">
            <w:pPr>
              <w:adjustRightInd w:val="0"/>
              <w:snapToGrid w:val="0"/>
              <w:jc w:val="center"/>
              <w:rPr>
                <w:color w:val="auto"/>
                <w:kern w:val="0"/>
                <w:sz w:val="21"/>
                <w:szCs w:val="21"/>
                <w:highlight w:val="none"/>
                <w:lang w:val="en-US" w:eastAsia="zh-CN" w:bidi="ar-SA"/>
              </w:rPr>
            </w:pPr>
            <w:r>
              <w:rPr>
                <w:b/>
                <w:bCs/>
                <w:color w:val="auto"/>
                <w:kern w:val="0"/>
                <w:sz w:val="24"/>
                <w:highlight w:val="none"/>
              </w:rPr>
              <w:t>总量控制指标</w:t>
            </w:r>
          </w:p>
        </w:tc>
        <w:tc>
          <w:tcPr>
            <w:tcW w:w="8304" w:type="dxa"/>
            <w:noWrap w:val="0"/>
            <w:vAlign w:val="center"/>
          </w:tcPr>
          <w:p w14:paraId="2A1B04EA">
            <w:pPr>
              <w:pStyle w:val="106"/>
              <w:wordWrap/>
              <w:ind w:firstLine="480"/>
              <w:rPr>
                <w:color w:val="auto"/>
              </w:rPr>
            </w:pPr>
            <w:r>
              <w:rPr>
                <w:rFonts w:hint="eastAsia"/>
                <w:color w:val="auto"/>
              </w:rPr>
              <w:t>根据陕西省人民政府办公厅关于印发“十四五”生态环境保护规划的通知（陕政办发（2021）25 号），“十四五”污染物控制指标为：NOx、VOCs、COD和氨氮，</w:t>
            </w:r>
            <w:r>
              <w:rPr>
                <w:rFonts w:hint="eastAsia"/>
                <w:color w:val="auto"/>
                <w:sz w:val="24"/>
                <w:szCs w:val="24"/>
                <w:lang w:val="en-US" w:eastAsia="zh-CN"/>
              </w:rPr>
              <w:t>本项目第三、四次清洗废水及台面、地面清洗废水经自建的污水处理设施进行预处理后与生活污水依托伟合沣东科技产业园化粪池处理达标后进入西安净水处理有限责任公司第六再生水厂处理集中处理</w:t>
            </w:r>
            <w:r>
              <w:rPr>
                <w:rFonts w:hint="eastAsia"/>
                <w:color w:val="auto"/>
                <w:sz w:val="24"/>
                <w:szCs w:val="24"/>
                <w:highlight w:val="none"/>
              </w:rPr>
              <w:t>；废气主要为酸性废气、有机废气（</w:t>
            </w:r>
            <w:r>
              <w:rPr>
                <w:rFonts w:hint="eastAsia"/>
                <w:color w:val="auto"/>
                <w:sz w:val="24"/>
                <w:szCs w:val="24"/>
                <w:highlight w:val="none"/>
                <w:lang w:val="en-US" w:eastAsia="zh-CN"/>
              </w:rPr>
              <w:t>以</w:t>
            </w:r>
            <w:r>
              <w:rPr>
                <w:rFonts w:hint="eastAsia"/>
                <w:color w:val="auto"/>
                <w:sz w:val="24"/>
                <w:szCs w:val="24"/>
                <w:highlight w:val="none"/>
              </w:rPr>
              <w:t>非甲烷总烃</w:t>
            </w:r>
            <w:r>
              <w:rPr>
                <w:rFonts w:hint="eastAsia"/>
                <w:color w:val="auto"/>
                <w:sz w:val="24"/>
                <w:szCs w:val="24"/>
                <w:highlight w:val="none"/>
                <w:lang w:val="en-US" w:eastAsia="zh-CN"/>
              </w:rPr>
              <w:t>计</w:t>
            </w:r>
            <w:r>
              <w:rPr>
                <w:rFonts w:hint="eastAsia"/>
                <w:color w:val="auto"/>
                <w:sz w:val="24"/>
                <w:szCs w:val="24"/>
                <w:highlight w:val="none"/>
              </w:rPr>
              <w:t>）</w:t>
            </w:r>
            <w:r>
              <w:rPr>
                <w:rFonts w:hint="eastAsia"/>
                <w:color w:val="auto"/>
                <w:sz w:val="24"/>
                <w:szCs w:val="24"/>
                <w:lang w:val="en-US" w:eastAsia="zh-CN"/>
              </w:rPr>
              <w:t>。</w:t>
            </w:r>
            <w:r>
              <w:rPr>
                <w:rFonts w:hint="eastAsia"/>
                <w:color w:val="auto"/>
              </w:rPr>
              <w:t>本项目扩建</w:t>
            </w:r>
            <w:r>
              <w:rPr>
                <w:rFonts w:hint="eastAsia"/>
                <w:color w:val="auto"/>
                <w:lang w:val="en-US" w:eastAsia="zh-CN"/>
              </w:rPr>
              <w:t>新增</w:t>
            </w:r>
            <w:r>
              <w:rPr>
                <w:rFonts w:hint="eastAsia"/>
                <w:color w:val="auto"/>
              </w:rPr>
              <w:t>总量建议指标见表3-</w:t>
            </w:r>
            <w:r>
              <w:rPr>
                <w:rFonts w:hint="eastAsia"/>
                <w:color w:val="auto"/>
                <w:lang w:val="en-US" w:eastAsia="zh-CN"/>
              </w:rPr>
              <w:t>6</w:t>
            </w:r>
            <w:r>
              <w:rPr>
                <w:rFonts w:hint="eastAsia"/>
                <w:color w:val="auto"/>
              </w:rPr>
              <w:t>。</w:t>
            </w:r>
          </w:p>
          <w:p w14:paraId="69983F3A">
            <w:pPr>
              <w:adjustRightInd w:val="0"/>
              <w:snapToGrid w:val="0"/>
              <w:jc w:val="center"/>
              <w:rPr>
                <w:b/>
                <w:bCs/>
                <w:color w:val="auto"/>
                <w:kern w:val="0"/>
                <w:sz w:val="24"/>
              </w:rPr>
            </w:pPr>
            <w:r>
              <w:rPr>
                <w:rFonts w:hint="eastAsia" w:ascii="宋体" w:hAnsi="宋体" w:cs="宋体"/>
                <w:b/>
                <w:bCs/>
                <w:color w:val="auto"/>
                <w:kern w:val="0"/>
                <w:sz w:val="24"/>
              </w:rPr>
              <w:t>表</w:t>
            </w:r>
            <w:r>
              <w:rPr>
                <w:b/>
                <w:bCs/>
                <w:color w:val="auto"/>
                <w:kern w:val="0"/>
                <w:sz w:val="24"/>
              </w:rPr>
              <w:t>3-</w:t>
            </w:r>
            <w:r>
              <w:rPr>
                <w:rFonts w:hint="eastAsia"/>
                <w:b/>
                <w:bCs/>
                <w:color w:val="auto"/>
                <w:kern w:val="0"/>
                <w:sz w:val="24"/>
                <w:lang w:val="en-US" w:eastAsia="zh-CN"/>
              </w:rPr>
              <w:t>6</w:t>
            </w:r>
            <w:r>
              <w:rPr>
                <w:rFonts w:hint="eastAsia" w:ascii="宋体" w:hAnsi="宋体" w:cs="宋体"/>
                <w:b/>
                <w:bCs/>
                <w:color w:val="auto"/>
                <w:kern w:val="0"/>
                <w:sz w:val="24"/>
              </w:rPr>
              <w:t xml:space="preserve"> 总量建议指标表 单位：</w:t>
            </w:r>
            <w:r>
              <w:rPr>
                <w:b/>
                <w:bCs/>
                <w:color w:val="auto"/>
                <w:kern w:val="0"/>
                <w:sz w:val="24"/>
              </w:rPr>
              <w:t>t/a</w:t>
            </w:r>
          </w:p>
          <w:tbl>
            <w:tblPr>
              <w:tblStyle w:val="31"/>
              <w:tblW w:w="4999" w:type="pct"/>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86"/>
              <w:gridCol w:w="2686"/>
              <w:gridCol w:w="2686"/>
            </w:tblGrid>
            <w:tr w14:paraId="3D049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666" w:type="pct"/>
                  <w:tcBorders>
                    <w:tl2br w:val="nil"/>
                    <w:tr2bl w:val="nil"/>
                  </w:tcBorders>
                  <w:vAlign w:val="center"/>
                </w:tcPr>
                <w:p w14:paraId="7551AC64">
                  <w:pPr>
                    <w:adjustRightInd w:val="0"/>
                    <w:snapToGrid w:val="0"/>
                    <w:jc w:val="center"/>
                    <w:rPr>
                      <w:rFonts w:cs="宋体"/>
                      <w:b/>
                      <w:color w:val="auto"/>
                      <w:kern w:val="0"/>
                      <w:szCs w:val="21"/>
                    </w:rPr>
                  </w:pPr>
                  <w:r>
                    <w:rPr>
                      <w:rFonts w:hint="eastAsia" w:cs="宋体"/>
                      <w:b/>
                      <w:color w:val="auto"/>
                      <w:kern w:val="0"/>
                      <w:szCs w:val="21"/>
                    </w:rPr>
                    <w:t>项目</w:t>
                  </w:r>
                </w:p>
              </w:tc>
              <w:tc>
                <w:tcPr>
                  <w:tcW w:w="1666" w:type="pct"/>
                  <w:tcBorders>
                    <w:tl2br w:val="nil"/>
                    <w:tr2bl w:val="nil"/>
                  </w:tcBorders>
                  <w:vAlign w:val="center"/>
                </w:tcPr>
                <w:p w14:paraId="594F6845">
                  <w:pPr>
                    <w:adjustRightInd w:val="0"/>
                    <w:snapToGrid w:val="0"/>
                    <w:jc w:val="center"/>
                    <w:rPr>
                      <w:rFonts w:cs="宋体"/>
                      <w:b/>
                      <w:color w:val="auto"/>
                      <w:kern w:val="0"/>
                      <w:szCs w:val="21"/>
                    </w:rPr>
                  </w:pPr>
                  <w:r>
                    <w:rPr>
                      <w:rFonts w:hint="eastAsia" w:cs="宋体"/>
                      <w:b/>
                      <w:color w:val="auto"/>
                      <w:kern w:val="0"/>
                      <w:szCs w:val="21"/>
                      <w:lang w:val="en-US" w:eastAsia="zh-CN"/>
                    </w:rPr>
                    <w:t>新增</w:t>
                  </w:r>
                  <w:r>
                    <w:rPr>
                      <w:rFonts w:hint="eastAsia" w:cs="宋体"/>
                      <w:b/>
                      <w:color w:val="auto"/>
                      <w:kern w:val="0"/>
                      <w:szCs w:val="21"/>
                    </w:rPr>
                    <w:t>排放量</w:t>
                  </w:r>
                </w:p>
              </w:tc>
              <w:tc>
                <w:tcPr>
                  <w:tcW w:w="1666" w:type="pct"/>
                  <w:tcBorders>
                    <w:tl2br w:val="nil"/>
                    <w:tr2bl w:val="nil"/>
                  </w:tcBorders>
                  <w:vAlign w:val="center"/>
                </w:tcPr>
                <w:p w14:paraId="5660074A">
                  <w:pPr>
                    <w:adjustRightInd w:val="0"/>
                    <w:snapToGrid w:val="0"/>
                    <w:jc w:val="center"/>
                    <w:rPr>
                      <w:rFonts w:cs="宋体"/>
                      <w:b/>
                      <w:color w:val="auto"/>
                      <w:kern w:val="0"/>
                      <w:szCs w:val="21"/>
                    </w:rPr>
                  </w:pPr>
                  <w:r>
                    <w:rPr>
                      <w:rFonts w:hint="eastAsia" w:cs="宋体"/>
                      <w:b/>
                      <w:color w:val="auto"/>
                      <w:kern w:val="0"/>
                      <w:szCs w:val="21"/>
                    </w:rPr>
                    <w:t>建议指标</w:t>
                  </w:r>
                </w:p>
              </w:tc>
            </w:tr>
            <w:tr w14:paraId="158700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666" w:type="pct"/>
                  <w:tcBorders>
                    <w:tl2br w:val="nil"/>
                    <w:tr2bl w:val="nil"/>
                  </w:tcBorders>
                  <w:vAlign w:val="center"/>
                </w:tcPr>
                <w:p w14:paraId="00F67F11">
                  <w:pPr>
                    <w:adjustRightInd w:val="0"/>
                    <w:snapToGrid w:val="0"/>
                    <w:jc w:val="center"/>
                    <w:rPr>
                      <w:rFonts w:hint="eastAsia" w:eastAsia="宋体"/>
                      <w:bCs/>
                      <w:color w:val="auto"/>
                      <w:kern w:val="0"/>
                      <w:szCs w:val="21"/>
                      <w:lang w:eastAsia="zh-CN"/>
                    </w:rPr>
                  </w:pPr>
                  <w:r>
                    <w:rPr>
                      <w:bCs/>
                      <w:color w:val="auto"/>
                      <w:kern w:val="0"/>
                      <w:szCs w:val="21"/>
                    </w:rPr>
                    <w:t>VOCs</w:t>
                  </w:r>
                  <w:r>
                    <w:rPr>
                      <w:rFonts w:hint="eastAsia"/>
                      <w:bCs/>
                      <w:color w:val="auto"/>
                      <w:kern w:val="0"/>
                      <w:szCs w:val="21"/>
                      <w:lang w:eastAsia="zh-CN"/>
                    </w:rPr>
                    <w:t>（</w:t>
                  </w:r>
                  <w:r>
                    <w:rPr>
                      <w:rFonts w:hint="eastAsia"/>
                      <w:bCs/>
                      <w:color w:val="auto"/>
                      <w:kern w:val="0"/>
                      <w:szCs w:val="21"/>
                      <w:lang w:val="en-US" w:eastAsia="zh-CN"/>
                    </w:rPr>
                    <w:t>本项目以非甲烷总烃计</w:t>
                  </w:r>
                  <w:r>
                    <w:rPr>
                      <w:rFonts w:hint="eastAsia"/>
                      <w:bCs/>
                      <w:color w:val="auto"/>
                      <w:kern w:val="0"/>
                      <w:szCs w:val="21"/>
                      <w:lang w:eastAsia="zh-CN"/>
                    </w:rPr>
                    <w:t>）</w:t>
                  </w:r>
                </w:p>
              </w:tc>
              <w:tc>
                <w:tcPr>
                  <w:tcW w:w="1666" w:type="pct"/>
                  <w:tcBorders>
                    <w:tl2br w:val="nil"/>
                    <w:tr2bl w:val="nil"/>
                  </w:tcBorders>
                  <w:vAlign w:val="center"/>
                </w:tcPr>
                <w:p w14:paraId="0B7562F4">
                  <w:pPr>
                    <w:adjustRightInd w:val="0"/>
                    <w:snapToGrid w:val="0"/>
                    <w:jc w:val="center"/>
                    <w:rPr>
                      <w:rFonts w:hint="default" w:eastAsia="宋体" w:cs="宋体"/>
                      <w:bCs/>
                      <w:color w:val="auto"/>
                      <w:kern w:val="0"/>
                      <w:szCs w:val="21"/>
                      <w:lang w:val="en-US" w:eastAsia="zh-CN"/>
                    </w:rPr>
                  </w:pPr>
                  <w:r>
                    <w:rPr>
                      <w:rFonts w:hint="eastAsia" w:cs="宋体"/>
                      <w:bCs/>
                      <w:color w:val="auto"/>
                      <w:kern w:val="0"/>
                      <w:szCs w:val="21"/>
                      <w:lang w:val="en-US" w:eastAsia="zh-CN"/>
                    </w:rPr>
                    <w:t>0.13</w:t>
                  </w:r>
                </w:p>
              </w:tc>
              <w:tc>
                <w:tcPr>
                  <w:tcW w:w="1666" w:type="pct"/>
                  <w:tcBorders>
                    <w:tl2br w:val="nil"/>
                    <w:tr2bl w:val="nil"/>
                  </w:tcBorders>
                  <w:vAlign w:val="center"/>
                </w:tcPr>
                <w:p w14:paraId="3161F1D3">
                  <w:pPr>
                    <w:adjustRightInd w:val="0"/>
                    <w:snapToGrid w:val="0"/>
                    <w:jc w:val="center"/>
                    <w:rPr>
                      <w:rFonts w:hint="default" w:eastAsia="宋体" w:cs="宋体"/>
                      <w:bCs/>
                      <w:color w:val="auto"/>
                      <w:kern w:val="0"/>
                      <w:szCs w:val="21"/>
                      <w:lang w:val="en-US" w:eastAsia="zh-CN"/>
                    </w:rPr>
                  </w:pPr>
                  <w:r>
                    <w:rPr>
                      <w:rFonts w:hint="eastAsia" w:cs="宋体"/>
                      <w:bCs/>
                      <w:color w:val="auto"/>
                      <w:kern w:val="0"/>
                      <w:szCs w:val="21"/>
                      <w:lang w:val="en-US" w:eastAsia="zh-CN"/>
                    </w:rPr>
                    <w:t>0.13</w:t>
                  </w:r>
                </w:p>
              </w:tc>
            </w:tr>
            <w:tr w14:paraId="0A3FE1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666" w:type="pct"/>
                  <w:tcBorders>
                    <w:tl2br w:val="nil"/>
                    <w:tr2bl w:val="nil"/>
                  </w:tcBorders>
                  <w:vAlign w:val="center"/>
                </w:tcPr>
                <w:p w14:paraId="7AF16A0E">
                  <w:pPr>
                    <w:adjustRightInd w:val="0"/>
                    <w:snapToGrid w:val="0"/>
                    <w:jc w:val="center"/>
                    <w:rPr>
                      <w:bCs/>
                      <w:color w:val="auto"/>
                      <w:kern w:val="0"/>
                      <w:szCs w:val="21"/>
                    </w:rPr>
                  </w:pPr>
                  <w:r>
                    <w:rPr>
                      <w:rFonts w:hint="eastAsia" w:cs="宋体"/>
                      <w:bCs/>
                      <w:color w:val="auto"/>
                      <w:kern w:val="0"/>
                      <w:szCs w:val="21"/>
                      <w:lang w:val="en-US" w:eastAsia="zh-CN"/>
                    </w:rPr>
                    <w:t>NO</w:t>
                  </w:r>
                  <w:r>
                    <w:rPr>
                      <w:rFonts w:hint="eastAsia" w:cs="宋体"/>
                      <w:bCs/>
                      <w:color w:val="auto"/>
                      <w:kern w:val="0"/>
                      <w:szCs w:val="21"/>
                      <w:vertAlign w:val="subscript"/>
                      <w:lang w:val="en-US" w:eastAsia="zh-CN"/>
                    </w:rPr>
                    <w:t>x</w:t>
                  </w:r>
                </w:p>
              </w:tc>
              <w:tc>
                <w:tcPr>
                  <w:tcW w:w="1666" w:type="pct"/>
                  <w:tcBorders>
                    <w:tl2br w:val="nil"/>
                    <w:tr2bl w:val="nil"/>
                  </w:tcBorders>
                  <w:vAlign w:val="center"/>
                </w:tcPr>
                <w:p w14:paraId="2DA2EF1B">
                  <w:pPr>
                    <w:adjustRightInd w:val="0"/>
                    <w:snapToGrid w:val="0"/>
                    <w:jc w:val="center"/>
                    <w:rPr>
                      <w:rFonts w:hint="default" w:cs="宋体"/>
                      <w:bCs/>
                      <w:color w:val="auto"/>
                      <w:kern w:val="0"/>
                      <w:szCs w:val="21"/>
                      <w:lang w:val="en-US" w:eastAsia="zh-CN"/>
                    </w:rPr>
                  </w:pPr>
                  <w:r>
                    <w:rPr>
                      <w:rFonts w:hint="eastAsia" w:cs="宋体"/>
                      <w:bCs/>
                      <w:color w:val="auto"/>
                      <w:kern w:val="0"/>
                      <w:szCs w:val="21"/>
                      <w:lang w:val="en-US" w:eastAsia="zh-CN"/>
                    </w:rPr>
                    <w:t>0.005</w:t>
                  </w:r>
                </w:p>
              </w:tc>
              <w:tc>
                <w:tcPr>
                  <w:tcW w:w="1666" w:type="pct"/>
                  <w:tcBorders>
                    <w:tl2br w:val="nil"/>
                    <w:tr2bl w:val="nil"/>
                  </w:tcBorders>
                  <w:vAlign w:val="center"/>
                </w:tcPr>
                <w:p w14:paraId="4C21CA11">
                  <w:pPr>
                    <w:adjustRightInd w:val="0"/>
                    <w:snapToGrid w:val="0"/>
                    <w:jc w:val="center"/>
                    <w:rPr>
                      <w:rFonts w:hint="default" w:cs="宋体"/>
                      <w:bCs/>
                      <w:color w:val="auto"/>
                      <w:kern w:val="0"/>
                      <w:szCs w:val="21"/>
                      <w:lang w:val="en-US" w:eastAsia="zh-CN"/>
                    </w:rPr>
                  </w:pPr>
                  <w:r>
                    <w:rPr>
                      <w:rFonts w:hint="eastAsia" w:cs="宋体"/>
                      <w:bCs/>
                      <w:color w:val="auto"/>
                      <w:kern w:val="0"/>
                      <w:szCs w:val="21"/>
                      <w:lang w:val="en-US" w:eastAsia="zh-CN"/>
                    </w:rPr>
                    <w:t>0.005</w:t>
                  </w:r>
                </w:p>
              </w:tc>
            </w:tr>
            <w:tr w14:paraId="1CC76D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666" w:type="pct"/>
                  <w:tcBorders>
                    <w:tl2br w:val="nil"/>
                    <w:tr2bl w:val="nil"/>
                  </w:tcBorders>
                  <w:vAlign w:val="center"/>
                </w:tcPr>
                <w:p w14:paraId="0A5C6F8E">
                  <w:pPr>
                    <w:adjustRightInd w:val="0"/>
                    <w:snapToGrid w:val="0"/>
                    <w:jc w:val="center"/>
                    <w:rPr>
                      <w:rFonts w:hint="default" w:cs="宋体"/>
                      <w:bCs/>
                      <w:color w:val="auto"/>
                      <w:kern w:val="0"/>
                      <w:szCs w:val="21"/>
                      <w:lang w:val="en-US" w:eastAsia="zh-CN"/>
                    </w:rPr>
                  </w:pPr>
                  <w:r>
                    <w:rPr>
                      <w:rFonts w:hint="eastAsia" w:cs="宋体"/>
                      <w:bCs/>
                      <w:color w:val="auto"/>
                      <w:kern w:val="0"/>
                      <w:szCs w:val="21"/>
                      <w:lang w:val="en-US" w:eastAsia="zh-CN"/>
                    </w:rPr>
                    <w:t>COD</w:t>
                  </w:r>
                </w:p>
              </w:tc>
              <w:tc>
                <w:tcPr>
                  <w:tcW w:w="1666" w:type="pct"/>
                  <w:tcBorders>
                    <w:tl2br w:val="nil"/>
                    <w:tr2bl w:val="nil"/>
                  </w:tcBorders>
                  <w:vAlign w:val="center"/>
                </w:tcPr>
                <w:p w14:paraId="056B5765">
                  <w:pPr>
                    <w:adjustRightInd w:val="0"/>
                    <w:snapToGrid w:val="0"/>
                    <w:jc w:val="center"/>
                    <w:rPr>
                      <w:rFonts w:hint="eastAsia" w:cs="宋体"/>
                      <w:bCs/>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0.0026</w:t>
                  </w:r>
                </w:p>
              </w:tc>
              <w:tc>
                <w:tcPr>
                  <w:tcW w:w="1666" w:type="pct"/>
                  <w:tcBorders>
                    <w:tl2br w:val="nil"/>
                    <w:tr2bl w:val="nil"/>
                  </w:tcBorders>
                  <w:shd w:val="clear" w:color="auto" w:fill="auto"/>
                  <w:vAlign w:val="center"/>
                </w:tcPr>
                <w:p w14:paraId="59E1D788">
                  <w:pPr>
                    <w:adjustRightInd w:val="0"/>
                    <w:snapToGrid w:val="0"/>
                    <w:jc w:val="center"/>
                    <w:rPr>
                      <w:rFonts w:hint="eastAsia" w:ascii="Times New Roman" w:hAnsi="Times New Roman" w:eastAsia="宋体" w:cs="宋体"/>
                      <w:bCs/>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0.0026</w:t>
                  </w:r>
                </w:p>
              </w:tc>
            </w:tr>
            <w:tr w14:paraId="5FF89D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666" w:type="pct"/>
                  <w:tcBorders>
                    <w:tl2br w:val="nil"/>
                    <w:tr2bl w:val="nil"/>
                  </w:tcBorders>
                  <w:vAlign w:val="center"/>
                </w:tcPr>
                <w:p w14:paraId="459CA15C">
                  <w:pPr>
                    <w:adjustRightInd w:val="0"/>
                    <w:snapToGrid w:val="0"/>
                    <w:jc w:val="center"/>
                    <w:rPr>
                      <w:rFonts w:hint="default" w:cs="宋体"/>
                      <w:bCs/>
                      <w:color w:val="auto"/>
                      <w:kern w:val="0"/>
                      <w:szCs w:val="21"/>
                      <w:vertAlign w:val="baseline"/>
                      <w:lang w:val="en-US" w:eastAsia="zh-CN"/>
                    </w:rPr>
                  </w:pPr>
                  <w:r>
                    <w:rPr>
                      <w:rFonts w:hint="eastAsia" w:cs="宋体"/>
                      <w:bCs/>
                      <w:color w:val="auto"/>
                      <w:kern w:val="0"/>
                      <w:szCs w:val="21"/>
                      <w:lang w:val="en-US" w:eastAsia="zh-CN"/>
                    </w:rPr>
                    <w:t>NH</w:t>
                  </w:r>
                  <w:r>
                    <w:rPr>
                      <w:rFonts w:hint="eastAsia" w:cs="宋体"/>
                      <w:bCs/>
                      <w:color w:val="auto"/>
                      <w:kern w:val="0"/>
                      <w:szCs w:val="21"/>
                      <w:vertAlign w:val="subscript"/>
                      <w:lang w:val="en-US" w:eastAsia="zh-CN"/>
                    </w:rPr>
                    <w:t>4</w:t>
                  </w:r>
                  <w:r>
                    <w:rPr>
                      <w:rFonts w:hint="eastAsia" w:cs="宋体"/>
                      <w:bCs/>
                      <w:color w:val="auto"/>
                      <w:kern w:val="0"/>
                      <w:szCs w:val="21"/>
                      <w:vertAlign w:val="baseline"/>
                      <w:lang w:val="en-US" w:eastAsia="zh-CN"/>
                    </w:rPr>
                    <w:t>-N</w:t>
                  </w:r>
                </w:p>
              </w:tc>
              <w:tc>
                <w:tcPr>
                  <w:tcW w:w="1666" w:type="pct"/>
                  <w:tcBorders>
                    <w:tl2br w:val="nil"/>
                    <w:tr2bl w:val="nil"/>
                  </w:tcBorders>
                  <w:vAlign w:val="center"/>
                </w:tcPr>
                <w:p w14:paraId="3BA4EF2E">
                  <w:pPr>
                    <w:adjustRightInd w:val="0"/>
                    <w:snapToGrid w:val="0"/>
                    <w:jc w:val="center"/>
                    <w:rPr>
                      <w:rFonts w:hint="default" w:cs="宋体"/>
                      <w:bCs/>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0.000082</w:t>
                  </w:r>
                </w:p>
              </w:tc>
              <w:tc>
                <w:tcPr>
                  <w:tcW w:w="1666" w:type="pct"/>
                  <w:tcBorders>
                    <w:tl2br w:val="nil"/>
                    <w:tr2bl w:val="nil"/>
                  </w:tcBorders>
                  <w:shd w:val="clear" w:color="auto" w:fill="auto"/>
                  <w:vAlign w:val="center"/>
                </w:tcPr>
                <w:p w14:paraId="70F0BD9F">
                  <w:pPr>
                    <w:adjustRightInd w:val="0"/>
                    <w:snapToGrid w:val="0"/>
                    <w:jc w:val="center"/>
                    <w:rPr>
                      <w:rFonts w:hint="eastAsia" w:ascii="Times New Roman" w:hAnsi="Times New Roman" w:eastAsia="宋体" w:cs="宋体"/>
                      <w:bCs/>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0.000082</w:t>
                  </w:r>
                </w:p>
              </w:tc>
            </w:tr>
          </w:tbl>
          <w:p w14:paraId="719C753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default"/>
                <w:color w:val="auto"/>
                <w:sz w:val="24"/>
                <w:szCs w:val="24"/>
                <w:highlight w:val="none"/>
                <w:lang w:val="en-US" w:eastAsia="zh-CN"/>
              </w:rPr>
            </w:pPr>
          </w:p>
        </w:tc>
      </w:tr>
    </w:tbl>
    <w:p w14:paraId="0CF6F990">
      <w:pPr>
        <w:pStyle w:val="10"/>
        <w:bidi w:val="0"/>
        <w:rPr>
          <w:color w:val="auto"/>
        </w:rPr>
      </w:pPr>
      <w:r>
        <w:rPr>
          <w:color w:val="auto"/>
        </w:rPr>
        <w:br w:type="page"/>
      </w:r>
      <w:bookmarkStart w:id="45" w:name="_Toc6595"/>
    </w:p>
    <w:p w14:paraId="7783B6EA">
      <w:pPr>
        <w:pStyle w:val="26"/>
        <w:spacing w:before="0" w:beforeAutospacing="0" w:after="0" w:afterAutospacing="0" w:line="240" w:lineRule="auto"/>
        <w:jc w:val="center"/>
        <w:outlineLvl w:val="0"/>
        <w:rPr>
          <w:rFonts w:ascii="黑体" w:hAnsi="黑体" w:eastAsia="黑体"/>
          <w:snapToGrid w:val="0"/>
          <w:color w:val="auto"/>
          <w:sz w:val="30"/>
          <w:szCs w:val="30"/>
          <w:highlight w:val="none"/>
        </w:rPr>
      </w:pPr>
      <w:bookmarkStart w:id="46" w:name="_Toc25436"/>
      <w:r>
        <w:rPr>
          <w:rStyle w:val="41"/>
          <w:rFonts w:hint="eastAsia"/>
          <w:b w:val="0"/>
          <w:bCs w:val="0"/>
          <w:color w:val="auto"/>
          <w:highlight w:val="none"/>
        </w:rPr>
        <w:t>四、主要环境影响和保护措施</w:t>
      </w:r>
      <w:bookmarkEnd w:id="45"/>
      <w:bookmarkEnd w:id="46"/>
    </w:p>
    <w:tbl>
      <w:tblPr>
        <w:tblStyle w:val="30"/>
        <w:tblW w:w="502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5"/>
        <w:gridCol w:w="8519"/>
      </w:tblGrid>
      <w:tr w14:paraId="1A92AA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7" w:type="pct"/>
            <w:noWrap w:val="0"/>
            <w:tcMar>
              <w:left w:w="28" w:type="dxa"/>
              <w:right w:w="28" w:type="dxa"/>
            </w:tcMar>
            <w:vAlign w:val="center"/>
          </w:tcPr>
          <w:p w14:paraId="5F4031AD">
            <w:pPr>
              <w:pStyle w:val="26"/>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施工</w:t>
            </w:r>
          </w:p>
          <w:p w14:paraId="1F2CE99F">
            <w:pPr>
              <w:pStyle w:val="26"/>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期环</w:t>
            </w:r>
          </w:p>
          <w:p w14:paraId="3D607722">
            <w:pPr>
              <w:pStyle w:val="26"/>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境保</w:t>
            </w:r>
          </w:p>
          <w:p w14:paraId="70D6F56B">
            <w:pPr>
              <w:pStyle w:val="26"/>
              <w:adjustRightInd w:val="0"/>
              <w:snapToGrid w:val="0"/>
              <w:spacing w:before="0" w:beforeAutospacing="0" w:after="0" w:afterAutospacing="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护措</w:t>
            </w:r>
          </w:p>
          <w:p w14:paraId="03FAEA81">
            <w:pPr>
              <w:pStyle w:val="26"/>
              <w:adjustRightInd w:val="0"/>
              <w:snapToGrid w:val="0"/>
              <w:spacing w:before="0" w:beforeAutospacing="0" w:after="0" w:afterAutospacing="0"/>
              <w:jc w:val="center"/>
              <w:rPr>
                <w:rFonts w:hint="default" w:ascii="Times New Roman" w:hAnsi="Times New Roman" w:eastAsia="宋体" w:cs="Times New Roman"/>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rPr>
              <w:t>施</w:t>
            </w:r>
          </w:p>
        </w:tc>
        <w:tc>
          <w:tcPr>
            <w:tcW w:w="4622" w:type="pct"/>
            <w:noWrap w:val="0"/>
            <w:vAlign w:val="top"/>
          </w:tcPr>
          <w:p w14:paraId="5B31CD5E">
            <w:pPr>
              <w:pStyle w:val="4"/>
              <w:keepNext/>
              <w:keepLines/>
              <w:pageBreakBefore w:val="0"/>
              <w:widowControl w:val="0"/>
              <w:kinsoku/>
              <w:wordWrap/>
              <w:overflowPunct/>
              <w:topLinePunct w:val="0"/>
              <w:autoSpaceDE/>
              <w:autoSpaceDN/>
              <w:bidi w:val="0"/>
              <w:adjustRightInd/>
              <w:snapToGrid/>
              <w:spacing w:before="157" w:beforeLines="50" w:after="0" w:line="360" w:lineRule="auto"/>
              <w:textAlignment w:val="auto"/>
              <w:rPr>
                <w:rFonts w:hint="default" w:eastAsia="宋体"/>
                <w:color w:val="auto"/>
                <w:sz w:val="24"/>
                <w:highlight w:val="none"/>
                <w:lang w:val="en-US" w:eastAsia="zh-CN"/>
              </w:rPr>
            </w:pPr>
            <w:r>
              <w:rPr>
                <w:rFonts w:hint="eastAsia"/>
                <w:color w:val="auto"/>
                <w:sz w:val="24"/>
                <w:highlight w:val="none"/>
                <w:lang w:val="en-US" w:eastAsia="zh-CN"/>
              </w:rPr>
              <w:t>1.</w:t>
            </w:r>
            <w:r>
              <w:rPr>
                <w:color w:val="auto"/>
                <w:sz w:val="24"/>
                <w:highlight w:val="none"/>
              </w:rPr>
              <w:t>施工期</w:t>
            </w:r>
            <w:r>
              <w:rPr>
                <w:rFonts w:hint="eastAsia"/>
                <w:color w:val="auto"/>
                <w:sz w:val="24"/>
                <w:highlight w:val="none"/>
                <w:lang w:val="en-US" w:eastAsia="zh-CN"/>
              </w:rPr>
              <w:t>环境影响分析</w:t>
            </w:r>
          </w:p>
          <w:p w14:paraId="478002D3">
            <w:pPr>
              <w:numPr>
                <w:ilvl w:val="0"/>
                <w:numId w:val="0"/>
              </w:numPr>
              <w:bidi w:val="0"/>
              <w:spacing w:line="360" w:lineRule="auto"/>
              <w:ind w:firstLine="480" w:firstLineChars="200"/>
              <w:rPr>
                <w:rFonts w:hint="default" w:ascii="宋体" w:hAnsi="宋体" w:cs="宋体"/>
                <w:bCs/>
                <w:color w:val="auto"/>
                <w:spacing w:val="-10"/>
                <w:kern w:val="2"/>
                <w:sz w:val="21"/>
                <w:szCs w:val="21"/>
                <w:highlight w:val="none"/>
                <w:lang w:val="en-US" w:eastAsia="zh-CN" w:bidi="ar-SA"/>
              </w:rPr>
            </w:pPr>
            <w:r>
              <w:rPr>
                <w:rFonts w:hint="default" w:ascii="Times New Roman" w:hAnsi="Times New Roman" w:eastAsia="宋体" w:cs="Times New Roman"/>
                <w:color w:val="auto"/>
                <w:sz w:val="24"/>
                <w:szCs w:val="32"/>
                <w:highlight w:val="none"/>
                <w:lang w:val="en-US" w:eastAsia="zh-CN"/>
              </w:rPr>
              <w:t>本项目</w:t>
            </w:r>
            <w:r>
              <w:rPr>
                <w:rFonts w:hint="eastAsia" w:cs="Times New Roman"/>
                <w:color w:val="auto"/>
                <w:sz w:val="24"/>
                <w:szCs w:val="32"/>
                <w:highlight w:val="none"/>
                <w:lang w:val="en-US" w:eastAsia="zh-CN"/>
              </w:rPr>
              <w:t>依托现有的</w:t>
            </w:r>
            <w:r>
              <w:rPr>
                <w:rFonts w:hint="default" w:ascii="Times New Roman" w:hAnsi="Times New Roman" w:eastAsia="宋体" w:cs="Times New Roman"/>
                <w:color w:val="auto"/>
                <w:sz w:val="24"/>
                <w:szCs w:val="32"/>
                <w:highlight w:val="none"/>
                <w:lang w:val="en-US" w:eastAsia="zh-CN"/>
              </w:rPr>
              <w:t>主体工程、辅助工程、储运工程、公用工程中排水系统和环保工程</w:t>
            </w:r>
            <w:r>
              <w:rPr>
                <w:rFonts w:hint="eastAsia" w:cs="Times New Roman"/>
                <w:color w:val="auto"/>
                <w:sz w:val="24"/>
                <w:szCs w:val="32"/>
                <w:highlight w:val="none"/>
                <w:lang w:val="en-US" w:eastAsia="zh-CN"/>
              </w:rPr>
              <w:t>等</w:t>
            </w:r>
            <w:r>
              <w:rPr>
                <w:rFonts w:hint="default" w:ascii="Times New Roman" w:hAnsi="Times New Roman" w:eastAsia="宋体" w:cs="Times New Roman"/>
                <w:color w:val="auto"/>
                <w:sz w:val="24"/>
                <w:szCs w:val="32"/>
                <w:highlight w:val="none"/>
                <w:lang w:val="en-US" w:eastAsia="zh-CN"/>
              </w:rPr>
              <w:t>均已建成并</w:t>
            </w:r>
            <w:r>
              <w:rPr>
                <w:rFonts w:hint="eastAsia" w:cs="Times New Roman"/>
                <w:color w:val="auto"/>
                <w:sz w:val="24"/>
                <w:szCs w:val="32"/>
                <w:highlight w:val="none"/>
                <w:lang w:val="en-US" w:eastAsia="zh-CN"/>
              </w:rPr>
              <w:t>经竣工环保验收后正常</w:t>
            </w:r>
            <w:r>
              <w:rPr>
                <w:rFonts w:hint="default" w:ascii="Times New Roman" w:hAnsi="Times New Roman" w:eastAsia="宋体" w:cs="Times New Roman"/>
                <w:color w:val="auto"/>
                <w:sz w:val="24"/>
                <w:szCs w:val="32"/>
                <w:highlight w:val="none"/>
                <w:lang w:val="en-US" w:eastAsia="zh-CN"/>
              </w:rPr>
              <w:t>运行。</w:t>
            </w:r>
            <w:r>
              <w:rPr>
                <w:rFonts w:hint="eastAsia"/>
                <w:color w:val="auto"/>
                <w:sz w:val="24"/>
                <w:szCs w:val="32"/>
                <w:highlight w:val="none"/>
                <w:lang w:val="en-US" w:eastAsia="zh-CN"/>
              </w:rPr>
              <w:t>本次扩建不涉及土建、安装、装修等施工，且本次扩建已完成。施工期及相应污染已结束，故本次环评不再对施工期产污环节进行分析。</w:t>
            </w:r>
          </w:p>
        </w:tc>
      </w:tr>
      <w:tr w14:paraId="137C23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7" w:type="pct"/>
            <w:noWrap w:val="0"/>
            <w:tcMar>
              <w:left w:w="28" w:type="dxa"/>
              <w:right w:w="28" w:type="dxa"/>
            </w:tcMar>
            <w:vAlign w:val="center"/>
          </w:tcPr>
          <w:p w14:paraId="1238C218">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运营</w:t>
            </w:r>
          </w:p>
          <w:p w14:paraId="50D57945">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期环</w:t>
            </w:r>
          </w:p>
          <w:p w14:paraId="127A0CDC">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境影</w:t>
            </w:r>
          </w:p>
          <w:p w14:paraId="142731B3">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响和</w:t>
            </w:r>
          </w:p>
          <w:p w14:paraId="6FE74820">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保护</w:t>
            </w:r>
          </w:p>
          <w:p w14:paraId="4A03B295">
            <w:pPr>
              <w:adjustRightInd w:val="0"/>
              <w:snapToGrid w:val="0"/>
              <w:jc w:val="center"/>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val="0"/>
                <w:color w:val="auto"/>
                <w:sz w:val="24"/>
                <w:szCs w:val="24"/>
                <w:highlight w:val="none"/>
              </w:rPr>
              <w:t>措施</w:t>
            </w:r>
          </w:p>
        </w:tc>
        <w:tc>
          <w:tcPr>
            <w:tcW w:w="4622" w:type="pct"/>
            <w:noWrap w:val="0"/>
            <w:vAlign w:val="center"/>
          </w:tcPr>
          <w:p w14:paraId="1F70E1B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b/>
                <w:color w:val="auto"/>
                <w:spacing w:val="4"/>
                <w:sz w:val="24"/>
                <w:highlight w:val="none"/>
                <w:lang w:val="en-US" w:eastAsia="zh-CN"/>
              </w:rPr>
            </w:pPr>
            <w:r>
              <w:rPr>
                <w:rFonts w:hint="eastAsia" w:cs="Times New Roman"/>
                <w:b/>
                <w:color w:val="auto"/>
                <w:spacing w:val="4"/>
                <w:sz w:val="24"/>
                <w:highlight w:val="none"/>
                <w:lang w:val="en-US" w:eastAsia="zh-CN"/>
              </w:rPr>
              <w:t>1.</w:t>
            </w:r>
            <w:r>
              <w:rPr>
                <w:rFonts w:hint="eastAsia" w:ascii="Times New Roman" w:hAnsi="Times New Roman" w:eastAsia="宋体" w:cs="Times New Roman"/>
                <w:b/>
                <w:color w:val="auto"/>
                <w:spacing w:val="4"/>
                <w:sz w:val="24"/>
                <w:highlight w:val="none"/>
                <w:lang w:val="en-US" w:eastAsia="zh-CN"/>
              </w:rPr>
              <w:t>大气环境影响分析</w:t>
            </w:r>
          </w:p>
          <w:p w14:paraId="7C967EB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b/>
                <w:color w:val="auto"/>
                <w:spacing w:val="4"/>
                <w:sz w:val="24"/>
                <w:highlight w:val="none"/>
                <w:lang w:val="en-US" w:eastAsia="zh-CN"/>
              </w:rPr>
            </w:pPr>
            <w:r>
              <w:rPr>
                <w:rFonts w:hint="eastAsia" w:ascii="Times New Roman" w:hAnsi="Times New Roman" w:eastAsia="宋体" w:cs="Times New Roman"/>
                <w:b/>
                <w:color w:val="auto"/>
                <w:spacing w:val="4"/>
                <w:sz w:val="24"/>
                <w:highlight w:val="none"/>
                <w:lang w:val="en-US" w:eastAsia="zh-CN"/>
              </w:rPr>
              <w:t>1.1</w:t>
            </w:r>
            <w:r>
              <w:rPr>
                <w:rFonts w:hint="eastAsia" w:cs="Times New Roman"/>
                <w:b/>
                <w:color w:val="auto"/>
                <w:spacing w:val="4"/>
                <w:sz w:val="24"/>
                <w:highlight w:val="none"/>
                <w:lang w:val="en-US" w:eastAsia="zh-CN"/>
              </w:rPr>
              <w:t xml:space="preserve"> </w:t>
            </w:r>
            <w:r>
              <w:rPr>
                <w:rFonts w:hint="eastAsia" w:ascii="Times New Roman" w:hAnsi="Times New Roman" w:eastAsia="宋体" w:cs="Times New Roman"/>
                <w:b/>
                <w:color w:val="auto"/>
                <w:spacing w:val="4"/>
                <w:sz w:val="24"/>
                <w:highlight w:val="none"/>
                <w:lang w:val="en-US" w:eastAsia="zh-CN"/>
              </w:rPr>
              <w:t>污染源强</w:t>
            </w:r>
            <w:r>
              <w:rPr>
                <w:rFonts w:hint="eastAsia" w:cs="Times New Roman"/>
                <w:b/>
                <w:color w:val="auto"/>
                <w:spacing w:val="4"/>
                <w:sz w:val="24"/>
                <w:highlight w:val="none"/>
                <w:lang w:val="en-US" w:eastAsia="zh-CN"/>
              </w:rPr>
              <w:t>分析</w:t>
            </w:r>
          </w:p>
          <w:p w14:paraId="584E5B49">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本项目为研发类项目，在研发阶段会使用到多种化学试剂，但用量较少，且试剂在封闭试剂瓶中，只在试剂使用时短时间打开，随后立即封闭，因此储存的试剂基本无挥发；本项目在</w:t>
            </w:r>
            <w:r>
              <w:rPr>
                <w:rFonts w:hint="eastAsia" w:cs="Times New Roman"/>
                <w:b w:val="0"/>
                <w:bCs w:val="0"/>
                <w:color w:val="auto"/>
                <w:kern w:val="2"/>
                <w:sz w:val="24"/>
                <w:szCs w:val="24"/>
                <w:highlight w:val="none"/>
                <w:lang w:val="en-US" w:eastAsia="zh-CN" w:bidi="ar-SA"/>
              </w:rPr>
              <w:t>小试实验</w:t>
            </w:r>
            <w:r>
              <w:rPr>
                <w:rFonts w:hint="eastAsia" w:ascii="Times New Roman" w:hAnsi="Times New Roman" w:eastAsia="宋体" w:cs="Times New Roman"/>
                <w:b w:val="0"/>
                <w:bCs w:val="0"/>
                <w:color w:val="auto"/>
                <w:kern w:val="2"/>
                <w:sz w:val="24"/>
                <w:szCs w:val="24"/>
                <w:highlight w:val="none"/>
                <w:lang w:val="en-US" w:eastAsia="zh-CN" w:bidi="ar-SA"/>
              </w:rPr>
              <w:t>过程、</w:t>
            </w:r>
            <w:r>
              <w:rPr>
                <w:rFonts w:hint="eastAsia" w:cs="Times New Roman"/>
                <w:b w:val="0"/>
                <w:bCs w:val="0"/>
                <w:color w:val="auto"/>
                <w:kern w:val="2"/>
                <w:sz w:val="24"/>
                <w:szCs w:val="24"/>
                <w:highlight w:val="none"/>
                <w:lang w:val="en-US" w:eastAsia="zh-CN" w:bidi="ar-SA"/>
              </w:rPr>
              <w:t>探试实验</w:t>
            </w:r>
            <w:r>
              <w:rPr>
                <w:rFonts w:hint="eastAsia" w:ascii="Times New Roman" w:hAnsi="Times New Roman" w:eastAsia="宋体" w:cs="Times New Roman"/>
                <w:b w:val="0"/>
                <w:bCs w:val="0"/>
                <w:color w:val="auto"/>
                <w:kern w:val="2"/>
                <w:sz w:val="24"/>
                <w:szCs w:val="24"/>
                <w:highlight w:val="none"/>
                <w:lang w:val="en-US" w:eastAsia="zh-CN" w:bidi="ar-SA"/>
              </w:rPr>
              <w:t>过程、分析测试过程会产生少量的有机废气</w:t>
            </w:r>
            <w:r>
              <w:rPr>
                <w:rFonts w:hint="eastAsia" w:cs="Times New Roman"/>
                <w:b w:val="0"/>
                <w:bCs w:val="0"/>
                <w:color w:val="auto"/>
                <w:kern w:val="2"/>
                <w:sz w:val="24"/>
                <w:szCs w:val="24"/>
                <w:highlight w:val="none"/>
                <w:lang w:val="en-US" w:eastAsia="zh-CN" w:bidi="ar-SA"/>
              </w:rPr>
              <w:t>和酸性废气</w:t>
            </w:r>
            <w:r>
              <w:rPr>
                <w:rFonts w:hint="eastAsia" w:ascii="Times New Roman" w:hAnsi="Times New Roman" w:eastAsia="宋体" w:cs="Times New Roman"/>
                <w:b w:val="0"/>
                <w:bCs w:val="0"/>
                <w:color w:val="auto"/>
                <w:kern w:val="2"/>
                <w:sz w:val="24"/>
                <w:szCs w:val="24"/>
                <w:highlight w:val="none"/>
                <w:lang w:val="en-US" w:eastAsia="zh-CN" w:bidi="ar-SA"/>
              </w:rPr>
              <w:t>。</w:t>
            </w:r>
          </w:p>
          <w:p w14:paraId="456E4B1A">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olor w:val="auto"/>
                <w:kern w:val="0"/>
                <w:sz w:val="24"/>
                <w:highlight w:val="none"/>
                <w:lang w:bidi="ar"/>
              </w:rPr>
            </w:pPr>
            <w:r>
              <w:rPr>
                <w:rFonts w:hint="eastAsia" w:ascii="Times New Roman" w:hAnsi="Times New Roman" w:eastAsia="宋体" w:cs="Times New Roman"/>
                <w:b w:val="0"/>
                <w:bCs w:val="0"/>
                <w:color w:val="auto"/>
                <w:kern w:val="2"/>
                <w:sz w:val="24"/>
                <w:szCs w:val="24"/>
                <w:highlight w:val="none"/>
                <w:lang w:val="en-US" w:eastAsia="zh-CN" w:bidi="ar-SA"/>
              </w:rPr>
              <w:t>项目进行研发实验时，会使用乙醇、石油醚、</w:t>
            </w:r>
            <w:r>
              <w:rPr>
                <w:rFonts w:hint="eastAsia" w:cs="Times New Roman"/>
                <w:b w:val="0"/>
                <w:bCs w:val="0"/>
                <w:color w:val="auto"/>
                <w:kern w:val="2"/>
                <w:sz w:val="24"/>
                <w:szCs w:val="24"/>
                <w:highlight w:val="none"/>
                <w:lang w:val="en-US" w:eastAsia="zh-CN" w:bidi="ar-SA"/>
              </w:rPr>
              <w:t>正己烷、乙酸乙酯、</w:t>
            </w:r>
            <w:r>
              <w:rPr>
                <w:rFonts w:hint="eastAsia" w:ascii="Times New Roman" w:hAnsi="Times New Roman" w:eastAsia="宋体" w:cs="Times New Roman"/>
                <w:b w:val="0"/>
                <w:bCs w:val="0"/>
                <w:color w:val="auto"/>
                <w:kern w:val="2"/>
                <w:sz w:val="24"/>
                <w:szCs w:val="24"/>
                <w:highlight w:val="none"/>
                <w:lang w:val="en-US" w:eastAsia="zh-CN" w:bidi="ar-SA"/>
              </w:rPr>
              <w:t>二氯甲烷</w:t>
            </w:r>
            <w:r>
              <w:rPr>
                <w:rFonts w:hint="eastAsia" w:cs="Times New Roman"/>
                <w:b w:val="0"/>
                <w:bCs w:val="0"/>
                <w:color w:val="auto"/>
                <w:kern w:val="2"/>
                <w:sz w:val="24"/>
                <w:szCs w:val="24"/>
                <w:highlight w:val="none"/>
                <w:lang w:val="en-US" w:eastAsia="zh-CN" w:bidi="ar-SA"/>
              </w:rPr>
              <w:t>、四氢呋喃、甲酸、丙二酸二甲酯、乙二醇二甲醚等</w:t>
            </w:r>
            <w:r>
              <w:rPr>
                <w:rFonts w:hint="eastAsia" w:ascii="Times New Roman" w:hAnsi="Times New Roman" w:eastAsia="宋体" w:cs="Times New Roman"/>
                <w:b w:val="0"/>
                <w:bCs w:val="0"/>
                <w:color w:val="auto"/>
                <w:kern w:val="2"/>
                <w:sz w:val="24"/>
                <w:szCs w:val="24"/>
                <w:highlight w:val="none"/>
                <w:lang w:val="en-US" w:eastAsia="zh-CN" w:bidi="ar-SA"/>
              </w:rPr>
              <w:t>具有挥发性的有机试剂，在溶解、反应、提纯过程中会产生少量挥发性有机废气（以非甲烷总烃计），</w:t>
            </w:r>
            <w:r>
              <w:rPr>
                <w:rFonts w:hint="eastAsia" w:cs="Times New Roman"/>
                <w:b w:val="0"/>
                <w:bCs w:val="0"/>
                <w:color w:val="auto"/>
                <w:kern w:val="2"/>
                <w:sz w:val="24"/>
                <w:szCs w:val="24"/>
                <w:highlight w:val="none"/>
                <w:lang w:val="en-US" w:eastAsia="zh-CN" w:bidi="ar-SA"/>
              </w:rPr>
              <w:t>本次扩建项目</w:t>
            </w:r>
            <w:r>
              <w:rPr>
                <w:rFonts w:hint="eastAsia" w:ascii="Times New Roman" w:hAnsi="Times New Roman" w:eastAsia="宋体" w:cs="Times New Roman"/>
                <w:b w:val="0"/>
                <w:bCs w:val="0"/>
                <w:color w:val="auto"/>
                <w:kern w:val="2"/>
                <w:sz w:val="24"/>
                <w:szCs w:val="24"/>
                <w:highlight w:val="none"/>
                <w:lang w:val="en-US" w:eastAsia="zh-CN" w:bidi="ar-SA"/>
              </w:rPr>
              <w:t>实验过程中</w:t>
            </w:r>
            <w:r>
              <w:rPr>
                <w:rFonts w:hint="eastAsia" w:cs="Times New Roman"/>
                <w:b w:val="0"/>
                <w:bCs w:val="0"/>
                <w:color w:val="auto"/>
                <w:kern w:val="2"/>
                <w:sz w:val="24"/>
                <w:szCs w:val="24"/>
                <w:highlight w:val="none"/>
                <w:lang w:val="en-US" w:eastAsia="zh-CN" w:bidi="ar-SA"/>
              </w:rPr>
              <w:t>新增</w:t>
            </w:r>
            <w:r>
              <w:rPr>
                <w:rFonts w:hint="eastAsia" w:ascii="Times New Roman" w:hAnsi="Times New Roman" w:eastAsia="宋体" w:cs="Times New Roman"/>
                <w:b w:val="0"/>
                <w:bCs w:val="0"/>
                <w:color w:val="auto"/>
                <w:kern w:val="2"/>
                <w:sz w:val="24"/>
                <w:szCs w:val="24"/>
                <w:highlight w:val="none"/>
                <w:lang w:val="en-US" w:eastAsia="zh-CN" w:bidi="ar-SA"/>
              </w:rPr>
              <w:t>盐酸、硝酸</w:t>
            </w:r>
            <w:r>
              <w:rPr>
                <w:rFonts w:hint="eastAsia" w:cs="Times New Roman"/>
                <w:b w:val="0"/>
                <w:bCs w:val="0"/>
                <w:color w:val="auto"/>
                <w:kern w:val="2"/>
                <w:sz w:val="24"/>
                <w:szCs w:val="24"/>
                <w:highlight w:val="none"/>
                <w:lang w:val="en-US" w:eastAsia="zh-CN" w:bidi="ar-SA"/>
              </w:rPr>
              <w:t>的</w:t>
            </w:r>
            <w:r>
              <w:rPr>
                <w:rFonts w:hint="eastAsia" w:ascii="Times New Roman" w:hAnsi="Times New Roman" w:eastAsia="宋体" w:cs="Times New Roman"/>
                <w:b w:val="0"/>
                <w:bCs w:val="0"/>
                <w:color w:val="auto"/>
                <w:kern w:val="2"/>
                <w:sz w:val="24"/>
                <w:szCs w:val="24"/>
                <w:highlight w:val="none"/>
                <w:lang w:val="en-US" w:eastAsia="zh-CN" w:bidi="ar-SA"/>
              </w:rPr>
              <w:t>使用，会产生少量酸</w:t>
            </w:r>
            <w:r>
              <w:rPr>
                <w:rFonts w:hint="eastAsia" w:cs="Times New Roman"/>
                <w:b w:val="0"/>
                <w:bCs w:val="0"/>
                <w:color w:val="auto"/>
                <w:kern w:val="2"/>
                <w:sz w:val="24"/>
                <w:szCs w:val="24"/>
                <w:highlight w:val="none"/>
                <w:lang w:val="en-US" w:eastAsia="zh-CN" w:bidi="ar-SA"/>
              </w:rPr>
              <w:t>性废气</w:t>
            </w:r>
            <w:r>
              <w:rPr>
                <w:rFonts w:hint="eastAsia" w:ascii="Times New Roman" w:hAnsi="Times New Roman" w:eastAsia="宋体" w:cs="Times New Roman"/>
                <w:b w:val="0"/>
                <w:bCs w:val="0"/>
                <w:color w:val="auto"/>
                <w:kern w:val="2"/>
                <w:sz w:val="24"/>
                <w:szCs w:val="24"/>
                <w:highlight w:val="none"/>
                <w:lang w:val="en-US" w:eastAsia="zh-CN" w:bidi="ar-SA"/>
              </w:rPr>
              <w:t>（以HCl和氮氧化物计）。</w:t>
            </w:r>
          </w:p>
          <w:p w14:paraId="6B98E08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360" w:lineRule="auto"/>
              <w:ind w:left="0" w:leftChars="0" w:firstLine="421" w:firstLineChars="169"/>
              <w:jc w:val="left"/>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color w:val="auto"/>
                <w:spacing w:val="4"/>
                <w:sz w:val="24"/>
                <w:highlight w:val="none"/>
                <w:lang w:val="en-US" w:eastAsia="zh-CN"/>
              </w:rPr>
              <w:t>（1）有机废气</w:t>
            </w:r>
          </w:p>
          <w:p w14:paraId="5FEF533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由于项目已建成，本次有机废气污染物源强核算数据引用建设单位2024年12月31日例行监测报告（附件8）。引用监测报告数据如表4-1所示：</w:t>
            </w:r>
          </w:p>
          <w:p w14:paraId="12A80DD5">
            <w:pPr>
              <w:pStyle w:val="3"/>
              <w:rPr>
                <w:rFonts w:hint="default"/>
                <w:b/>
                <w:bCs/>
                <w:color w:val="auto"/>
                <w:lang w:val="en-US" w:eastAsia="zh-CN"/>
              </w:rPr>
            </w:pPr>
            <w:r>
              <w:rPr>
                <w:rFonts w:hint="eastAsia" w:cs="Times New Roman"/>
                <w:b w:val="0"/>
                <w:bCs w:val="0"/>
                <w:color w:val="auto"/>
                <w:kern w:val="2"/>
                <w:sz w:val="24"/>
                <w:szCs w:val="24"/>
                <w:highlight w:val="none"/>
                <w:lang w:val="en-US" w:eastAsia="zh-CN" w:bidi="ar-SA"/>
              </w:rPr>
              <w:t xml:space="preserve">                </w:t>
            </w:r>
            <w:r>
              <w:rPr>
                <w:rFonts w:hint="eastAsia" w:cs="Times New Roman"/>
                <w:b/>
                <w:bCs/>
                <w:color w:val="auto"/>
                <w:kern w:val="2"/>
                <w:sz w:val="24"/>
                <w:szCs w:val="24"/>
                <w:highlight w:val="none"/>
                <w:lang w:val="en-US" w:eastAsia="zh-CN" w:bidi="ar-SA"/>
              </w:rPr>
              <w:t>表4-1 项目全厂非甲烷总烃有组织监测数据一览表</w:t>
            </w:r>
          </w:p>
          <w:tbl>
            <w:tblPr>
              <w:tblStyle w:val="30"/>
              <w:tblW w:w="775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02"/>
              <w:gridCol w:w="1010"/>
              <w:gridCol w:w="750"/>
              <w:gridCol w:w="2346"/>
              <w:gridCol w:w="1163"/>
              <w:gridCol w:w="934"/>
              <w:gridCol w:w="753"/>
            </w:tblGrid>
            <w:tr w14:paraId="6B9FEC6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50" w:hRule="atLeast"/>
                <w:jc w:val="center"/>
              </w:trPr>
              <w:tc>
                <w:tcPr>
                  <w:tcW w:w="1651" w:type="pct"/>
                  <w:gridSpan w:val="3"/>
                  <w:tcBorders>
                    <w:tl2br w:val="nil"/>
                    <w:tr2bl w:val="nil"/>
                  </w:tcBorders>
                  <w:shd w:val="clear" w:color="auto" w:fill="auto"/>
                  <w:vAlign w:val="center"/>
                </w:tcPr>
                <w:p w14:paraId="5B078F0A">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污染物种类</w:t>
                  </w:r>
                </w:p>
              </w:tc>
              <w:tc>
                <w:tcPr>
                  <w:tcW w:w="1511" w:type="pct"/>
                  <w:tcBorders>
                    <w:tl2br w:val="nil"/>
                    <w:tr2bl w:val="nil"/>
                  </w:tcBorders>
                  <w:shd w:val="clear" w:color="auto" w:fill="auto"/>
                  <w:vAlign w:val="center"/>
                </w:tcPr>
                <w:p w14:paraId="522C3EE2">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排放情况</w:t>
                  </w:r>
                </w:p>
              </w:tc>
              <w:tc>
                <w:tcPr>
                  <w:tcW w:w="749" w:type="pct"/>
                  <w:tcBorders>
                    <w:tl2br w:val="nil"/>
                    <w:tr2bl w:val="nil"/>
                  </w:tcBorders>
                  <w:shd w:val="clear" w:color="auto" w:fill="auto"/>
                  <w:vAlign w:val="center"/>
                </w:tcPr>
                <w:p w14:paraId="635DAC53">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标准限值</w:t>
                  </w:r>
                </w:p>
                <w:p w14:paraId="763C50E4">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p>
              </w:tc>
              <w:tc>
                <w:tcPr>
                  <w:tcW w:w="601" w:type="pct"/>
                  <w:tcBorders>
                    <w:tl2br w:val="nil"/>
                    <w:tr2bl w:val="nil"/>
                  </w:tcBorders>
                  <w:shd w:val="clear" w:color="auto" w:fill="auto"/>
                  <w:vAlign w:val="center"/>
                </w:tcPr>
                <w:p w14:paraId="77B43727">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执行标准</w:t>
                  </w:r>
                </w:p>
              </w:tc>
              <w:tc>
                <w:tcPr>
                  <w:tcW w:w="485" w:type="pct"/>
                  <w:tcBorders>
                    <w:tl2br w:val="nil"/>
                    <w:tr2bl w:val="nil"/>
                  </w:tcBorders>
                  <w:shd w:val="clear" w:color="auto" w:fill="auto"/>
                  <w:vAlign w:val="center"/>
                </w:tcPr>
                <w:p w14:paraId="6735282C">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达标</w:t>
                  </w:r>
                </w:p>
                <w:p w14:paraId="7D7FD840">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情况</w:t>
                  </w:r>
                </w:p>
              </w:tc>
            </w:tr>
            <w:tr w14:paraId="08D478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8" w:hRule="atLeast"/>
                <w:jc w:val="center"/>
              </w:trPr>
              <w:tc>
                <w:tcPr>
                  <w:tcW w:w="516" w:type="pct"/>
                  <w:vMerge w:val="restart"/>
                  <w:tcBorders>
                    <w:tl2br w:val="nil"/>
                    <w:tr2bl w:val="nil"/>
                  </w:tcBorders>
                  <w:shd w:val="clear" w:color="auto" w:fill="auto"/>
                  <w:vAlign w:val="center"/>
                </w:tcPr>
                <w:p w14:paraId="5E0DFC5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DA001</w:t>
                  </w:r>
                  <w:r>
                    <w:rPr>
                      <w:rFonts w:hint="eastAsia" w:ascii="宋体" w:hAnsi="宋体" w:eastAsia="宋体" w:cs="宋体"/>
                      <w:i w:val="0"/>
                      <w:iCs w:val="0"/>
                      <w:color w:val="auto"/>
                      <w:kern w:val="0"/>
                      <w:sz w:val="22"/>
                      <w:szCs w:val="22"/>
                      <w:u w:val="none"/>
                      <w:lang w:val="en-US" w:eastAsia="zh-CN" w:bidi="ar"/>
                    </w:rPr>
                    <w:t>（小试实验室）排气筒</w:t>
                  </w:r>
                </w:p>
              </w:tc>
              <w:tc>
                <w:tcPr>
                  <w:tcW w:w="650" w:type="pct"/>
                  <w:tcBorders>
                    <w:tl2br w:val="nil"/>
                    <w:tr2bl w:val="nil"/>
                  </w:tcBorders>
                  <w:shd w:val="clear" w:color="auto" w:fill="auto"/>
                  <w:noWrap/>
                  <w:vAlign w:val="center"/>
                </w:tcPr>
                <w:p w14:paraId="702EA16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DA001-1</w:t>
                  </w:r>
                  <w:r>
                    <w:rPr>
                      <w:rFonts w:hint="eastAsia" w:ascii="宋体" w:hAnsi="宋体" w:eastAsia="宋体" w:cs="宋体"/>
                      <w:i w:val="0"/>
                      <w:iCs w:val="0"/>
                      <w:color w:val="auto"/>
                      <w:kern w:val="0"/>
                      <w:sz w:val="22"/>
                      <w:szCs w:val="22"/>
                      <w:u w:val="none"/>
                      <w:lang w:val="en-US" w:eastAsia="zh-CN" w:bidi="ar"/>
                    </w:rPr>
                    <w:t>进口</w:t>
                  </w:r>
                </w:p>
              </w:tc>
              <w:tc>
                <w:tcPr>
                  <w:tcW w:w="483" w:type="pct"/>
                  <w:vMerge w:val="restart"/>
                  <w:tcBorders>
                    <w:tl2br w:val="nil"/>
                    <w:tr2bl w:val="nil"/>
                  </w:tcBorders>
                  <w:shd w:val="clear" w:color="auto" w:fill="auto"/>
                  <w:vAlign w:val="center"/>
                </w:tcPr>
                <w:p w14:paraId="61562F5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非甲烷总烃</w:t>
                  </w:r>
                </w:p>
              </w:tc>
              <w:tc>
                <w:tcPr>
                  <w:tcW w:w="1511" w:type="pct"/>
                  <w:tcBorders>
                    <w:tl2br w:val="nil"/>
                    <w:tr2bl w:val="nil"/>
                  </w:tcBorders>
                  <w:shd w:val="clear" w:color="auto" w:fill="auto"/>
                  <w:vAlign w:val="center"/>
                </w:tcPr>
                <w:p w14:paraId="11946C26">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进口浓度：</w:t>
                  </w:r>
                  <w:r>
                    <w:rPr>
                      <w:rFonts w:hint="eastAsia" w:ascii="Times New Roman" w:hAnsi="Times New Roman" w:eastAsia="宋体" w:cs="Times New Roman"/>
                      <w:i w:val="0"/>
                      <w:iCs w:val="0"/>
                      <w:color w:val="auto"/>
                      <w:kern w:val="0"/>
                      <w:sz w:val="22"/>
                      <w:szCs w:val="22"/>
                      <w:u w:val="none"/>
                      <w:lang w:val="en-US" w:eastAsia="zh-CN" w:bidi="ar"/>
                    </w:rPr>
                    <w:t>12.4</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vertAlign w:val="superscript"/>
                      <w:lang w:val="en-US" w:eastAsia="zh-CN" w:bidi="ar"/>
                    </w:rPr>
                    <w:br w:type="textWrapping"/>
                  </w:r>
                  <w:r>
                    <w:rPr>
                      <w:rFonts w:hint="eastAsia" w:ascii="Times New Roman" w:hAnsi="Times New Roman" w:eastAsia="宋体" w:cs="Times New Roman"/>
                      <w:i w:val="0"/>
                      <w:iCs w:val="0"/>
                      <w:color w:val="auto"/>
                      <w:kern w:val="0"/>
                      <w:sz w:val="22"/>
                      <w:szCs w:val="22"/>
                      <w:u w:val="none"/>
                      <w:vertAlign w:val="baseline"/>
                      <w:lang w:val="en-US" w:eastAsia="zh-CN" w:bidi="ar"/>
                    </w:rPr>
                    <w:t>排放</w:t>
                  </w:r>
                  <w:r>
                    <w:rPr>
                      <w:rFonts w:hint="eastAsia" w:ascii="宋体" w:hAnsi="宋体" w:eastAsia="宋体" w:cs="宋体"/>
                      <w:i w:val="0"/>
                      <w:iCs w:val="0"/>
                      <w:color w:val="auto"/>
                      <w:kern w:val="0"/>
                      <w:sz w:val="22"/>
                      <w:szCs w:val="22"/>
                      <w:u w:val="none"/>
                      <w:lang w:val="en-US" w:eastAsia="zh-CN" w:bidi="ar"/>
                    </w:rPr>
                    <w:t>速率：</w:t>
                  </w:r>
                  <w:r>
                    <w:rPr>
                      <w:rFonts w:hint="eastAsia" w:ascii="Times New Roman" w:hAnsi="Times New Roman" w:eastAsia="宋体" w:cs="Times New Roman"/>
                      <w:i w:val="0"/>
                      <w:iCs w:val="0"/>
                      <w:color w:val="auto"/>
                      <w:kern w:val="0"/>
                      <w:sz w:val="22"/>
                      <w:szCs w:val="22"/>
                      <w:u w:val="none"/>
                      <w:lang w:val="en-US" w:eastAsia="zh-CN" w:bidi="ar"/>
                    </w:rPr>
                    <w:t>0.14</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1FDEFCE2">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c>
                <w:tcPr>
                  <w:tcW w:w="601" w:type="pct"/>
                  <w:vMerge w:val="restart"/>
                  <w:tcBorders>
                    <w:tl2br w:val="nil"/>
                    <w:tr2bl w:val="nil"/>
                  </w:tcBorders>
                  <w:shd w:val="clear" w:color="auto" w:fill="auto"/>
                  <w:vAlign w:val="center"/>
                </w:tcPr>
                <w:p w14:paraId="3894E0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制药工业大气污染物排放标准》（GB 37823-2019）表2中大气污染排放物限值</w:t>
                  </w:r>
                </w:p>
              </w:tc>
              <w:tc>
                <w:tcPr>
                  <w:tcW w:w="485" w:type="pct"/>
                  <w:tcBorders>
                    <w:tl2br w:val="nil"/>
                    <w:tr2bl w:val="nil"/>
                  </w:tcBorders>
                  <w:shd w:val="clear" w:color="auto" w:fill="auto"/>
                  <w:noWrap/>
                  <w:vAlign w:val="center"/>
                </w:tcPr>
                <w:p w14:paraId="760E5119">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r>
            <w:tr w14:paraId="50C8E7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1" w:hRule="atLeast"/>
                <w:jc w:val="center"/>
              </w:trPr>
              <w:tc>
                <w:tcPr>
                  <w:tcW w:w="516" w:type="pct"/>
                  <w:vMerge w:val="continue"/>
                  <w:tcBorders>
                    <w:tl2br w:val="nil"/>
                    <w:tr2bl w:val="nil"/>
                  </w:tcBorders>
                  <w:shd w:val="clear" w:color="auto" w:fill="auto"/>
                  <w:vAlign w:val="center"/>
                </w:tcPr>
                <w:p w14:paraId="60AD85A2">
                  <w:pPr>
                    <w:jc w:val="center"/>
                    <w:rPr>
                      <w:rFonts w:hint="default" w:ascii="Times New Roman" w:hAnsi="Times New Roman" w:eastAsia="宋体" w:cs="Times New Roman"/>
                      <w:i w:val="0"/>
                      <w:iCs w:val="0"/>
                      <w:color w:val="auto"/>
                      <w:sz w:val="22"/>
                      <w:szCs w:val="22"/>
                      <w:u w:val="none"/>
                    </w:rPr>
                  </w:pPr>
                </w:p>
              </w:tc>
              <w:tc>
                <w:tcPr>
                  <w:tcW w:w="650" w:type="pct"/>
                  <w:tcBorders>
                    <w:tl2br w:val="nil"/>
                    <w:tr2bl w:val="nil"/>
                  </w:tcBorders>
                  <w:shd w:val="clear" w:color="auto" w:fill="auto"/>
                  <w:noWrap/>
                  <w:vAlign w:val="center"/>
                </w:tcPr>
                <w:p w14:paraId="55440A8C">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DA001-2</w:t>
                  </w:r>
                  <w:r>
                    <w:rPr>
                      <w:rFonts w:hint="eastAsia" w:ascii="宋体" w:hAnsi="宋体" w:eastAsia="宋体" w:cs="宋体"/>
                      <w:i w:val="0"/>
                      <w:iCs w:val="0"/>
                      <w:color w:val="auto"/>
                      <w:kern w:val="0"/>
                      <w:sz w:val="22"/>
                      <w:szCs w:val="22"/>
                      <w:u w:val="none"/>
                      <w:lang w:val="en-US" w:eastAsia="zh-CN" w:bidi="ar"/>
                    </w:rPr>
                    <w:t>进口</w:t>
                  </w:r>
                </w:p>
              </w:tc>
              <w:tc>
                <w:tcPr>
                  <w:tcW w:w="483" w:type="pct"/>
                  <w:vMerge w:val="continue"/>
                  <w:tcBorders>
                    <w:tl2br w:val="nil"/>
                    <w:tr2bl w:val="nil"/>
                  </w:tcBorders>
                  <w:shd w:val="clear" w:color="auto" w:fill="auto"/>
                  <w:vAlign w:val="center"/>
                </w:tcPr>
                <w:p w14:paraId="0272E9D5">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1733F704">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进口浓度为</w:t>
                  </w:r>
                  <w:r>
                    <w:rPr>
                      <w:rFonts w:hint="eastAsia" w:ascii="Times New Roman" w:hAnsi="Times New Roman" w:eastAsia="宋体" w:cs="Times New Roman"/>
                      <w:i w:val="0"/>
                      <w:iCs w:val="0"/>
                      <w:color w:val="auto"/>
                      <w:kern w:val="0"/>
                      <w:sz w:val="22"/>
                      <w:szCs w:val="22"/>
                      <w:u w:val="none"/>
                      <w:lang w:val="en-US" w:eastAsia="zh-CN" w:bidi="ar"/>
                    </w:rPr>
                    <w:t>8.73</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vertAlign w:val="superscript"/>
                      <w:lang w:val="en-US" w:eastAsia="zh-CN" w:bidi="ar"/>
                    </w:rPr>
                    <w:br w:type="textWrapping"/>
                  </w:r>
                  <w:r>
                    <w:rPr>
                      <w:rFonts w:hint="eastAsia" w:ascii="Times New Roman" w:hAnsi="Times New Roman" w:eastAsia="宋体" w:cs="Times New Roman"/>
                      <w:i w:val="0"/>
                      <w:iCs w:val="0"/>
                      <w:color w:val="auto"/>
                      <w:kern w:val="0"/>
                      <w:sz w:val="22"/>
                      <w:szCs w:val="22"/>
                      <w:u w:val="none"/>
                      <w:vertAlign w:val="baseline"/>
                      <w:lang w:val="en-US" w:eastAsia="zh-CN" w:bidi="ar"/>
                    </w:rPr>
                    <w:t>排放</w:t>
                  </w:r>
                  <w:r>
                    <w:rPr>
                      <w:rFonts w:hint="eastAsia" w:ascii="宋体" w:hAnsi="宋体" w:eastAsia="宋体" w:cs="宋体"/>
                      <w:i w:val="0"/>
                      <w:iCs w:val="0"/>
                      <w:color w:val="auto"/>
                      <w:kern w:val="0"/>
                      <w:sz w:val="22"/>
                      <w:szCs w:val="22"/>
                      <w:u w:val="none"/>
                      <w:lang w:val="en-US" w:eastAsia="zh-CN" w:bidi="ar"/>
                    </w:rPr>
                    <w:t>速率</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eastAsia="宋体" w:cs="Times New Roman"/>
                      <w:i w:val="0"/>
                      <w:iCs w:val="0"/>
                      <w:color w:val="auto"/>
                      <w:kern w:val="0"/>
                      <w:sz w:val="22"/>
                      <w:szCs w:val="22"/>
                      <w:u w:val="none"/>
                      <w:lang w:val="en-US" w:eastAsia="zh-CN" w:bidi="ar"/>
                    </w:rPr>
                    <w:t>0.0497</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678FC89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c>
                <w:tcPr>
                  <w:tcW w:w="601" w:type="pct"/>
                  <w:vMerge w:val="continue"/>
                  <w:tcBorders>
                    <w:tl2br w:val="nil"/>
                    <w:tr2bl w:val="nil"/>
                  </w:tcBorders>
                  <w:shd w:val="clear" w:color="auto" w:fill="auto"/>
                  <w:vAlign w:val="center"/>
                </w:tcPr>
                <w:p w14:paraId="47CED704">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506D90A2">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r>
            <w:tr w14:paraId="36D803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29" w:hRule="atLeast"/>
                <w:jc w:val="center"/>
              </w:trPr>
              <w:tc>
                <w:tcPr>
                  <w:tcW w:w="516" w:type="pct"/>
                  <w:vMerge w:val="continue"/>
                  <w:tcBorders>
                    <w:tl2br w:val="nil"/>
                    <w:tr2bl w:val="nil"/>
                  </w:tcBorders>
                  <w:shd w:val="clear" w:color="auto" w:fill="auto"/>
                  <w:vAlign w:val="center"/>
                </w:tcPr>
                <w:p w14:paraId="4956B660">
                  <w:pPr>
                    <w:jc w:val="center"/>
                    <w:rPr>
                      <w:rFonts w:hint="default" w:ascii="Times New Roman" w:hAnsi="Times New Roman" w:eastAsia="宋体" w:cs="Times New Roman"/>
                      <w:i w:val="0"/>
                      <w:iCs w:val="0"/>
                      <w:color w:val="auto"/>
                      <w:sz w:val="22"/>
                      <w:szCs w:val="22"/>
                      <w:u w:val="none"/>
                    </w:rPr>
                  </w:pPr>
                </w:p>
              </w:tc>
              <w:tc>
                <w:tcPr>
                  <w:tcW w:w="650" w:type="pct"/>
                  <w:tcBorders>
                    <w:tl2br w:val="nil"/>
                    <w:tr2bl w:val="nil"/>
                  </w:tcBorders>
                  <w:shd w:val="clear" w:color="auto" w:fill="auto"/>
                  <w:noWrap/>
                  <w:vAlign w:val="center"/>
                </w:tcPr>
                <w:p w14:paraId="64770C5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DA001-</w:t>
                  </w:r>
                  <w:r>
                    <w:rPr>
                      <w:rFonts w:hint="eastAsia" w:ascii="宋体" w:hAnsi="宋体" w:eastAsia="宋体" w:cs="宋体"/>
                      <w:i w:val="0"/>
                      <w:iCs w:val="0"/>
                      <w:color w:val="auto"/>
                      <w:kern w:val="0"/>
                      <w:sz w:val="22"/>
                      <w:szCs w:val="22"/>
                      <w:u w:val="none"/>
                      <w:lang w:val="en-US" w:eastAsia="zh-CN" w:bidi="ar"/>
                    </w:rPr>
                    <w:t>总出口</w:t>
                  </w:r>
                </w:p>
              </w:tc>
              <w:tc>
                <w:tcPr>
                  <w:tcW w:w="483" w:type="pct"/>
                  <w:vMerge w:val="continue"/>
                  <w:tcBorders>
                    <w:tl2br w:val="nil"/>
                    <w:tr2bl w:val="nil"/>
                  </w:tcBorders>
                  <w:shd w:val="clear" w:color="auto" w:fill="auto"/>
                  <w:vAlign w:val="center"/>
                </w:tcPr>
                <w:p w14:paraId="0945430E">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1F348F99">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排放浓度：</w:t>
                  </w:r>
                  <w:r>
                    <w:rPr>
                      <w:rFonts w:hint="eastAsia" w:ascii="Times New Roman" w:hAnsi="Times New Roman" w:eastAsia="宋体" w:cs="Times New Roman"/>
                      <w:i w:val="0"/>
                      <w:iCs w:val="0"/>
                      <w:color w:val="auto"/>
                      <w:kern w:val="0"/>
                      <w:sz w:val="22"/>
                      <w:szCs w:val="22"/>
                      <w:u w:val="none"/>
                      <w:lang w:val="en-US" w:eastAsia="zh-CN" w:bidi="ar"/>
                    </w:rPr>
                    <w:t>6.01</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排放速率：</w:t>
                  </w:r>
                  <w:r>
                    <w:rPr>
                      <w:rFonts w:hint="eastAsia" w:ascii="Times New Roman" w:hAnsi="Times New Roman" w:eastAsia="宋体" w:cs="Times New Roman"/>
                      <w:i w:val="0"/>
                      <w:iCs w:val="0"/>
                      <w:color w:val="auto"/>
                      <w:kern w:val="0"/>
                      <w:sz w:val="22"/>
                      <w:szCs w:val="22"/>
                      <w:u w:val="none"/>
                      <w:lang w:val="en-US" w:eastAsia="zh-CN" w:bidi="ar"/>
                    </w:rPr>
                    <w:t>0.106</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0A67EF7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60</w:t>
                  </w:r>
                </w:p>
              </w:tc>
              <w:tc>
                <w:tcPr>
                  <w:tcW w:w="601" w:type="pct"/>
                  <w:vMerge w:val="continue"/>
                  <w:tcBorders>
                    <w:tl2br w:val="nil"/>
                    <w:tr2bl w:val="nil"/>
                  </w:tcBorders>
                  <w:shd w:val="clear" w:color="auto" w:fill="auto"/>
                  <w:vAlign w:val="center"/>
                </w:tcPr>
                <w:p w14:paraId="7B6C2FA4">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792EFEE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达标</w:t>
                  </w:r>
                </w:p>
              </w:tc>
            </w:tr>
            <w:tr w14:paraId="5AA213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516" w:type="pct"/>
                  <w:vMerge w:val="restart"/>
                  <w:tcBorders>
                    <w:tl2br w:val="nil"/>
                    <w:tr2bl w:val="nil"/>
                  </w:tcBorders>
                  <w:shd w:val="clear" w:color="auto" w:fill="auto"/>
                  <w:vAlign w:val="center"/>
                </w:tcPr>
                <w:p w14:paraId="34FEC232">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DA002</w:t>
                  </w:r>
                  <w:r>
                    <w:rPr>
                      <w:rFonts w:hint="eastAsia" w:ascii="宋体" w:hAnsi="宋体" w:eastAsia="宋体" w:cs="宋体"/>
                      <w:i w:val="0"/>
                      <w:iCs w:val="0"/>
                      <w:color w:val="auto"/>
                      <w:kern w:val="0"/>
                      <w:sz w:val="22"/>
                      <w:szCs w:val="22"/>
                      <w:u w:val="none"/>
                      <w:lang w:val="en-US" w:eastAsia="zh-CN" w:bidi="ar"/>
                    </w:rPr>
                    <w:t>（探试实验室）排气筒</w:t>
                  </w:r>
                </w:p>
              </w:tc>
              <w:tc>
                <w:tcPr>
                  <w:tcW w:w="650" w:type="pct"/>
                  <w:tcBorders>
                    <w:tl2br w:val="nil"/>
                    <w:tr2bl w:val="nil"/>
                  </w:tcBorders>
                  <w:shd w:val="clear" w:color="auto" w:fill="auto"/>
                  <w:noWrap/>
                  <w:vAlign w:val="center"/>
                </w:tcPr>
                <w:p w14:paraId="5FFB468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DA002-1</w:t>
                  </w:r>
                  <w:r>
                    <w:rPr>
                      <w:rFonts w:hint="eastAsia" w:ascii="宋体" w:hAnsi="宋体" w:eastAsia="宋体" w:cs="宋体"/>
                      <w:i w:val="0"/>
                      <w:iCs w:val="0"/>
                      <w:color w:val="auto"/>
                      <w:kern w:val="0"/>
                      <w:sz w:val="22"/>
                      <w:szCs w:val="22"/>
                      <w:u w:val="none"/>
                      <w:lang w:val="en-US" w:eastAsia="zh-CN" w:bidi="ar"/>
                    </w:rPr>
                    <w:t>进口</w:t>
                  </w:r>
                </w:p>
              </w:tc>
              <w:tc>
                <w:tcPr>
                  <w:tcW w:w="483" w:type="pct"/>
                  <w:vMerge w:val="continue"/>
                  <w:tcBorders>
                    <w:tl2br w:val="nil"/>
                    <w:tr2bl w:val="nil"/>
                  </w:tcBorders>
                  <w:shd w:val="clear" w:color="auto" w:fill="auto"/>
                  <w:vAlign w:val="center"/>
                </w:tcPr>
                <w:p w14:paraId="4D087652">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43647C27">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进口浓度：</w:t>
                  </w:r>
                  <w:r>
                    <w:rPr>
                      <w:rFonts w:hint="eastAsia" w:ascii="Times New Roman" w:hAnsi="Times New Roman" w:eastAsia="宋体" w:cs="Times New Roman"/>
                      <w:i w:val="0"/>
                      <w:iCs w:val="0"/>
                      <w:color w:val="auto"/>
                      <w:kern w:val="0"/>
                      <w:sz w:val="22"/>
                      <w:szCs w:val="22"/>
                      <w:u w:val="none"/>
                      <w:lang w:val="en-US" w:eastAsia="zh-CN" w:bidi="ar"/>
                    </w:rPr>
                    <w:t>10.1</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vertAlign w:val="superscript"/>
                      <w:lang w:val="en-US" w:eastAsia="zh-CN" w:bidi="ar"/>
                    </w:rPr>
                    <w:br w:type="textWrapping"/>
                  </w:r>
                  <w:r>
                    <w:rPr>
                      <w:rFonts w:hint="eastAsia" w:ascii="Times New Roman" w:hAnsi="Times New Roman" w:eastAsia="宋体" w:cs="Times New Roman"/>
                      <w:i w:val="0"/>
                      <w:iCs w:val="0"/>
                      <w:color w:val="auto"/>
                      <w:kern w:val="0"/>
                      <w:sz w:val="22"/>
                      <w:szCs w:val="22"/>
                      <w:u w:val="none"/>
                      <w:vertAlign w:val="baseline"/>
                      <w:lang w:val="en-US" w:eastAsia="zh-CN" w:bidi="ar"/>
                    </w:rPr>
                    <w:t>排放</w:t>
                  </w:r>
                  <w:r>
                    <w:rPr>
                      <w:rFonts w:hint="eastAsia" w:ascii="宋体" w:hAnsi="宋体" w:eastAsia="宋体" w:cs="宋体"/>
                      <w:i w:val="0"/>
                      <w:iCs w:val="0"/>
                      <w:color w:val="auto"/>
                      <w:kern w:val="0"/>
                      <w:sz w:val="22"/>
                      <w:szCs w:val="22"/>
                      <w:u w:val="none"/>
                      <w:lang w:val="en-US" w:eastAsia="zh-CN" w:bidi="ar"/>
                    </w:rPr>
                    <w:t>速率：</w:t>
                  </w:r>
                  <w:r>
                    <w:rPr>
                      <w:rFonts w:hint="eastAsia" w:ascii="Times New Roman" w:hAnsi="Times New Roman" w:eastAsia="宋体" w:cs="Times New Roman"/>
                      <w:i w:val="0"/>
                      <w:iCs w:val="0"/>
                      <w:color w:val="auto"/>
                      <w:kern w:val="0"/>
                      <w:sz w:val="22"/>
                      <w:szCs w:val="22"/>
                      <w:u w:val="none"/>
                      <w:lang w:val="en-US" w:eastAsia="zh-CN" w:bidi="ar"/>
                    </w:rPr>
                    <w:t>0.058</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575C79A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c>
                <w:tcPr>
                  <w:tcW w:w="601" w:type="pct"/>
                  <w:vMerge w:val="continue"/>
                  <w:tcBorders>
                    <w:tl2br w:val="nil"/>
                    <w:tr2bl w:val="nil"/>
                  </w:tcBorders>
                  <w:shd w:val="clear" w:color="auto" w:fill="auto"/>
                  <w:vAlign w:val="center"/>
                </w:tcPr>
                <w:p w14:paraId="54898294">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6B3EAB1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r>
            <w:tr w14:paraId="43A5D1C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516" w:type="pct"/>
                  <w:vMerge w:val="continue"/>
                  <w:tcBorders>
                    <w:tl2br w:val="nil"/>
                    <w:tr2bl w:val="nil"/>
                  </w:tcBorders>
                  <w:shd w:val="clear" w:color="auto" w:fill="auto"/>
                  <w:vAlign w:val="center"/>
                </w:tcPr>
                <w:p w14:paraId="0A1AE95B">
                  <w:pPr>
                    <w:jc w:val="center"/>
                    <w:rPr>
                      <w:rFonts w:hint="default" w:ascii="Times New Roman" w:hAnsi="Times New Roman" w:eastAsia="宋体" w:cs="Times New Roman"/>
                      <w:i w:val="0"/>
                      <w:iCs w:val="0"/>
                      <w:color w:val="auto"/>
                      <w:sz w:val="22"/>
                      <w:szCs w:val="22"/>
                      <w:u w:val="none"/>
                    </w:rPr>
                  </w:pPr>
                </w:p>
              </w:tc>
              <w:tc>
                <w:tcPr>
                  <w:tcW w:w="650" w:type="pct"/>
                  <w:tcBorders>
                    <w:tl2br w:val="nil"/>
                    <w:tr2bl w:val="nil"/>
                  </w:tcBorders>
                  <w:shd w:val="clear" w:color="auto" w:fill="auto"/>
                  <w:noWrap/>
                  <w:vAlign w:val="center"/>
                </w:tcPr>
                <w:p w14:paraId="1AAEE1C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DA002-2</w:t>
                  </w:r>
                  <w:r>
                    <w:rPr>
                      <w:rFonts w:hint="eastAsia" w:ascii="宋体" w:hAnsi="宋体" w:eastAsia="宋体" w:cs="宋体"/>
                      <w:i w:val="0"/>
                      <w:iCs w:val="0"/>
                      <w:color w:val="auto"/>
                      <w:kern w:val="0"/>
                      <w:sz w:val="22"/>
                      <w:szCs w:val="22"/>
                      <w:u w:val="none"/>
                      <w:lang w:val="en-US" w:eastAsia="zh-CN" w:bidi="ar"/>
                    </w:rPr>
                    <w:t>进口</w:t>
                  </w:r>
                </w:p>
              </w:tc>
              <w:tc>
                <w:tcPr>
                  <w:tcW w:w="483" w:type="pct"/>
                  <w:vMerge w:val="continue"/>
                  <w:tcBorders>
                    <w:tl2br w:val="nil"/>
                    <w:tr2bl w:val="nil"/>
                  </w:tcBorders>
                  <w:shd w:val="clear" w:color="auto" w:fill="auto"/>
                  <w:vAlign w:val="center"/>
                </w:tcPr>
                <w:p w14:paraId="3316355D">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0D5C5C8A">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进口浓度为</w:t>
                  </w:r>
                  <w:r>
                    <w:rPr>
                      <w:rFonts w:hint="eastAsia" w:ascii="Times New Roman" w:hAnsi="Times New Roman" w:eastAsia="宋体" w:cs="Times New Roman"/>
                      <w:i w:val="0"/>
                      <w:iCs w:val="0"/>
                      <w:color w:val="auto"/>
                      <w:kern w:val="0"/>
                      <w:sz w:val="22"/>
                      <w:szCs w:val="22"/>
                      <w:u w:val="none"/>
                      <w:lang w:val="en-US" w:eastAsia="zh-CN" w:bidi="ar"/>
                    </w:rPr>
                    <w:t>12.1</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vertAlign w:val="superscript"/>
                      <w:lang w:val="en-US" w:eastAsia="zh-CN" w:bidi="ar"/>
                    </w:rPr>
                    <w:br w:type="textWrapping"/>
                  </w:r>
                  <w:r>
                    <w:rPr>
                      <w:rFonts w:hint="eastAsia" w:ascii="Times New Roman" w:hAnsi="Times New Roman" w:eastAsia="宋体" w:cs="Times New Roman"/>
                      <w:i w:val="0"/>
                      <w:iCs w:val="0"/>
                      <w:color w:val="auto"/>
                      <w:kern w:val="0"/>
                      <w:sz w:val="22"/>
                      <w:szCs w:val="22"/>
                      <w:u w:val="none"/>
                      <w:vertAlign w:val="baseline"/>
                      <w:lang w:val="en-US" w:eastAsia="zh-CN" w:bidi="ar"/>
                    </w:rPr>
                    <w:t>排放</w:t>
                  </w:r>
                  <w:r>
                    <w:rPr>
                      <w:rFonts w:hint="eastAsia" w:ascii="宋体" w:hAnsi="宋体" w:eastAsia="宋体" w:cs="宋体"/>
                      <w:i w:val="0"/>
                      <w:iCs w:val="0"/>
                      <w:color w:val="auto"/>
                      <w:kern w:val="0"/>
                      <w:sz w:val="22"/>
                      <w:szCs w:val="22"/>
                      <w:u w:val="none"/>
                      <w:lang w:val="en-US" w:eastAsia="zh-CN" w:bidi="ar"/>
                    </w:rPr>
                    <w:t>速率</w:t>
                  </w:r>
                  <w:r>
                    <w:rPr>
                      <w:rFonts w:hint="default" w:ascii="Times New Roman" w:hAnsi="Times New Roman" w:eastAsia="宋体" w:cs="Times New Roman"/>
                      <w:i w:val="0"/>
                      <w:iCs w:val="0"/>
                      <w:color w:val="auto"/>
                      <w:kern w:val="0"/>
                      <w:sz w:val="22"/>
                      <w:szCs w:val="22"/>
                      <w:u w:val="none"/>
                      <w:lang w:val="en-US" w:eastAsia="zh-CN" w:bidi="ar"/>
                    </w:rPr>
                    <w:t>：0.083kg/h</w:t>
                  </w:r>
                </w:p>
              </w:tc>
              <w:tc>
                <w:tcPr>
                  <w:tcW w:w="749" w:type="pct"/>
                  <w:tcBorders>
                    <w:tl2br w:val="nil"/>
                    <w:tr2bl w:val="nil"/>
                  </w:tcBorders>
                  <w:shd w:val="clear" w:color="auto" w:fill="auto"/>
                  <w:noWrap/>
                  <w:vAlign w:val="center"/>
                </w:tcPr>
                <w:p w14:paraId="7A9038A2">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c>
                <w:tcPr>
                  <w:tcW w:w="601" w:type="pct"/>
                  <w:vMerge w:val="continue"/>
                  <w:tcBorders>
                    <w:tl2br w:val="nil"/>
                    <w:tr2bl w:val="nil"/>
                  </w:tcBorders>
                  <w:shd w:val="clear" w:color="auto" w:fill="auto"/>
                  <w:vAlign w:val="center"/>
                </w:tcPr>
                <w:p w14:paraId="103C0ED9">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3A4827C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r>
            <w:tr w14:paraId="652F0C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41" w:hRule="atLeast"/>
                <w:jc w:val="center"/>
              </w:trPr>
              <w:tc>
                <w:tcPr>
                  <w:tcW w:w="516" w:type="pct"/>
                  <w:vMerge w:val="continue"/>
                  <w:tcBorders>
                    <w:tl2br w:val="nil"/>
                    <w:tr2bl w:val="nil"/>
                  </w:tcBorders>
                  <w:shd w:val="clear" w:color="auto" w:fill="auto"/>
                  <w:vAlign w:val="center"/>
                </w:tcPr>
                <w:p w14:paraId="7813F32C">
                  <w:pPr>
                    <w:jc w:val="center"/>
                    <w:rPr>
                      <w:rFonts w:hint="default" w:ascii="Times New Roman" w:hAnsi="Times New Roman" w:eastAsia="宋体" w:cs="Times New Roman"/>
                      <w:i w:val="0"/>
                      <w:iCs w:val="0"/>
                      <w:color w:val="auto"/>
                      <w:sz w:val="22"/>
                      <w:szCs w:val="22"/>
                      <w:u w:val="none"/>
                    </w:rPr>
                  </w:pPr>
                </w:p>
              </w:tc>
              <w:tc>
                <w:tcPr>
                  <w:tcW w:w="650" w:type="pct"/>
                  <w:tcBorders>
                    <w:tl2br w:val="nil"/>
                    <w:tr2bl w:val="nil"/>
                  </w:tcBorders>
                  <w:shd w:val="clear" w:color="auto" w:fill="auto"/>
                  <w:noWrap/>
                  <w:vAlign w:val="center"/>
                </w:tcPr>
                <w:p w14:paraId="789DD72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DA002-3</w:t>
                  </w:r>
                  <w:r>
                    <w:rPr>
                      <w:rFonts w:hint="eastAsia" w:ascii="宋体" w:hAnsi="宋体" w:eastAsia="宋体" w:cs="宋体"/>
                      <w:i w:val="0"/>
                      <w:iCs w:val="0"/>
                      <w:color w:val="auto"/>
                      <w:kern w:val="0"/>
                      <w:sz w:val="22"/>
                      <w:szCs w:val="22"/>
                      <w:u w:val="none"/>
                      <w:lang w:val="en-US" w:eastAsia="zh-CN" w:bidi="ar"/>
                    </w:rPr>
                    <w:t>进口</w:t>
                  </w:r>
                </w:p>
              </w:tc>
              <w:tc>
                <w:tcPr>
                  <w:tcW w:w="483" w:type="pct"/>
                  <w:vMerge w:val="continue"/>
                  <w:tcBorders>
                    <w:tl2br w:val="nil"/>
                    <w:tr2bl w:val="nil"/>
                  </w:tcBorders>
                  <w:shd w:val="clear" w:color="auto" w:fill="auto"/>
                  <w:vAlign w:val="center"/>
                </w:tcPr>
                <w:p w14:paraId="0B80442C">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15570973">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进口浓度为</w:t>
                  </w:r>
                  <w:r>
                    <w:rPr>
                      <w:rFonts w:hint="default" w:ascii="Times New Roman" w:hAnsi="Times New Roman" w:eastAsia="宋体" w:cs="Times New Roman"/>
                      <w:i w:val="0"/>
                      <w:iCs w:val="0"/>
                      <w:color w:val="auto"/>
                      <w:kern w:val="0"/>
                      <w:sz w:val="22"/>
                      <w:szCs w:val="22"/>
                      <w:u w:val="none"/>
                      <w:lang w:val="en-US" w:eastAsia="zh-CN" w:bidi="ar"/>
                    </w:rPr>
                    <w:t>9.</w:t>
                  </w:r>
                  <w:r>
                    <w:rPr>
                      <w:rFonts w:hint="eastAsia" w:ascii="Times New Roman" w:hAnsi="Times New Roman" w:eastAsia="宋体" w:cs="Times New Roman"/>
                      <w:i w:val="0"/>
                      <w:iCs w:val="0"/>
                      <w:color w:val="auto"/>
                      <w:kern w:val="0"/>
                      <w:sz w:val="22"/>
                      <w:szCs w:val="22"/>
                      <w:u w:val="none"/>
                      <w:lang w:val="en-US" w:eastAsia="zh-CN" w:bidi="ar"/>
                    </w:rPr>
                    <w:t>85</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vertAlign w:val="superscript"/>
                      <w:lang w:val="en-US" w:eastAsia="zh-CN" w:bidi="ar"/>
                    </w:rPr>
                    <w:br w:type="textWrapping"/>
                  </w:r>
                  <w:r>
                    <w:rPr>
                      <w:rFonts w:hint="eastAsia" w:ascii="宋体" w:hAnsi="宋体" w:eastAsia="宋体" w:cs="宋体"/>
                      <w:i w:val="0"/>
                      <w:iCs w:val="0"/>
                      <w:color w:val="auto"/>
                      <w:kern w:val="0"/>
                      <w:sz w:val="22"/>
                      <w:szCs w:val="22"/>
                      <w:u w:val="none"/>
                      <w:lang w:val="en-US" w:eastAsia="zh-CN" w:bidi="ar"/>
                    </w:rPr>
                    <w:t>速率：</w:t>
                  </w:r>
                  <w:r>
                    <w:rPr>
                      <w:rFonts w:hint="eastAsia" w:ascii="Times New Roman" w:hAnsi="Times New Roman" w:eastAsia="宋体" w:cs="Times New Roman"/>
                      <w:i w:val="0"/>
                      <w:iCs w:val="0"/>
                      <w:color w:val="auto"/>
                      <w:kern w:val="0"/>
                      <w:sz w:val="22"/>
                      <w:szCs w:val="22"/>
                      <w:u w:val="none"/>
                      <w:lang w:val="en-US" w:eastAsia="zh-CN" w:bidi="ar"/>
                    </w:rPr>
                    <w:t>0.082</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427B8DD9">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c>
                <w:tcPr>
                  <w:tcW w:w="601" w:type="pct"/>
                  <w:vMerge w:val="continue"/>
                  <w:tcBorders>
                    <w:tl2br w:val="nil"/>
                    <w:tr2bl w:val="nil"/>
                  </w:tcBorders>
                  <w:shd w:val="clear" w:color="auto" w:fill="auto"/>
                  <w:vAlign w:val="center"/>
                </w:tcPr>
                <w:p w14:paraId="703EF177">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05F94C91">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r>
            <w:tr w14:paraId="47F6F6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5" w:hRule="atLeast"/>
                <w:jc w:val="center"/>
              </w:trPr>
              <w:tc>
                <w:tcPr>
                  <w:tcW w:w="516" w:type="pct"/>
                  <w:vMerge w:val="continue"/>
                  <w:tcBorders>
                    <w:tl2br w:val="nil"/>
                    <w:tr2bl w:val="nil"/>
                  </w:tcBorders>
                  <w:shd w:val="clear" w:color="auto" w:fill="auto"/>
                  <w:vAlign w:val="center"/>
                </w:tcPr>
                <w:p w14:paraId="420F8A7D">
                  <w:pPr>
                    <w:jc w:val="center"/>
                    <w:rPr>
                      <w:rFonts w:hint="default" w:ascii="Times New Roman" w:hAnsi="Times New Roman" w:eastAsia="宋体" w:cs="Times New Roman"/>
                      <w:i w:val="0"/>
                      <w:iCs w:val="0"/>
                      <w:color w:val="auto"/>
                      <w:sz w:val="22"/>
                      <w:szCs w:val="22"/>
                      <w:u w:val="none"/>
                    </w:rPr>
                  </w:pPr>
                </w:p>
              </w:tc>
              <w:tc>
                <w:tcPr>
                  <w:tcW w:w="650" w:type="pct"/>
                  <w:tcBorders>
                    <w:tl2br w:val="nil"/>
                    <w:tr2bl w:val="nil"/>
                  </w:tcBorders>
                  <w:shd w:val="clear" w:color="auto" w:fill="auto"/>
                  <w:noWrap/>
                  <w:vAlign w:val="center"/>
                </w:tcPr>
                <w:p w14:paraId="43F094F8">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DA002-</w:t>
                  </w:r>
                  <w:r>
                    <w:rPr>
                      <w:rFonts w:hint="eastAsia" w:ascii="宋体" w:hAnsi="宋体" w:eastAsia="宋体" w:cs="宋体"/>
                      <w:i w:val="0"/>
                      <w:iCs w:val="0"/>
                      <w:color w:val="auto"/>
                      <w:kern w:val="0"/>
                      <w:sz w:val="22"/>
                      <w:szCs w:val="22"/>
                      <w:u w:val="none"/>
                      <w:lang w:val="en-US" w:eastAsia="zh-CN" w:bidi="ar"/>
                    </w:rPr>
                    <w:t>总出口</w:t>
                  </w:r>
                </w:p>
              </w:tc>
              <w:tc>
                <w:tcPr>
                  <w:tcW w:w="483" w:type="pct"/>
                  <w:vMerge w:val="continue"/>
                  <w:tcBorders>
                    <w:tl2br w:val="nil"/>
                    <w:tr2bl w:val="nil"/>
                  </w:tcBorders>
                  <w:shd w:val="clear" w:color="auto" w:fill="auto"/>
                  <w:vAlign w:val="center"/>
                </w:tcPr>
                <w:p w14:paraId="7012B7AA">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395D46DE">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排放浓度：</w:t>
                  </w:r>
                  <w:r>
                    <w:rPr>
                      <w:rFonts w:hint="eastAsia" w:ascii="Times New Roman" w:hAnsi="Times New Roman" w:eastAsia="宋体" w:cs="Times New Roman"/>
                      <w:i w:val="0"/>
                      <w:iCs w:val="0"/>
                      <w:color w:val="auto"/>
                      <w:kern w:val="0"/>
                      <w:sz w:val="22"/>
                      <w:szCs w:val="22"/>
                      <w:u w:val="none"/>
                      <w:lang w:val="en-US" w:eastAsia="zh-CN" w:bidi="ar"/>
                    </w:rPr>
                    <w:t>6.43</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排放速率：</w:t>
                  </w:r>
                  <w:r>
                    <w:rPr>
                      <w:rFonts w:hint="default" w:ascii="Times New Roman" w:hAnsi="Times New Roman" w:eastAsia="宋体" w:cs="Times New Roman"/>
                      <w:i w:val="0"/>
                      <w:iCs w:val="0"/>
                      <w:color w:val="auto"/>
                      <w:kern w:val="0"/>
                      <w:sz w:val="22"/>
                      <w:szCs w:val="22"/>
                      <w:u w:val="none"/>
                      <w:lang w:val="en-US" w:eastAsia="zh-CN" w:bidi="ar"/>
                    </w:rPr>
                    <w:t>0.12</w:t>
                  </w:r>
                  <w:r>
                    <w:rPr>
                      <w:rFonts w:hint="eastAsia" w:ascii="Times New Roman" w:hAnsi="Times New Roman" w:eastAsia="宋体" w:cs="Times New Roman"/>
                      <w:i w:val="0"/>
                      <w:iCs w:val="0"/>
                      <w:color w:val="auto"/>
                      <w:kern w:val="0"/>
                      <w:sz w:val="22"/>
                      <w:szCs w:val="22"/>
                      <w:u w:val="none"/>
                      <w:lang w:val="en-US" w:eastAsia="zh-CN" w:bidi="ar"/>
                    </w:rPr>
                    <w:t>1</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2CA1B3EF">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60</w:t>
                  </w:r>
                </w:p>
              </w:tc>
              <w:tc>
                <w:tcPr>
                  <w:tcW w:w="601" w:type="pct"/>
                  <w:vMerge w:val="continue"/>
                  <w:tcBorders>
                    <w:tl2br w:val="nil"/>
                    <w:tr2bl w:val="nil"/>
                  </w:tcBorders>
                  <w:shd w:val="clear" w:color="auto" w:fill="auto"/>
                  <w:vAlign w:val="center"/>
                </w:tcPr>
                <w:p w14:paraId="1F887F01">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1A5B0C1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达标</w:t>
                  </w:r>
                </w:p>
              </w:tc>
            </w:tr>
            <w:tr w14:paraId="67B0136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11" w:hRule="atLeast"/>
                <w:jc w:val="center"/>
              </w:trPr>
              <w:tc>
                <w:tcPr>
                  <w:tcW w:w="516" w:type="pct"/>
                  <w:vMerge w:val="restart"/>
                  <w:tcBorders>
                    <w:tl2br w:val="nil"/>
                    <w:tr2bl w:val="nil"/>
                  </w:tcBorders>
                  <w:shd w:val="clear" w:color="auto" w:fill="auto"/>
                  <w:vAlign w:val="center"/>
                </w:tcPr>
                <w:p w14:paraId="4281AD0D">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DA003</w:t>
                  </w:r>
                  <w:r>
                    <w:rPr>
                      <w:rFonts w:hint="eastAsia" w:ascii="宋体" w:hAnsi="宋体" w:eastAsia="宋体" w:cs="宋体"/>
                      <w:i w:val="0"/>
                      <w:iCs w:val="0"/>
                      <w:color w:val="auto"/>
                      <w:kern w:val="0"/>
                      <w:sz w:val="22"/>
                      <w:szCs w:val="22"/>
                      <w:u w:val="none"/>
                      <w:lang w:val="en-US" w:eastAsia="zh-CN" w:bidi="ar"/>
                    </w:rPr>
                    <w:t>排气筒</w:t>
                  </w:r>
                </w:p>
              </w:tc>
              <w:tc>
                <w:tcPr>
                  <w:tcW w:w="650" w:type="pct"/>
                  <w:tcBorders>
                    <w:tl2br w:val="nil"/>
                    <w:tr2bl w:val="nil"/>
                  </w:tcBorders>
                  <w:shd w:val="clear" w:color="auto" w:fill="auto"/>
                  <w:noWrap/>
                  <w:vAlign w:val="center"/>
                </w:tcPr>
                <w:p w14:paraId="4DE0A575">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DA003-</w:t>
                  </w:r>
                  <w:r>
                    <w:rPr>
                      <w:rFonts w:hint="eastAsia" w:ascii="宋体" w:hAnsi="宋体" w:eastAsia="宋体" w:cs="宋体"/>
                      <w:i w:val="0"/>
                      <w:iCs w:val="0"/>
                      <w:color w:val="auto"/>
                      <w:kern w:val="0"/>
                      <w:sz w:val="22"/>
                      <w:szCs w:val="22"/>
                      <w:u w:val="none"/>
                      <w:lang w:val="en-US" w:eastAsia="zh-CN" w:bidi="ar"/>
                    </w:rPr>
                    <w:t>进口</w:t>
                  </w:r>
                </w:p>
              </w:tc>
              <w:tc>
                <w:tcPr>
                  <w:tcW w:w="483" w:type="pct"/>
                  <w:vMerge w:val="continue"/>
                  <w:tcBorders>
                    <w:tl2br w:val="nil"/>
                    <w:tr2bl w:val="nil"/>
                  </w:tcBorders>
                  <w:shd w:val="clear" w:color="auto" w:fill="auto"/>
                  <w:vAlign w:val="center"/>
                </w:tcPr>
                <w:p w14:paraId="300A637C">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0A94135A">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进口浓度为</w:t>
                  </w:r>
                  <w:r>
                    <w:rPr>
                      <w:rFonts w:hint="eastAsia" w:ascii="Times New Roman" w:hAnsi="Times New Roman" w:eastAsia="宋体" w:cs="Times New Roman"/>
                      <w:i w:val="0"/>
                      <w:iCs w:val="0"/>
                      <w:color w:val="auto"/>
                      <w:kern w:val="0"/>
                      <w:sz w:val="22"/>
                      <w:szCs w:val="22"/>
                      <w:u w:val="none"/>
                      <w:lang w:val="en-US" w:eastAsia="zh-CN" w:bidi="ar"/>
                    </w:rPr>
                    <w:t>13.7</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vertAlign w:val="superscript"/>
                      <w:lang w:val="en-US" w:eastAsia="zh-CN" w:bidi="ar"/>
                    </w:rPr>
                    <w:br w:type="textWrapping"/>
                  </w:r>
                  <w:r>
                    <w:rPr>
                      <w:rFonts w:hint="eastAsia" w:ascii="宋体" w:hAnsi="宋体" w:eastAsia="宋体" w:cs="宋体"/>
                      <w:i w:val="0"/>
                      <w:iCs w:val="0"/>
                      <w:color w:val="auto"/>
                      <w:kern w:val="0"/>
                      <w:sz w:val="22"/>
                      <w:szCs w:val="22"/>
                      <w:u w:val="none"/>
                      <w:lang w:val="en-US" w:eastAsia="zh-CN" w:bidi="ar"/>
                    </w:rPr>
                    <w:t>速率：</w:t>
                  </w:r>
                  <w:r>
                    <w:rPr>
                      <w:rFonts w:hint="eastAsia" w:ascii="Times New Roman" w:hAnsi="Times New Roman" w:eastAsia="宋体" w:cs="Times New Roman"/>
                      <w:i w:val="0"/>
                      <w:iCs w:val="0"/>
                      <w:color w:val="auto"/>
                      <w:kern w:val="0"/>
                      <w:sz w:val="22"/>
                      <w:szCs w:val="22"/>
                      <w:u w:val="none"/>
                      <w:lang w:val="en-US" w:eastAsia="zh-CN" w:bidi="ar"/>
                    </w:rPr>
                    <w:t>0.0539</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57024A33">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c>
                <w:tcPr>
                  <w:tcW w:w="601" w:type="pct"/>
                  <w:vMerge w:val="continue"/>
                  <w:tcBorders>
                    <w:tl2br w:val="nil"/>
                    <w:tr2bl w:val="nil"/>
                  </w:tcBorders>
                  <w:shd w:val="clear" w:color="auto" w:fill="auto"/>
                  <w:vAlign w:val="center"/>
                </w:tcPr>
                <w:p w14:paraId="3FC2EBDF">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1C34B964">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w:t>
                  </w:r>
                </w:p>
              </w:tc>
            </w:tr>
            <w:tr w14:paraId="016A73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4" w:hRule="atLeast"/>
                <w:jc w:val="center"/>
              </w:trPr>
              <w:tc>
                <w:tcPr>
                  <w:tcW w:w="516" w:type="pct"/>
                  <w:vMerge w:val="continue"/>
                  <w:tcBorders>
                    <w:tl2br w:val="nil"/>
                    <w:tr2bl w:val="nil"/>
                  </w:tcBorders>
                  <w:shd w:val="clear" w:color="auto" w:fill="auto"/>
                  <w:vAlign w:val="center"/>
                </w:tcPr>
                <w:p w14:paraId="4AAAB92A">
                  <w:pPr>
                    <w:jc w:val="center"/>
                    <w:rPr>
                      <w:rFonts w:hint="default" w:ascii="Times New Roman" w:hAnsi="Times New Roman" w:eastAsia="宋体" w:cs="Times New Roman"/>
                      <w:i w:val="0"/>
                      <w:iCs w:val="0"/>
                      <w:color w:val="auto"/>
                      <w:sz w:val="22"/>
                      <w:szCs w:val="22"/>
                      <w:u w:val="none"/>
                    </w:rPr>
                  </w:pPr>
                </w:p>
              </w:tc>
              <w:tc>
                <w:tcPr>
                  <w:tcW w:w="650" w:type="pct"/>
                  <w:tcBorders>
                    <w:tl2br w:val="nil"/>
                    <w:tr2bl w:val="nil"/>
                  </w:tcBorders>
                  <w:shd w:val="clear" w:color="auto" w:fill="auto"/>
                  <w:noWrap/>
                  <w:vAlign w:val="center"/>
                </w:tcPr>
                <w:p w14:paraId="7359937E">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DA003-</w:t>
                  </w:r>
                  <w:r>
                    <w:rPr>
                      <w:rFonts w:hint="eastAsia" w:ascii="宋体" w:hAnsi="宋体" w:eastAsia="宋体" w:cs="宋体"/>
                      <w:i w:val="0"/>
                      <w:iCs w:val="0"/>
                      <w:color w:val="auto"/>
                      <w:kern w:val="0"/>
                      <w:sz w:val="22"/>
                      <w:szCs w:val="22"/>
                      <w:u w:val="none"/>
                      <w:lang w:val="en-US" w:eastAsia="zh-CN" w:bidi="ar"/>
                    </w:rPr>
                    <w:t>出口</w:t>
                  </w:r>
                </w:p>
              </w:tc>
              <w:tc>
                <w:tcPr>
                  <w:tcW w:w="483" w:type="pct"/>
                  <w:vMerge w:val="continue"/>
                  <w:tcBorders>
                    <w:tl2br w:val="nil"/>
                    <w:tr2bl w:val="nil"/>
                  </w:tcBorders>
                  <w:shd w:val="clear" w:color="auto" w:fill="auto"/>
                  <w:vAlign w:val="center"/>
                </w:tcPr>
                <w:p w14:paraId="2B868325">
                  <w:pPr>
                    <w:jc w:val="center"/>
                    <w:rPr>
                      <w:rFonts w:hint="eastAsia" w:ascii="宋体" w:hAnsi="宋体" w:eastAsia="宋体" w:cs="宋体"/>
                      <w:i w:val="0"/>
                      <w:iCs w:val="0"/>
                      <w:color w:val="auto"/>
                      <w:sz w:val="22"/>
                      <w:szCs w:val="22"/>
                      <w:u w:val="none"/>
                    </w:rPr>
                  </w:pPr>
                </w:p>
              </w:tc>
              <w:tc>
                <w:tcPr>
                  <w:tcW w:w="1511" w:type="pct"/>
                  <w:tcBorders>
                    <w:tl2br w:val="nil"/>
                    <w:tr2bl w:val="nil"/>
                  </w:tcBorders>
                  <w:shd w:val="clear" w:color="auto" w:fill="auto"/>
                  <w:vAlign w:val="center"/>
                </w:tcPr>
                <w:p w14:paraId="2C9BFA18">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排放浓度：</w:t>
                  </w:r>
                  <w:r>
                    <w:rPr>
                      <w:rFonts w:hint="default" w:ascii="Times New Roman" w:hAnsi="Times New Roman" w:cs="Times New Roman"/>
                      <w:i w:val="0"/>
                      <w:iCs w:val="0"/>
                      <w:color w:val="auto"/>
                      <w:kern w:val="0"/>
                      <w:sz w:val="22"/>
                      <w:szCs w:val="22"/>
                      <w:u w:val="none"/>
                      <w:lang w:val="en-US" w:eastAsia="zh-CN" w:bidi="ar"/>
                    </w:rPr>
                    <w:t>6.36</w:t>
                  </w:r>
                  <w:r>
                    <w:rPr>
                      <w:rFonts w:hint="default" w:ascii="Times New Roman" w:hAnsi="Times New Roman" w:eastAsia="宋体" w:cs="Times New Roman"/>
                      <w:i w:val="0"/>
                      <w:iCs w:val="0"/>
                      <w:color w:val="auto"/>
                      <w:kern w:val="0"/>
                      <w:sz w:val="22"/>
                      <w:szCs w:val="22"/>
                      <w:u w:val="none"/>
                      <w:lang w:val="en-US" w:eastAsia="zh-CN" w:bidi="ar"/>
                    </w:rPr>
                    <w:t>mg/m</w:t>
                  </w:r>
                  <w:r>
                    <w:rPr>
                      <w:rFonts w:hint="default" w:ascii="Times New Roman" w:hAnsi="Times New Roman" w:eastAsia="宋体" w:cs="Times New Roman"/>
                      <w:i w:val="0"/>
                      <w:iCs w:val="0"/>
                      <w:color w:val="auto"/>
                      <w:kern w:val="0"/>
                      <w:sz w:val="22"/>
                      <w:szCs w:val="22"/>
                      <w:u w:val="none"/>
                      <w:vertAlign w:val="superscript"/>
                      <w:lang w:val="en-US" w:eastAsia="zh-CN" w:bidi="ar"/>
                    </w:rPr>
                    <w:t>3</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排放速率：</w:t>
                  </w:r>
                  <w:r>
                    <w:rPr>
                      <w:rFonts w:hint="eastAsia" w:ascii="Times New Roman" w:hAnsi="Times New Roman" w:eastAsia="宋体" w:cs="Times New Roman"/>
                      <w:i w:val="0"/>
                      <w:iCs w:val="0"/>
                      <w:color w:val="auto"/>
                      <w:kern w:val="0"/>
                      <w:sz w:val="22"/>
                      <w:szCs w:val="22"/>
                      <w:u w:val="none"/>
                      <w:lang w:val="en-US" w:eastAsia="zh-CN" w:bidi="ar"/>
                    </w:rPr>
                    <w:t>0.0339</w:t>
                  </w:r>
                  <w:r>
                    <w:rPr>
                      <w:rFonts w:hint="default" w:ascii="Times New Roman" w:hAnsi="Times New Roman" w:eastAsia="宋体" w:cs="Times New Roman"/>
                      <w:i w:val="0"/>
                      <w:iCs w:val="0"/>
                      <w:color w:val="auto"/>
                      <w:kern w:val="0"/>
                      <w:sz w:val="22"/>
                      <w:szCs w:val="22"/>
                      <w:u w:val="none"/>
                      <w:lang w:val="en-US" w:eastAsia="zh-CN" w:bidi="ar"/>
                    </w:rPr>
                    <w:t>kg/h</w:t>
                  </w:r>
                </w:p>
              </w:tc>
              <w:tc>
                <w:tcPr>
                  <w:tcW w:w="749" w:type="pct"/>
                  <w:tcBorders>
                    <w:tl2br w:val="nil"/>
                    <w:tr2bl w:val="nil"/>
                  </w:tcBorders>
                  <w:shd w:val="clear" w:color="auto" w:fill="auto"/>
                  <w:noWrap/>
                  <w:vAlign w:val="center"/>
                </w:tcPr>
                <w:p w14:paraId="3C17C120">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60</w:t>
                  </w:r>
                </w:p>
              </w:tc>
              <w:tc>
                <w:tcPr>
                  <w:tcW w:w="601" w:type="pct"/>
                  <w:vMerge w:val="continue"/>
                  <w:tcBorders>
                    <w:tl2br w:val="nil"/>
                    <w:tr2bl w:val="nil"/>
                  </w:tcBorders>
                  <w:shd w:val="clear" w:color="auto" w:fill="auto"/>
                  <w:vAlign w:val="center"/>
                </w:tcPr>
                <w:p w14:paraId="77A99740">
                  <w:pPr>
                    <w:jc w:val="center"/>
                    <w:rPr>
                      <w:rFonts w:hint="eastAsia" w:ascii="宋体" w:hAnsi="宋体" w:eastAsia="宋体" w:cs="宋体"/>
                      <w:i w:val="0"/>
                      <w:iCs w:val="0"/>
                      <w:color w:val="auto"/>
                      <w:sz w:val="22"/>
                      <w:szCs w:val="22"/>
                      <w:u w:val="none"/>
                    </w:rPr>
                  </w:pPr>
                </w:p>
              </w:tc>
              <w:tc>
                <w:tcPr>
                  <w:tcW w:w="485" w:type="pct"/>
                  <w:tcBorders>
                    <w:tl2br w:val="nil"/>
                    <w:tr2bl w:val="nil"/>
                  </w:tcBorders>
                  <w:shd w:val="clear" w:color="auto" w:fill="auto"/>
                  <w:noWrap/>
                  <w:vAlign w:val="center"/>
                </w:tcPr>
                <w:p w14:paraId="1E3719D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达标</w:t>
                  </w:r>
                </w:p>
              </w:tc>
            </w:tr>
          </w:tbl>
          <w:p w14:paraId="61762FDE">
            <w:pPr>
              <w:pStyle w:val="3"/>
              <w:numPr>
                <w:ilvl w:val="0"/>
                <w:numId w:val="0"/>
              </w:numPr>
              <w:ind w:left="420"/>
              <w:rPr>
                <w:rFonts w:hint="eastAsia"/>
                <w:strike w:val="0"/>
                <w:dstrike w:val="0"/>
                <w:color w:val="auto"/>
                <w:sz w:val="24"/>
                <w:highlight w:val="none"/>
                <w:lang w:val="en-US" w:eastAsia="zh-CN"/>
              </w:rPr>
            </w:pPr>
            <w:r>
              <w:rPr>
                <w:rFonts w:hint="eastAsia"/>
                <w:color w:val="auto"/>
                <w:lang w:val="en-US" w:eastAsia="zh-CN"/>
              </w:rPr>
              <w:t>（2）</w:t>
            </w:r>
            <w:r>
              <w:rPr>
                <w:rFonts w:hint="eastAsia"/>
                <w:strike w:val="0"/>
                <w:dstrike w:val="0"/>
                <w:color w:val="auto"/>
                <w:sz w:val="24"/>
                <w:highlight w:val="none"/>
                <w:lang w:val="en-US" w:eastAsia="zh-CN"/>
              </w:rPr>
              <w:t>无机废气</w:t>
            </w:r>
          </w:p>
          <w:p w14:paraId="5363D53C">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left="420" w:firstLine="0" w:firstLineChars="0"/>
              <w:jc w:val="both"/>
              <w:textAlignment w:val="auto"/>
              <w:rPr>
                <w:rFonts w:hint="default" w:ascii="Times New Roman" w:eastAsia="宋体"/>
                <w:color w:val="auto"/>
                <w:kern w:val="2"/>
                <w:sz w:val="24"/>
                <w:highlight w:val="none"/>
                <w:lang w:val="en-US" w:eastAsia="zh-CN"/>
              </w:rPr>
            </w:pPr>
            <w:r>
              <w:rPr>
                <w:rFonts w:hint="eastAsia" w:ascii="Times New Roman" w:eastAsia="宋体"/>
                <w:color w:val="auto"/>
                <w:kern w:val="2"/>
                <w:sz w:val="24"/>
                <w:highlight w:val="none"/>
              </w:rPr>
              <w:t>根据建设单位提供的实验室试剂用量资料，</w:t>
            </w:r>
            <w:r>
              <w:rPr>
                <w:rFonts w:hint="eastAsia" w:ascii="Times New Roman" w:eastAsia="宋体"/>
                <w:color w:val="auto"/>
                <w:kern w:val="2"/>
                <w:sz w:val="24"/>
                <w:highlight w:val="none"/>
                <w:lang w:val="en-US" w:eastAsia="zh-CN"/>
              </w:rPr>
              <w:t>本次扩建项目</w:t>
            </w:r>
            <w:r>
              <w:rPr>
                <w:rFonts w:hint="eastAsia"/>
                <w:color w:val="auto"/>
                <w:kern w:val="2"/>
                <w:sz w:val="24"/>
                <w:highlight w:val="none"/>
                <w:lang w:val="en-US" w:eastAsia="zh-CN"/>
              </w:rPr>
              <w:t>新增</w:t>
            </w:r>
            <w:r>
              <w:rPr>
                <w:rFonts w:hint="eastAsia" w:ascii="Times New Roman" w:eastAsia="宋体"/>
                <w:color w:val="auto"/>
                <w:kern w:val="2"/>
                <w:sz w:val="24"/>
                <w:highlight w:val="none"/>
                <w:lang w:val="en-US" w:eastAsia="zh-CN"/>
              </w:rPr>
              <w:t>使用无机</w:t>
            </w:r>
            <w:r>
              <w:rPr>
                <w:rFonts w:hint="eastAsia" w:ascii="Times New Roman" w:eastAsia="宋体"/>
                <w:color w:val="auto"/>
                <w:kern w:val="2"/>
                <w:sz w:val="24"/>
                <w:highlight w:val="none"/>
              </w:rPr>
              <w:t>酸类原辅材料统计如下表</w:t>
            </w:r>
            <w:r>
              <w:rPr>
                <w:rFonts w:hint="eastAsia" w:ascii="Times New Roman" w:eastAsia="宋体"/>
                <w:color w:val="auto"/>
                <w:kern w:val="2"/>
                <w:sz w:val="24"/>
                <w:highlight w:val="none"/>
                <w:lang w:val="en-US" w:eastAsia="zh-CN"/>
              </w:rPr>
              <w:t>4-2</w:t>
            </w:r>
            <w:r>
              <w:rPr>
                <w:rFonts w:hint="eastAsia"/>
                <w:color w:val="auto"/>
                <w:kern w:val="2"/>
                <w:sz w:val="24"/>
                <w:highlight w:val="none"/>
                <w:lang w:val="en-US" w:eastAsia="zh-CN"/>
              </w:rPr>
              <w:t>，盐酸和硝酸使用过程中，挥发率参考同类实验室经验，均取20%。</w:t>
            </w:r>
          </w:p>
          <w:p w14:paraId="60326FAD">
            <w:pPr>
              <w:pStyle w:val="3"/>
              <w:jc w:val="center"/>
              <w:rPr>
                <w:rFonts w:hint="default"/>
                <w:b/>
                <w:bCs/>
                <w:color w:val="auto"/>
                <w:lang w:val="en-US" w:eastAsia="zh-CN"/>
              </w:rPr>
            </w:pPr>
            <w:r>
              <w:rPr>
                <w:rFonts w:hint="eastAsia" w:cs="Times New Roman"/>
                <w:b/>
                <w:bCs/>
                <w:color w:val="auto"/>
                <w:kern w:val="2"/>
                <w:sz w:val="24"/>
                <w:szCs w:val="24"/>
                <w:highlight w:val="none"/>
                <w:lang w:val="en-US" w:eastAsia="zh-CN" w:bidi="ar-SA"/>
              </w:rPr>
              <w:t>表4-1 项目新增无机废气酸雾产生量一览表</w:t>
            </w:r>
          </w:p>
          <w:tbl>
            <w:tblPr>
              <w:tblStyle w:val="30"/>
              <w:tblW w:w="756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080"/>
              <w:gridCol w:w="1080"/>
              <w:gridCol w:w="1080"/>
              <w:gridCol w:w="1080"/>
              <w:gridCol w:w="1080"/>
              <w:gridCol w:w="1080"/>
              <w:gridCol w:w="1080"/>
            </w:tblGrid>
            <w:tr w14:paraId="5A9A644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95" w:hRule="atLeast"/>
                <w:jc w:val="center"/>
              </w:trPr>
              <w:tc>
                <w:tcPr>
                  <w:tcW w:w="1080" w:type="dxa"/>
                  <w:tcBorders>
                    <w:tl2br w:val="nil"/>
                    <w:tr2bl w:val="nil"/>
                  </w:tcBorders>
                  <w:shd w:val="clear" w:color="auto" w:fill="auto"/>
                  <w:vAlign w:val="center"/>
                </w:tcPr>
                <w:p w14:paraId="1CFEA2B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序号</w:t>
                  </w:r>
                </w:p>
              </w:tc>
              <w:tc>
                <w:tcPr>
                  <w:tcW w:w="1080" w:type="dxa"/>
                  <w:tcBorders>
                    <w:tl2br w:val="nil"/>
                    <w:tr2bl w:val="nil"/>
                  </w:tcBorders>
                  <w:shd w:val="clear" w:color="auto" w:fill="auto"/>
                  <w:vAlign w:val="center"/>
                </w:tcPr>
                <w:p w14:paraId="37676CC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污染物名称</w:t>
                  </w:r>
                </w:p>
              </w:tc>
              <w:tc>
                <w:tcPr>
                  <w:tcW w:w="1080" w:type="dxa"/>
                  <w:tcBorders>
                    <w:tl2br w:val="nil"/>
                    <w:tr2bl w:val="nil"/>
                  </w:tcBorders>
                  <w:shd w:val="clear" w:color="auto" w:fill="auto"/>
                  <w:vAlign w:val="center"/>
                </w:tcPr>
                <w:p w14:paraId="50CDCB7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原辅料年用量（L/a）</w:t>
                  </w:r>
                </w:p>
              </w:tc>
              <w:tc>
                <w:tcPr>
                  <w:tcW w:w="1080" w:type="dxa"/>
                  <w:tcBorders>
                    <w:tl2br w:val="nil"/>
                    <w:tr2bl w:val="nil"/>
                  </w:tcBorders>
                  <w:shd w:val="clear" w:color="auto" w:fill="auto"/>
                  <w:vAlign w:val="center"/>
                </w:tcPr>
                <w:p w14:paraId="701E922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密度（g/cm³）</w:t>
                  </w:r>
                </w:p>
              </w:tc>
              <w:tc>
                <w:tcPr>
                  <w:tcW w:w="1080" w:type="dxa"/>
                  <w:tcBorders>
                    <w:tl2br w:val="nil"/>
                    <w:tr2bl w:val="nil"/>
                  </w:tcBorders>
                  <w:shd w:val="clear" w:color="auto" w:fill="auto"/>
                  <w:vAlign w:val="center"/>
                </w:tcPr>
                <w:p w14:paraId="52CAB66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原辅料年用量（t/a）</w:t>
                  </w:r>
                </w:p>
              </w:tc>
              <w:tc>
                <w:tcPr>
                  <w:tcW w:w="1080" w:type="dxa"/>
                  <w:tcBorders>
                    <w:tl2br w:val="nil"/>
                    <w:tr2bl w:val="nil"/>
                  </w:tcBorders>
                  <w:shd w:val="clear" w:color="auto" w:fill="auto"/>
                  <w:vAlign w:val="center"/>
                </w:tcPr>
                <w:p w14:paraId="414667D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挥发率（%）</w:t>
                  </w:r>
                </w:p>
              </w:tc>
              <w:tc>
                <w:tcPr>
                  <w:tcW w:w="1080" w:type="dxa"/>
                  <w:tcBorders>
                    <w:tl2br w:val="nil"/>
                    <w:tr2bl w:val="nil"/>
                  </w:tcBorders>
                  <w:shd w:val="clear" w:color="auto" w:fill="auto"/>
                  <w:vAlign w:val="center"/>
                </w:tcPr>
                <w:p w14:paraId="3402E18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酸雾产生量（t/a）</w:t>
                  </w:r>
                </w:p>
              </w:tc>
            </w:tr>
            <w:tr w14:paraId="4E87340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1080" w:type="dxa"/>
                  <w:tcBorders>
                    <w:tl2br w:val="nil"/>
                    <w:tr2bl w:val="nil"/>
                  </w:tcBorders>
                  <w:shd w:val="clear" w:color="auto" w:fill="auto"/>
                  <w:vAlign w:val="center"/>
                </w:tcPr>
                <w:p w14:paraId="5DB9DA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080" w:type="dxa"/>
                  <w:tcBorders>
                    <w:tl2br w:val="nil"/>
                    <w:tr2bl w:val="nil"/>
                  </w:tcBorders>
                  <w:shd w:val="clear" w:color="auto" w:fill="auto"/>
                  <w:vAlign w:val="center"/>
                </w:tcPr>
                <w:p w14:paraId="08D4E8F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HCl</w:t>
                  </w:r>
                </w:p>
              </w:tc>
              <w:tc>
                <w:tcPr>
                  <w:tcW w:w="1080" w:type="dxa"/>
                  <w:tcBorders>
                    <w:tl2br w:val="nil"/>
                    <w:tr2bl w:val="nil"/>
                  </w:tcBorders>
                  <w:shd w:val="clear" w:color="auto" w:fill="auto"/>
                  <w:vAlign w:val="center"/>
                </w:tcPr>
                <w:p w14:paraId="5E4E24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1080" w:type="dxa"/>
                  <w:tcBorders>
                    <w:tl2br w:val="nil"/>
                    <w:tr2bl w:val="nil"/>
                  </w:tcBorders>
                  <w:shd w:val="clear" w:color="auto" w:fill="auto"/>
                  <w:vAlign w:val="center"/>
                </w:tcPr>
                <w:p w14:paraId="52B6BF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1.179</w:t>
                  </w:r>
                </w:p>
              </w:tc>
              <w:tc>
                <w:tcPr>
                  <w:tcW w:w="1080" w:type="dxa"/>
                  <w:tcBorders>
                    <w:tl2br w:val="nil"/>
                    <w:tr2bl w:val="nil"/>
                  </w:tcBorders>
                  <w:shd w:val="clear" w:color="auto" w:fill="auto"/>
                  <w:vAlign w:val="center"/>
                </w:tcPr>
                <w:p w14:paraId="32BB39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0.071 </w:t>
                  </w:r>
                </w:p>
              </w:tc>
              <w:tc>
                <w:tcPr>
                  <w:tcW w:w="1080" w:type="dxa"/>
                  <w:tcBorders>
                    <w:tl2br w:val="nil"/>
                    <w:tr2bl w:val="nil"/>
                  </w:tcBorders>
                  <w:shd w:val="clear" w:color="auto" w:fill="auto"/>
                  <w:vAlign w:val="center"/>
                </w:tcPr>
                <w:p w14:paraId="449DB11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080" w:type="dxa"/>
                  <w:tcBorders>
                    <w:tl2br w:val="nil"/>
                    <w:tr2bl w:val="nil"/>
                  </w:tcBorders>
                  <w:shd w:val="clear" w:color="auto" w:fill="auto"/>
                  <w:vAlign w:val="center"/>
                </w:tcPr>
                <w:p w14:paraId="7D20D4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0.014 </w:t>
                  </w:r>
                </w:p>
              </w:tc>
            </w:tr>
            <w:tr w14:paraId="61E3A2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1080" w:type="dxa"/>
                  <w:tcBorders>
                    <w:tl2br w:val="nil"/>
                    <w:tr2bl w:val="nil"/>
                  </w:tcBorders>
                  <w:shd w:val="clear" w:color="auto" w:fill="auto"/>
                  <w:vAlign w:val="center"/>
                </w:tcPr>
                <w:p w14:paraId="2F1A3B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080" w:type="dxa"/>
                  <w:tcBorders>
                    <w:tl2br w:val="nil"/>
                    <w:tr2bl w:val="nil"/>
                  </w:tcBorders>
                  <w:shd w:val="clear" w:color="auto" w:fill="auto"/>
                  <w:vAlign w:val="center"/>
                </w:tcPr>
                <w:p w14:paraId="28EA61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w:t>
                  </w:r>
                  <w:r>
                    <w:rPr>
                      <w:rFonts w:hint="default" w:ascii="Times New Roman" w:hAnsi="Times New Roman" w:eastAsia="宋体" w:cs="Times New Roman"/>
                      <w:i w:val="0"/>
                      <w:iCs w:val="0"/>
                      <w:color w:val="000000"/>
                      <w:kern w:val="0"/>
                      <w:sz w:val="21"/>
                      <w:szCs w:val="21"/>
                      <w:u w:val="none"/>
                      <w:vertAlign w:val="subscript"/>
                      <w:lang w:val="en-US" w:eastAsia="zh-CN" w:bidi="ar"/>
                    </w:rPr>
                    <w:t>X</w:t>
                  </w:r>
                </w:p>
              </w:tc>
              <w:tc>
                <w:tcPr>
                  <w:tcW w:w="1080" w:type="dxa"/>
                  <w:tcBorders>
                    <w:tl2br w:val="nil"/>
                    <w:tr2bl w:val="nil"/>
                  </w:tcBorders>
                  <w:shd w:val="clear" w:color="auto" w:fill="auto"/>
                  <w:vAlign w:val="center"/>
                </w:tcPr>
                <w:p w14:paraId="3F8E6D0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1080" w:type="dxa"/>
                  <w:tcBorders>
                    <w:tl2br w:val="nil"/>
                    <w:tr2bl w:val="nil"/>
                  </w:tcBorders>
                  <w:shd w:val="clear" w:color="auto" w:fill="auto"/>
                  <w:vAlign w:val="center"/>
                </w:tcPr>
                <w:p w14:paraId="3F6C7B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1.42</w:t>
                  </w:r>
                </w:p>
              </w:tc>
              <w:tc>
                <w:tcPr>
                  <w:tcW w:w="1080" w:type="dxa"/>
                  <w:tcBorders>
                    <w:tl2br w:val="nil"/>
                    <w:tr2bl w:val="nil"/>
                  </w:tcBorders>
                  <w:shd w:val="clear" w:color="auto" w:fill="auto"/>
                  <w:vAlign w:val="center"/>
                </w:tcPr>
                <w:p w14:paraId="1FDFEC2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0.071</w:t>
                  </w:r>
                </w:p>
              </w:tc>
              <w:tc>
                <w:tcPr>
                  <w:tcW w:w="1080" w:type="dxa"/>
                  <w:tcBorders>
                    <w:tl2br w:val="nil"/>
                    <w:tr2bl w:val="nil"/>
                  </w:tcBorders>
                  <w:shd w:val="clear" w:color="auto" w:fill="auto"/>
                  <w:vAlign w:val="center"/>
                </w:tcPr>
                <w:p w14:paraId="2F8D42F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080" w:type="dxa"/>
                  <w:tcBorders>
                    <w:tl2br w:val="nil"/>
                    <w:tr2bl w:val="nil"/>
                  </w:tcBorders>
                  <w:shd w:val="clear" w:color="auto" w:fill="auto"/>
                  <w:vAlign w:val="center"/>
                </w:tcPr>
                <w:p w14:paraId="469025E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0.014 </w:t>
                  </w:r>
                </w:p>
              </w:tc>
            </w:tr>
            <w:tr w14:paraId="404ADC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0" w:hRule="atLeast"/>
                <w:jc w:val="center"/>
              </w:trPr>
              <w:tc>
                <w:tcPr>
                  <w:tcW w:w="1080" w:type="dxa"/>
                  <w:tcBorders>
                    <w:tl2br w:val="nil"/>
                    <w:tr2bl w:val="nil"/>
                  </w:tcBorders>
                  <w:shd w:val="clear" w:color="auto" w:fill="auto"/>
                  <w:vAlign w:val="center"/>
                </w:tcPr>
                <w:p w14:paraId="474FBE6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合计</w:t>
                  </w:r>
                </w:p>
              </w:tc>
              <w:tc>
                <w:tcPr>
                  <w:tcW w:w="1080" w:type="dxa"/>
                  <w:tcBorders>
                    <w:tl2br w:val="nil"/>
                    <w:tr2bl w:val="nil"/>
                  </w:tcBorders>
                  <w:shd w:val="clear" w:color="auto" w:fill="auto"/>
                  <w:vAlign w:val="center"/>
                </w:tcPr>
                <w:p w14:paraId="2A711AEB">
                  <w:pPr>
                    <w:jc w:val="center"/>
                    <w:rPr>
                      <w:rFonts w:hint="default" w:ascii="Times New Roman" w:hAnsi="Times New Roman" w:eastAsia="宋体" w:cs="Times New Roman"/>
                      <w:i w:val="0"/>
                      <w:iCs w:val="0"/>
                      <w:color w:val="000000"/>
                      <w:sz w:val="21"/>
                      <w:szCs w:val="21"/>
                      <w:u w:val="none"/>
                    </w:rPr>
                  </w:pPr>
                </w:p>
              </w:tc>
              <w:tc>
                <w:tcPr>
                  <w:tcW w:w="1080" w:type="dxa"/>
                  <w:tcBorders>
                    <w:tl2br w:val="nil"/>
                    <w:tr2bl w:val="nil"/>
                  </w:tcBorders>
                  <w:shd w:val="clear" w:color="auto" w:fill="auto"/>
                  <w:vAlign w:val="center"/>
                </w:tcPr>
                <w:p w14:paraId="58AE12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110</w:t>
                  </w:r>
                </w:p>
              </w:tc>
              <w:tc>
                <w:tcPr>
                  <w:tcW w:w="1080" w:type="dxa"/>
                  <w:tcBorders>
                    <w:tl2br w:val="nil"/>
                    <w:tr2bl w:val="nil"/>
                  </w:tcBorders>
                  <w:shd w:val="clear" w:color="auto" w:fill="auto"/>
                  <w:vAlign w:val="center"/>
                </w:tcPr>
                <w:p w14:paraId="13FEAA8D">
                  <w:pPr>
                    <w:jc w:val="center"/>
                    <w:rPr>
                      <w:rFonts w:hint="default" w:ascii="Times New Roman" w:hAnsi="Times New Roman" w:eastAsia="宋体" w:cs="Times New Roman"/>
                      <w:i w:val="0"/>
                      <w:iCs w:val="0"/>
                      <w:color w:val="000000"/>
                      <w:sz w:val="21"/>
                      <w:szCs w:val="21"/>
                      <w:u w:val="none"/>
                    </w:rPr>
                  </w:pPr>
                </w:p>
              </w:tc>
              <w:tc>
                <w:tcPr>
                  <w:tcW w:w="1080" w:type="dxa"/>
                  <w:tcBorders>
                    <w:tl2br w:val="nil"/>
                    <w:tr2bl w:val="nil"/>
                  </w:tcBorders>
                  <w:shd w:val="clear" w:color="auto" w:fill="auto"/>
                  <w:vAlign w:val="center"/>
                </w:tcPr>
                <w:p w14:paraId="6B03D2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0.142 </w:t>
                  </w:r>
                </w:p>
              </w:tc>
              <w:tc>
                <w:tcPr>
                  <w:tcW w:w="1080" w:type="dxa"/>
                  <w:tcBorders>
                    <w:tl2br w:val="nil"/>
                    <w:tr2bl w:val="nil"/>
                  </w:tcBorders>
                  <w:shd w:val="clear" w:color="auto" w:fill="auto"/>
                  <w:vAlign w:val="center"/>
                </w:tcPr>
                <w:p w14:paraId="68A23EE3">
                  <w:pPr>
                    <w:jc w:val="center"/>
                    <w:rPr>
                      <w:rFonts w:hint="default" w:ascii="Times New Roman" w:hAnsi="Times New Roman" w:eastAsia="宋体" w:cs="Times New Roman"/>
                      <w:i w:val="0"/>
                      <w:iCs w:val="0"/>
                      <w:color w:val="000000"/>
                      <w:sz w:val="21"/>
                      <w:szCs w:val="21"/>
                      <w:u w:val="none"/>
                    </w:rPr>
                  </w:pPr>
                </w:p>
              </w:tc>
              <w:tc>
                <w:tcPr>
                  <w:tcW w:w="1080" w:type="dxa"/>
                  <w:tcBorders>
                    <w:tl2br w:val="nil"/>
                    <w:tr2bl w:val="nil"/>
                  </w:tcBorders>
                  <w:shd w:val="clear" w:color="auto" w:fill="auto"/>
                  <w:vAlign w:val="center"/>
                </w:tcPr>
                <w:p w14:paraId="2249EA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0.028 </w:t>
                  </w:r>
                </w:p>
              </w:tc>
            </w:tr>
          </w:tbl>
          <w:p w14:paraId="59C58004">
            <w:pPr>
              <w:numPr>
                <w:ilvl w:val="-1"/>
                <w:numId w:val="0"/>
              </w:numPr>
              <w:ind w:left="420" w:firstLine="0"/>
              <w:rPr>
                <w:rFonts w:hint="default"/>
                <w:lang w:val="en-US" w:eastAsia="zh-CN"/>
              </w:rPr>
            </w:pPr>
          </w:p>
          <w:p w14:paraId="339F4CAB">
            <w:pPr>
              <w:pStyle w:val="3"/>
              <w:ind w:firstLine="480" w:firstLineChars="200"/>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根据建设单位提供的资料，</w:t>
            </w:r>
            <w:r>
              <w:rPr>
                <w:rFonts w:hint="eastAsia" w:ascii="Times New Roman" w:hAnsi="Times New Roman" w:eastAsia="宋体" w:cs="Times New Roman"/>
                <w:b w:val="0"/>
                <w:bCs w:val="0"/>
                <w:color w:val="auto"/>
                <w:kern w:val="2"/>
                <w:sz w:val="24"/>
                <w:szCs w:val="24"/>
                <w:highlight w:val="none"/>
                <w:lang w:val="en-US" w:eastAsia="zh-CN" w:bidi="ar-SA"/>
              </w:rPr>
              <w:t>研发人员年工作245天，每天工作8h，</w:t>
            </w:r>
            <w:r>
              <w:rPr>
                <w:rFonts w:hint="eastAsia" w:cs="Times New Roman"/>
                <w:b w:val="0"/>
                <w:bCs w:val="0"/>
                <w:color w:val="auto"/>
                <w:kern w:val="2"/>
                <w:sz w:val="24"/>
                <w:szCs w:val="24"/>
                <w:highlight w:val="none"/>
                <w:lang w:val="en-US" w:eastAsia="zh-CN" w:bidi="ar-SA"/>
              </w:rPr>
              <w:t>其中</w:t>
            </w:r>
            <w:r>
              <w:rPr>
                <w:rFonts w:hint="default" w:ascii="Times New Roman" w:hAnsi="Times New Roman" w:eastAsia="宋体" w:cs="Times New Roman"/>
                <w:b w:val="0"/>
                <w:bCs w:val="0"/>
                <w:color w:val="auto"/>
                <w:kern w:val="2"/>
                <w:sz w:val="24"/>
                <w:szCs w:val="24"/>
                <w:highlight w:val="none"/>
                <w:lang w:val="en-US" w:eastAsia="zh-CN" w:bidi="ar-SA"/>
              </w:rPr>
              <w:t>每天使用有机溶剂的</w:t>
            </w:r>
            <w:r>
              <w:rPr>
                <w:rFonts w:hint="eastAsia" w:cs="Times New Roman"/>
                <w:b w:val="0"/>
                <w:bCs w:val="0"/>
                <w:color w:val="auto"/>
                <w:kern w:val="2"/>
                <w:sz w:val="24"/>
                <w:szCs w:val="24"/>
                <w:highlight w:val="none"/>
                <w:lang w:val="en-US" w:eastAsia="zh-CN" w:bidi="ar-SA"/>
              </w:rPr>
              <w:t>最大</w:t>
            </w:r>
            <w:r>
              <w:rPr>
                <w:rFonts w:hint="default" w:ascii="Times New Roman" w:hAnsi="Times New Roman" w:eastAsia="宋体" w:cs="Times New Roman"/>
                <w:b w:val="0"/>
                <w:bCs w:val="0"/>
                <w:color w:val="auto"/>
                <w:kern w:val="2"/>
                <w:sz w:val="24"/>
                <w:szCs w:val="24"/>
                <w:highlight w:val="none"/>
                <w:lang w:val="en-US" w:eastAsia="zh-CN" w:bidi="ar-SA"/>
              </w:rPr>
              <w:t>有效时间合计约</w:t>
            </w:r>
            <w:r>
              <w:rPr>
                <w:rFonts w:hint="eastAsia" w:cs="Times New Roman"/>
                <w:b w:val="0"/>
                <w:bCs w:val="0"/>
                <w:color w:val="auto"/>
                <w:kern w:val="2"/>
                <w:sz w:val="24"/>
                <w:szCs w:val="24"/>
                <w:highlight w:val="none"/>
                <w:lang w:val="en-US" w:eastAsia="zh-CN" w:bidi="ar-SA"/>
              </w:rPr>
              <w:t>4h，风机最大工作时间为980h；每天使用无机溶剂最大有效时间合计约为1h，则风机最大工作时间为245h。</w:t>
            </w:r>
          </w:p>
          <w:p w14:paraId="0F7D193D">
            <w:pPr>
              <w:pStyle w:val="3"/>
              <w:ind w:firstLine="482" w:firstLineChars="200"/>
              <w:rPr>
                <w:rFonts w:hint="default"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1.2废气源强核算</w:t>
            </w:r>
          </w:p>
          <w:p w14:paraId="45BFCDCC">
            <w:pPr>
              <w:keepNext w:val="0"/>
              <w:keepLines w:val="0"/>
              <w:widowControl/>
              <w:suppressLineNumbers w:val="0"/>
              <w:spacing w:line="360" w:lineRule="auto"/>
              <w:ind w:left="0" w:leftChars="0" w:firstLine="422" w:firstLineChars="175"/>
              <w:jc w:val="both"/>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①</w:t>
            </w:r>
            <w:r>
              <w:rPr>
                <w:rFonts w:hint="eastAsia" w:cs="Times New Roman"/>
                <w:b/>
                <w:bCs/>
                <w:color w:val="auto"/>
                <w:kern w:val="2"/>
                <w:sz w:val="24"/>
                <w:szCs w:val="24"/>
                <w:highlight w:val="none"/>
                <w:lang w:val="en-US" w:eastAsia="zh-CN" w:bidi="ar-SA"/>
              </w:rPr>
              <w:t>探试实验室</w:t>
            </w:r>
            <w:r>
              <w:rPr>
                <w:rFonts w:hint="eastAsia" w:ascii="Times New Roman" w:hAnsi="Times New Roman" w:eastAsia="宋体" w:cs="Times New Roman"/>
                <w:b/>
                <w:bCs/>
                <w:color w:val="auto"/>
                <w:kern w:val="2"/>
                <w:sz w:val="24"/>
                <w:szCs w:val="24"/>
                <w:highlight w:val="none"/>
                <w:lang w:val="en-US" w:eastAsia="zh-CN" w:bidi="ar-SA"/>
              </w:rPr>
              <w:t>研发废气</w:t>
            </w:r>
          </w:p>
          <w:p w14:paraId="580B1E8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探试实验室主要进行</w:t>
            </w:r>
            <w:r>
              <w:rPr>
                <w:rFonts w:hint="eastAsia" w:ascii="Times New Roman" w:hAnsi="Times New Roman" w:eastAsia="宋体" w:cs="Times New Roman"/>
                <w:b w:val="0"/>
                <w:bCs w:val="0"/>
                <w:color w:val="auto"/>
                <w:kern w:val="2"/>
                <w:sz w:val="24"/>
                <w:szCs w:val="24"/>
                <w:highlight w:val="none"/>
                <w:lang w:val="en-US" w:eastAsia="zh-CN" w:bidi="ar-SA"/>
              </w:rPr>
              <w:t>药物活性分子</w:t>
            </w:r>
            <w:r>
              <w:rPr>
                <w:rFonts w:hint="eastAsia" w:cs="Times New Roman"/>
                <w:b w:val="0"/>
                <w:bCs w:val="0"/>
                <w:color w:val="auto"/>
                <w:kern w:val="2"/>
                <w:sz w:val="24"/>
                <w:szCs w:val="24"/>
                <w:highlight w:val="none"/>
                <w:lang w:val="en-US" w:eastAsia="zh-CN" w:bidi="ar-SA"/>
              </w:rPr>
              <w:t>化合物</w:t>
            </w:r>
            <w:r>
              <w:rPr>
                <w:rFonts w:hint="eastAsia" w:ascii="Times New Roman" w:hAnsi="Times New Roman" w:eastAsia="宋体" w:cs="Times New Roman"/>
                <w:b w:val="0"/>
                <w:bCs w:val="0"/>
                <w:color w:val="auto"/>
                <w:kern w:val="2"/>
                <w:sz w:val="24"/>
                <w:szCs w:val="24"/>
                <w:highlight w:val="none"/>
                <w:lang w:val="en-US" w:eastAsia="zh-CN" w:bidi="ar-SA"/>
              </w:rPr>
              <w:t>合成</w:t>
            </w:r>
            <w:r>
              <w:rPr>
                <w:rFonts w:hint="eastAsia" w:cs="Times New Roman"/>
                <w:b w:val="0"/>
                <w:bCs w:val="0"/>
                <w:color w:val="auto"/>
                <w:kern w:val="2"/>
                <w:sz w:val="24"/>
                <w:szCs w:val="24"/>
                <w:highlight w:val="none"/>
                <w:lang w:val="en-US" w:eastAsia="zh-CN" w:bidi="ar-SA"/>
              </w:rPr>
              <w:t>，合成过程会产生有机</w:t>
            </w:r>
            <w:r>
              <w:rPr>
                <w:rFonts w:hint="eastAsia" w:ascii="Times New Roman" w:hAnsi="Times New Roman" w:eastAsia="宋体" w:cs="Times New Roman"/>
                <w:b w:val="0"/>
                <w:bCs w:val="0"/>
                <w:color w:val="auto"/>
                <w:kern w:val="2"/>
                <w:sz w:val="24"/>
                <w:szCs w:val="24"/>
                <w:highlight w:val="none"/>
                <w:lang w:val="en-US" w:eastAsia="zh-CN" w:bidi="ar-SA"/>
              </w:rPr>
              <w:t>废气</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废气经通风</w:t>
            </w:r>
            <w:r>
              <w:rPr>
                <w:rFonts w:hint="eastAsia" w:cs="Times New Roman"/>
                <w:b w:val="0"/>
                <w:bCs w:val="0"/>
                <w:color w:val="auto"/>
                <w:kern w:val="2"/>
                <w:sz w:val="24"/>
                <w:szCs w:val="24"/>
                <w:highlight w:val="none"/>
                <w:lang w:val="en-US" w:eastAsia="zh-CN" w:bidi="ar-SA"/>
              </w:rPr>
              <w:t>柜</w:t>
            </w:r>
            <w:r>
              <w:rPr>
                <w:rFonts w:hint="default" w:ascii="Times New Roman" w:hAnsi="Times New Roman" w:eastAsia="宋体" w:cs="Times New Roman"/>
                <w:b w:val="0"/>
                <w:bCs w:val="0"/>
                <w:color w:val="auto"/>
                <w:kern w:val="2"/>
                <w:sz w:val="24"/>
                <w:szCs w:val="24"/>
                <w:highlight w:val="none"/>
                <w:lang w:val="en-US" w:eastAsia="zh-CN" w:bidi="ar-SA"/>
              </w:rPr>
              <w:t>收集后，</w:t>
            </w:r>
            <w:r>
              <w:rPr>
                <w:rFonts w:hint="eastAsia" w:cs="Times New Roman"/>
                <w:b w:val="0"/>
                <w:bCs w:val="0"/>
                <w:color w:val="auto"/>
                <w:kern w:val="2"/>
                <w:sz w:val="24"/>
                <w:szCs w:val="24"/>
                <w:highlight w:val="none"/>
                <w:lang w:val="en-US" w:eastAsia="zh-CN" w:bidi="ar-SA"/>
              </w:rPr>
              <w:t>分别经三个不同的</w:t>
            </w:r>
            <w:r>
              <w:rPr>
                <w:rFonts w:hint="default" w:ascii="Times New Roman" w:hAnsi="Times New Roman" w:eastAsia="宋体" w:cs="Times New Roman"/>
                <w:b w:val="0"/>
                <w:bCs w:val="0"/>
                <w:color w:val="auto"/>
                <w:kern w:val="2"/>
                <w:sz w:val="24"/>
                <w:szCs w:val="24"/>
                <w:highlight w:val="none"/>
                <w:lang w:val="en-US" w:eastAsia="zh-CN" w:bidi="ar-SA"/>
              </w:rPr>
              <w:t>活性炭吸附装置（TA001</w:t>
            </w:r>
            <w:r>
              <w:rPr>
                <w:rFonts w:hint="eastAsia" w:cs="Times New Roman"/>
                <w:b w:val="0"/>
                <w:bCs w:val="0"/>
                <w:color w:val="auto"/>
                <w:kern w:val="2"/>
                <w:sz w:val="24"/>
                <w:szCs w:val="24"/>
                <w:highlight w:val="none"/>
                <w:lang w:val="en-US" w:eastAsia="zh-CN" w:bidi="ar-SA"/>
              </w:rPr>
              <w:t>，TA002，TA003</w:t>
            </w:r>
            <w:r>
              <w:rPr>
                <w:rFonts w:hint="default" w:ascii="Times New Roman" w:hAnsi="Times New Roman" w:eastAsia="宋体" w:cs="Times New Roman"/>
                <w:b w:val="0"/>
                <w:bCs w:val="0"/>
                <w:color w:val="auto"/>
                <w:kern w:val="2"/>
                <w:sz w:val="24"/>
                <w:szCs w:val="24"/>
                <w:highlight w:val="none"/>
                <w:lang w:val="en-US" w:eastAsia="zh-CN" w:bidi="ar-SA"/>
              </w:rPr>
              <w:t>）处理后经楼顶排气筒（DA00</w:t>
            </w:r>
            <w:r>
              <w:rPr>
                <w:rFonts w:hint="eastAsia" w:cs="Times New Roman"/>
                <w:b w:val="0"/>
                <w:bCs w:val="0"/>
                <w:color w:val="auto"/>
                <w:kern w:val="2"/>
                <w:sz w:val="24"/>
                <w:szCs w:val="24"/>
                <w:highlight w:val="none"/>
                <w:lang w:val="en-US" w:eastAsia="zh-CN" w:bidi="ar-SA"/>
              </w:rPr>
              <w:t>2</w:t>
            </w:r>
            <w:r>
              <w:rPr>
                <w:rFonts w:hint="default" w:ascii="Times New Roman" w:hAnsi="Times New Roman" w:eastAsia="宋体" w:cs="Times New Roman"/>
                <w:b w:val="0"/>
                <w:bCs w:val="0"/>
                <w:color w:val="auto"/>
                <w:kern w:val="2"/>
                <w:sz w:val="24"/>
                <w:szCs w:val="24"/>
                <w:highlight w:val="none"/>
                <w:lang w:val="en-US" w:eastAsia="zh-CN" w:bidi="ar-SA"/>
              </w:rPr>
              <w:t>，H=</w:t>
            </w:r>
            <w:r>
              <w:rPr>
                <w:rFonts w:hint="eastAsia" w:cs="Times New Roman"/>
                <w:b w:val="0"/>
                <w:bCs w:val="0"/>
                <w:color w:val="auto"/>
                <w:kern w:val="2"/>
                <w:sz w:val="24"/>
                <w:szCs w:val="24"/>
                <w:highlight w:val="none"/>
                <w:lang w:val="en-US" w:eastAsia="zh-CN" w:bidi="ar-SA"/>
              </w:rPr>
              <w:t>28</w:t>
            </w:r>
            <w:r>
              <w:rPr>
                <w:rFonts w:hint="default" w:ascii="Times New Roman" w:hAnsi="Times New Roman" w:eastAsia="宋体" w:cs="Times New Roman"/>
                <w:b w:val="0"/>
                <w:bCs w:val="0"/>
                <w:color w:val="auto"/>
                <w:kern w:val="2"/>
                <w:sz w:val="24"/>
                <w:szCs w:val="24"/>
                <w:highlight w:val="none"/>
                <w:lang w:val="en-US" w:eastAsia="zh-CN" w:bidi="ar-SA"/>
              </w:rPr>
              <w:t>m）排放。本项目所采用的通风</w:t>
            </w:r>
            <w:r>
              <w:rPr>
                <w:rFonts w:hint="eastAsia" w:cs="Times New Roman"/>
                <w:b w:val="0"/>
                <w:bCs w:val="0"/>
                <w:color w:val="auto"/>
                <w:kern w:val="2"/>
                <w:sz w:val="24"/>
                <w:szCs w:val="24"/>
                <w:highlight w:val="none"/>
                <w:lang w:val="en-US" w:eastAsia="zh-CN" w:bidi="ar-SA"/>
              </w:rPr>
              <w:t>柜</w:t>
            </w:r>
            <w:r>
              <w:rPr>
                <w:rFonts w:hint="default" w:ascii="Times New Roman" w:hAnsi="Times New Roman" w:eastAsia="宋体" w:cs="Times New Roman"/>
                <w:b w:val="0"/>
                <w:bCs w:val="0"/>
                <w:color w:val="auto"/>
                <w:kern w:val="2"/>
                <w:sz w:val="24"/>
                <w:szCs w:val="24"/>
                <w:highlight w:val="none"/>
                <w:lang w:val="en-US" w:eastAsia="zh-CN" w:bidi="ar-SA"/>
              </w:rPr>
              <w:t>为三面围挡一面装有操作拉门的柜式通风</w:t>
            </w:r>
            <w:r>
              <w:rPr>
                <w:rFonts w:hint="eastAsia" w:cs="Times New Roman"/>
                <w:b w:val="0"/>
                <w:bCs w:val="0"/>
                <w:color w:val="auto"/>
                <w:kern w:val="2"/>
                <w:sz w:val="24"/>
                <w:szCs w:val="24"/>
                <w:highlight w:val="none"/>
                <w:lang w:val="en-US" w:eastAsia="zh-CN" w:bidi="ar-SA"/>
              </w:rPr>
              <w:t>柜</w:t>
            </w:r>
            <w:r>
              <w:rPr>
                <w:rFonts w:hint="default" w:ascii="Times New Roman" w:hAnsi="Times New Roman" w:eastAsia="宋体" w:cs="Times New Roman"/>
                <w:b w:val="0"/>
                <w:bCs w:val="0"/>
                <w:color w:val="auto"/>
                <w:kern w:val="2"/>
                <w:sz w:val="24"/>
                <w:szCs w:val="24"/>
                <w:highlight w:val="none"/>
                <w:lang w:val="en-US" w:eastAsia="zh-CN" w:bidi="ar-SA"/>
              </w:rPr>
              <w:t>，其收集效率（以下收集效率均参考此文件）参考</w:t>
            </w:r>
            <w:r>
              <w:rPr>
                <w:rFonts w:hint="eastAsia" w:cs="Times New Roman"/>
                <w:b w:val="0"/>
                <w:bCs w:val="0"/>
                <w:color w:val="auto"/>
                <w:kern w:val="2"/>
                <w:sz w:val="24"/>
                <w:szCs w:val="24"/>
                <w:highlight w:val="none"/>
                <w:lang w:val="en-US" w:eastAsia="zh-CN" w:bidi="ar-SA"/>
              </w:rPr>
              <w:t>“</w:t>
            </w:r>
            <w:r>
              <w:rPr>
                <w:rFonts w:hint="default"/>
                <w:color w:val="auto"/>
                <w:sz w:val="24"/>
                <w:highlight w:val="none"/>
              </w:rPr>
              <w:t>《陕西省排污许可制支撑空气质量持续改善实施方案》表1 VOCs废气收集集气效率参考值，通风</w:t>
            </w:r>
            <w:r>
              <w:rPr>
                <w:rFonts w:hint="eastAsia"/>
                <w:color w:val="auto"/>
                <w:sz w:val="24"/>
                <w:highlight w:val="none"/>
                <w:lang w:val="en-US" w:eastAsia="zh-CN"/>
              </w:rPr>
              <w:t>柜</w:t>
            </w:r>
            <w:r>
              <w:rPr>
                <w:rFonts w:hint="default"/>
                <w:color w:val="auto"/>
                <w:sz w:val="24"/>
                <w:highlight w:val="none"/>
              </w:rPr>
              <w:t>属于包围型集气设备，敞开面控制风速不小于0.5m/s时，收集效率可达到80%</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探试实验室</w:t>
            </w:r>
            <w:r>
              <w:rPr>
                <w:rFonts w:hint="default" w:ascii="Times New Roman" w:hAnsi="Times New Roman" w:eastAsia="宋体" w:cs="Times New Roman"/>
                <w:b w:val="0"/>
                <w:bCs w:val="0"/>
                <w:color w:val="auto"/>
                <w:kern w:val="2"/>
                <w:sz w:val="24"/>
                <w:szCs w:val="24"/>
                <w:highlight w:val="none"/>
                <w:lang w:val="en-US" w:eastAsia="zh-CN" w:bidi="ar-SA"/>
              </w:rPr>
              <w:t>废气处理设备风机</w:t>
            </w:r>
            <w:r>
              <w:rPr>
                <w:rFonts w:hint="eastAsia" w:cs="Times New Roman"/>
                <w:b w:val="0"/>
                <w:bCs w:val="0"/>
                <w:color w:val="auto"/>
                <w:kern w:val="2"/>
                <w:sz w:val="24"/>
                <w:szCs w:val="24"/>
                <w:highlight w:val="none"/>
                <w:lang w:val="en-US" w:eastAsia="zh-CN" w:bidi="ar-SA"/>
              </w:rPr>
              <w:t>设计</w:t>
            </w:r>
            <w:r>
              <w:rPr>
                <w:rFonts w:hint="default" w:ascii="Times New Roman" w:hAnsi="Times New Roman" w:eastAsia="宋体" w:cs="Times New Roman"/>
                <w:b w:val="0"/>
                <w:bCs w:val="0"/>
                <w:color w:val="auto"/>
                <w:kern w:val="2"/>
                <w:sz w:val="24"/>
                <w:szCs w:val="24"/>
                <w:highlight w:val="none"/>
                <w:lang w:val="en-US" w:eastAsia="zh-CN" w:bidi="ar-SA"/>
              </w:rPr>
              <w:t>风量为</w:t>
            </w:r>
            <w:r>
              <w:rPr>
                <w:rFonts w:hint="eastAsia" w:cs="Times New Roman"/>
                <w:b w:val="0"/>
                <w:bCs w:val="0"/>
                <w:color w:val="auto"/>
                <w:kern w:val="2"/>
                <w:sz w:val="24"/>
                <w:szCs w:val="24"/>
                <w:highlight w:val="none"/>
                <w:lang w:val="en-US" w:eastAsia="zh-CN" w:bidi="ar-SA"/>
              </w:rPr>
              <w:t>20</w:t>
            </w:r>
            <w:r>
              <w:rPr>
                <w:rFonts w:hint="default" w:ascii="Times New Roman" w:hAnsi="Times New Roman" w:eastAsia="宋体" w:cs="Times New Roman"/>
                <w:b w:val="0"/>
                <w:bCs w:val="0"/>
                <w:color w:val="auto"/>
                <w:kern w:val="2"/>
                <w:sz w:val="24"/>
                <w:szCs w:val="24"/>
                <w:highlight w:val="none"/>
                <w:lang w:val="en-US" w:eastAsia="zh-CN" w:bidi="ar-SA"/>
              </w:rPr>
              <w:t>000m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/h，</w:t>
            </w:r>
            <w:r>
              <w:rPr>
                <w:rFonts w:hint="eastAsia" w:cs="Times New Roman"/>
                <w:b w:val="0"/>
                <w:bCs w:val="0"/>
                <w:color w:val="auto"/>
                <w:kern w:val="2"/>
                <w:sz w:val="24"/>
                <w:szCs w:val="24"/>
                <w:highlight w:val="none"/>
                <w:lang w:val="en-US" w:eastAsia="zh-CN" w:bidi="ar-SA"/>
              </w:rPr>
              <w:t>根据表4-1：3套SDG+</w:t>
            </w:r>
            <w:r>
              <w:rPr>
                <w:rFonts w:hint="default" w:ascii="Times New Roman" w:hAnsi="Times New Roman" w:eastAsia="宋体" w:cs="Times New Roman"/>
                <w:b w:val="0"/>
                <w:bCs w:val="0"/>
                <w:color w:val="auto"/>
                <w:kern w:val="2"/>
                <w:sz w:val="24"/>
                <w:szCs w:val="24"/>
                <w:highlight w:val="none"/>
                <w:lang w:val="en-US" w:eastAsia="zh-CN" w:bidi="ar-SA"/>
              </w:rPr>
              <w:t>活性炭吸附装置</w:t>
            </w:r>
            <w:r>
              <w:rPr>
                <w:rFonts w:hint="eastAsia" w:cs="Times New Roman"/>
                <w:b w:val="0"/>
                <w:bCs w:val="0"/>
                <w:color w:val="auto"/>
                <w:kern w:val="2"/>
                <w:sz w:val="24"/>
                <w:szCs w:val="24"/>
                <w:highlight w:val="none"/>
                <w:lang w:val="en-US" w:eastAsia="zh-CN" w:bidi="ar-SA"/>
              </w:rPr>
              <w:t>（TA001、TA002、TA003）</w:t>
            </w:r>
            <w:r>
              <w:rPr>
                <w:rFonts w:hint="default" w:ascii="Times New Roman" w:hAnsi="Times New Roman" w:eastAsia="宋体" w:cs="Times New Roman"/>
                <w:b w:val="0"/>
                <w:bCs w:val="0"/>
                <w:color w:val="auto"/>
                <w:kern w:val="2"/>
                <w:sz w:val="24"/>
                <w:szCs w:val="24"/>
                <w:highlight w:val="none"/>
                <w:lang w:val="en-US" w:eastAsia="zh-CN" w:bidi="ar-SA"/>
              </w:rPr>
              <w:t>对有机废气的</w:t>
            </w:r>
            <w:r>
              <w:rPr>
                <w:rFonts w:hint="eastAsia" w:cs="Times New Roman"/>
                <w:b w:val="0"/>
                <w:bCs w:val="0"/>
                <w:color w:val="auto"/>
                <w:kern w:val="2"/>
                <w:sz w:val="24"/>
                <w:szCs w:val="24"/>
                <w:highlight w:val="none"/>
                <w:lang w:val="en-US" w:eastAsia="zh-CN" w:bidi="ar-SA"/>
              </w:rPr>
              <w:t>综合</w:t>
            </w:r>
            <w:r>
              <w:rPr>
                <w:rFonts w:hint="default" w:ascii="Times New Roman" w:hAnsi="Times New Roman" w:eastAsia="宋体" w:cs="Times New Roman"/>
                <w:b w:val="0"/>
                <w:bCs w:val="0"/>
                <w:color w:val="auto"/>
                <w:kern w:val="2"/>
                <w:sz w:val="24"/>
                <w:szCs w:val="24"/>
                <w:highlight w:val="none"/>
                <w:lang w:val="en-US" w:eastAsia="zh-CN" w:bidi="ar-SA"/>
              </w:rPr>
              <w:t>处理效率</w:t>
            </w:r>
            <w:r>
              <w:rPr>
                <w:rFonts w:hint="eastAsia" w:cs="Times New Roman"/>
                <w:b w:val="0"/>
                <w:bCs w:val="0"/>
                <w:color w:val="auto"/>
                <w:kern w:val="2"/>
                <w:sz w:val="24"/>
                <w:szCs w:val="24"/>
                <w:highlight w:val="none"/>
                <w:lang w:val="en-US" w:eastAsia="zh-CN" w:bidi="ar-SA"/>
              </w:rPr>
              <w:t>约为</w:t>
            </w:r>
            <w:r>
              <w:rPr>
                <w:rFonts w:hint="eastAsia"/>
                <w:color w:val="auto"/>
                <w:sz w:val="24"/>
                <w:highlight w:val="none"/>
                <w:lang w:val="en-US" w:eastAsia="zh-CN"/>
              </w:rPr>
              <w:t>50</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，以</w:t>
            </w:r>
            <w:r>
              <w:rPr>
                <w:rFonts w:hint="eastAsia"/>
                <w:color w:val="auto"/>
                <w:sz w:val="24"/>
                <w:highlight w:val="none"/>
                <w:lang w:val="en-US" w:eastAsia="zh-CN"/>
              </w:rPr>
              <w:t>50</w:t>
            </w:r>
            <w:r>
              <w:rPr>
                <w:rFonts w:hint="eastAsia" w:cs="Times New Roman"/>
                <w:b w:val="0"/>
                <w:bCs w:val="0"/>
                <w:color w:val="auto"/>
                <w:kern w:val="2"/>
                <w:sz w:val="24"/>
                <w:szCs w:val="24"/>
                <w:highlight w:val="none"/>
                <w:lang w:val="en-US" w:eastAsia="zh-CN" w:bidi="ar-SA"/>
              </w:rPr>
              <w:t>%计算。类比已取得环评批复</w:t>
            </w:r>
            <w:r>
              <w:rPr>
                <w:rFonts w:hint="eastAsia"/>
                <w:color w:val="auto"/>
                <w:sz w:val="24"/>
                <w:highlight w:val="none"/>
              </w:rPr>
              <w:t>绵阳市涪城生态环境监测站实验室建设项目</w:t>
            </w:r>
            <w:r>
              <w:rPr>
                <w:rFonts w:hint="eastAsia" w:cs="Times New Roman"/>
                <w:b w:val="0"/>
                <w:bCs w:val="0"/>
                <w:color w:val="auto"/>
                <w:kern w:val="2"/>
                <w:sz w:val="24"/>
                <w:szCs w:val="24"/>
                <w:highlight w:val="none"/>
                <w:lang w:val="en-US" w:eastAsia="zh-CN" w:bidi="ar-SA"/>
              </w:rPr>
              <w:t>，SDG吸附装置+活性炭对无机废气酸雾处理效率取80%计算</w:t>
            </w:r>
          </w:p>
          <w:p w14:paraId="24DCCC33">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default"/>
                <w:color w:val="auto"/>
                <w:sz w:val="24"/>
                <w:highlight w:val="none"/>
                <w:vertAlign w:val="baseline"/>
                <w:lang w:val="en-US" w:eastAsia="zh-CN"/>
              </w:rPr>
            </w:pPr>
            <w:r>
              <w:rPr>
                <w:rFonts w:hint="eastAsia" w:ascii="宋体" w:hAnsi="宋体" w:cs="宋体"/>
                <w:color w:val="auto"/>
                <w:kern w:val="0"/>
                <w:sz w:val="24"/>
                <w:szCs w:val="24"/>
                <w:highlight w:val="none"/>
                <w:lang w:val="en-US" w:eastAsia="zh-CN" w:bidi="ar"/>
              </w:rPr>
              <w:t>根据监测报告，探试实验室</w:t>
            </w:r>
            <w:r>
              <w:rPr>
                <w:rFonts w:hint="eastAsia" w:ascii="宋体" w:hAnsi="宋体" w:eastAsia="宋体" w:cs="宋体"/>
                <w:color w:val="auto"/>
                <w:kern w:val="0"/>
                <w:sz w:val="24"/>
                <w:szCs w:val="24"/>
                <w:highlight w:val="none"/>
                <w:lang w:val="en-US" w:eastAsia="zh-CN" w:bidi="ar"/>
              </w:rPr>
              <w:t>非甲烷总烃</w:t>
            </w:r>
            <w:r>
              <w:rPr>
                <w:rFonts w:hint="eastAsia" w:ascii="Times New Roman" w:hAnsi="Times New Roman" w:eastAsia="宋体" w:cs="Times New Roman"/>
                <w:b w:val="0"/>
                <w:bCs w:val="0"/>
                <w:color w:val="auto"/>
                <w:kern w:val="2"/>
                <w:sz w:val="24"/>
                <w:szCs w:val="24"/>
                <w:highlight w:val="none"/>
                <w:lang w:val="en-US" w:eastAsia="zh-CN" w:bidi="ar-SA"/>
              </w:rPr>
              <w:t>有组织产生量为</w:t>
            </w:r>
            <w:r>
              <w:rPr>
                <w:rFonts w:hint="eastAsia" w:cs="Times New Roman"/>
                <w:b w:val="0"/>
                <w:bCs w:val="0"/>
                <w:color w:val="auto"/>
                <w:kern w:val="2"/>
                <w:sz w:val="24"/>
                <w:szCs w:val="24"/>
                <w:highlight w:val="none"/>
                <w:lang w:val="en-US" w:eastAsia="zh-CN" w:bidi="ar-SA"/>
              </w:rPr>
              <w:t>0.22t</w:t>
            </w:r>
            <w:r>
              <w:rPr>
                <w:rFonts w:hint="eastAsia" w:ascii="Times New Roman" w:hAnsi="Times New Roman" w:eastAsia="宋体" w:cs="Times New Roman"/>
                <w:b w:val="0"/>
                <w:bCs w:val="0"/>
                <w:color w:val="auto"/>
                <w:kern w:val="2"/>
                <w:sz w:val="24"/>
                <w:szCs w:val="24"/>
                <w:highlight w:val="none"/>
                <w:lang w:val="en-US" w:eastAsia="zh-CN" w:bidi="ar-SA"/>
              </w:rPr>
              <w:t>/a，产生速率</w:t>
            </w:r>
            <w:r>
              <w:rPr>
                <w:rFonts w:hint="eastAsia" w:cs="Times New Roman"/>
                <w:b w:val="0"/>
                <w:bCs w:val="0"/>
                <w:color w:val="auto"/>
                <w:kern w:val="2"/>
                <w:sz w:val="24"/>
                <w:szCs w:val="24"/>
                <w:highlight w:val="none"/>
                <w:lang w:val="en-US" w:eastAsia="zh-CN" w:bidi="ar-SA"/>
              </w:rPr>
              <w:t>为0.22</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，产生浓度为11.15</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，非甲烷总烃有组织排放量为0.11t/h，排放速率0.12kg/h，排放浓度为6.05</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vertAlign w:val="baseline"/>
                <w:lang w:val="en-US" w:eastAsia="zh-CN" w:bidi="ar-SA"/>
              </w:rPr>
              <w:t>。</w:t>
            </w:r>
            <w:r>
              <w:rPr>
                <w:rFonts w:hint="eastAsia" w:cs="Times New Roman"/>
                <w:b w:val="0"/>
                <w:bCs w:val="0"/>
                <w:color w:val="auto"/>
                <w:kern w:val="2"/>
                <w:sz w:val="24"/>
                <w:szCs w:val="24"/>
                <w:highlight w:val="none"/>
                <w:lang w:val="en-US" w:eastAsia="zh-CN" w:bidi="ar-SA"/>
              </w:rPr>
              <w:t>通风柜收集效率按80%，则</w:t>
            </w:r>
            <w:r>
              <w:rPr>
                <w:rFonts w:hint="eastAsia" w:ascii="Times New Roman" w:hAnsi="Times New Roman" w:eastAsia="宋体" w:cs="Times New Roman"/>
                <w:b w:val="0"/>
                <w:bCs w:val="0"/>
                <w:color w:val="auto"/>
                <w:kern w:val="2"/>
                <w:sz w:val="24"/>
                <w:szCs w:val="24"/>
                <w:highlight w:val="none"/>
                <w:vertAlign w:val="baseline"/>
                <w:lang w:val="en-US" w:eastAsia="zh-CN" w:bidi="ar-SA"/>
              </w:rPr>
              <w:t>非甲烷总烃无组织产生量为</w:t>
            </w:r>
            <w:r>
              <w:rPr>
                <w:rFonts w:hint="eastAsia" w:cs="Times New Roman"/>
                <w:b w:val="0"/>
                <w:bCs w:val="0"/>
                <w:color w:val="auto"/>
                <w:kern w:val="2"/>
                <w:sz w:val="24"/>
                <w:szCs w:val="24"/>
                <w:highlight w:val="none"/>
                <w:vertAlign w:val="baseline"/>
                <w:lang w:val="en-US" w:eastAsia="zh-CN" w:bidi="ar-SA"/>
              </w:rPr>
              <w:t>0.055t</w:t>
            </w:r>
            <w:r>
              <w:rPr>
                <w:rFonts w:hint="eastAsia" w:ascii="Times New Roman" w:hAnsi="Times New Roman" w:eastAsia="宋体" w:cs="Times New Roman"/>
                <w:b w:val="0"/>
                <w:bCs w:val="0"/>
                <w:color w:val="auto"/>
                <w:kern w:val="2"/>
                <w:sz w:val="24"/>
                <w:szCs w:val="24"/>
                <w:highlight w:val="none"/>
                <w:lang w:val="en-US" w:eastAsia="zh-CN" w:bidi="ar-SA"/>
              </w:rPr>
              <w:t>/a</w:t>
            </w:r>
            <w:r>
              <w:rPr>
                <w:rFonts w:hint="eastAsia" w:cs="Times New Roman"/>
                <w:b w:val="0"/>
                <w:bCs w:val="0"/>
                <w:color w:val="auto"/>
                <w:kern w:val="2"/>
                <w:sz w:val="24"/>
                <w:szCs w:val="24"/>
                <w:highlight w:val="none"/>
                <w:lang w:val="en-US" w:eastAsia="zh-CN" w:bidi="ar-SA"/>
              </w:rPr>
              <w:t>，排放速率0.056</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。探试实验室使用无机酸约占总用量的40%。则探试实验室HCl有组织</w:t>
            </w:r>
            <w:r>
              <w:rPr>
                <w:rFonts w:hint="eastAsia" w:cs="Times New Roman"/>
                <w:b w:val="0"/>
                <w:bCs w:val="0"/>
                <w:color w:val="auto"/>
                <w:kern w:val="2"/>
                <w:sz w:val="24"/>
                <w:szCs w:val="24"/>
                <w:highlight w:val="none"/>
                <w:vertAlign w:val="baseline"/>
                <w:lang w:val="en-US" w:eastAsia="zh-CN" w:bidi="ar-SA"/>
              </w:rPr>
              <w:t>产生量、产生速率、产生浓度分别约为</w:t>
            </w:r>
            <w:r>
              <w:rPr>
                <w:rFonts w:hint="eastAsia"/>
                <w:color w:val="auto"/>
                <w:sz w:val="24"/>
                <w:highlight w:val="none"/>
              </w:rPr>
              <w:t>0.0045</w:t>
            </w:r>
            <w:r>
              <w:rPr>
                <w:rFonts w:hint="eastAsia"/>
                <w:color w:val="auto"/>
                <w:sz w:val="24"/>
                <w:highlight w:val="none"/>
                <w:lang w:val="en-US" w:eastAsia="zh-CN"/>
              </w:rPr>
              <w:t>t/a、</w:t>
            </w:r>
            <w:r>
              <w:rPr>
                <w:rFonts w:hint="eastAsia"/>
                <w:color w:val="auto"/>
                <w:sz w:val="24"/>
                <w:highlight w:val="none"/>
                <w:lang w:eastAsia="zh-CN"/>
              </w:rPr>
              <w:t>0</w:t>
            </w:r>
            <w:r>
              <w:rPr>
                <w:rFonts w:hint="eastAsia"/>
                <w:color w:val="auto"/>
                <w:sz w:val="24"/>
                <w:highlight w:val="none"/>
                <w:lang w:val="en-US" w:eastAsia="zh-CN"/>
              </w:rPr>
              <w:t>.018</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w:t>
            </w:r>
            <w:r>
              <w:rPr>
                <w:rFonts w:hint="eastAsia"/>
                <w:color w:val="auto"/>
                <w:sz w:val="24"/>
                <w:highlight w:val="none"/>
              </w:rPr>
              <w:t>0.</w:t>
            </w:r>
            <w:r>
              <w:rPr>
                <w:rFonts w:hint="eastAsia"/>
                <w:color w:val="auto"/>
                <w:sz w:val="24"/>
                <w:highlight w:val="none"/>
                <w:lang w:eastAsia="zh-CN"/>
              </w:rPr>
              <w:t>9</w:t>
            </w:r>
            <w:r>
              <w:rPr>
                <w:rFonts w:hint="eastAsia"/>
                <w:color w:val="auto"/>
                <w:sz w:val="24"/>
                <w:highlight w:val="none"/>
                <w:lang w:val="en-US" w:eastAsia="zh-CN"/>
              </w:rPr>
              <w:t>2</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，经SDG+活性炭吸附处理后</w:t>
            </w:r>
            <w:r>
              <w:rPr>
                <w:rFonts w:hint="eastAsia" w:cs="Times New Roman"/>
                <w:b w:val="0"/>
                <w:bCs w:val="0"/>
                <w:color w:val="auto"/>
                <w:kern w:val="2"/>
                <w:sz w:val="24"/>
                <w:szCs w:val="24"/>
                <w:highlight w:val="none"/>
                <w:lang w:val="en-US" w:eastAsia="zh-CN" w:bidi="ar-SA"/>
              </w:rPr>
              <w:t>HCl有组织</w:t>
            </w:r>
            <w:r>
              <w:rPr>
                <w:rFonts w:hint="eastAsia" w:cs="Times New Roman"/>
                <w:b w:val="0"/>
                <w:bCs w:val="0"/>
                <w:color w:val="auto"/>
                <w:kern w:val="2"/>
                <w:sz w:val="24"/>
                <w:szCs w:val="24"/>
                <w:highlight w:val="none"/>
                <w:vertAlign w:val="baseline"/>
                <w:lang w:val="en-US" w:eastAsia="zh-CN" w:bidi="ar-SA"/>
              </w:rPr>
              <w:t>排放量、排放速率、排放浓度分别</w:t>
            </w:r>
            <w:r>
              <w:rPr>
                <w:rFonts w:hint="eastAsia"/>
                <w:color w:val="auto"/>
                <w:sz w:val="24"/>
                <w:highlight w:val="none"/>
              </w:rPr>
              <w:t>0.0009</w:t>
            </w:r>
            <w:r>
              <w:rPr>
                <w:rFonts w:hint="eastAsia"/>
                <w:color w:val="auto"/>
                <w:sz w:val="24"/>
                <w:highlight w:val="none"/>
                <w:lang w:val="en-US" w:eastAsia="zh-CN"/>
              </w:rPr>
              <w:t>0t/a、</w:t>
            </w:r>
            <w:r>
              <w:rPr>
                <w:rFonts w:hint="eastAsia"/>
                <w:color w:val="auto"/>
                <w:sz w:val="24"/>
                <w:highlight w:val="none"/>
                <w:lang w:eastAsia="zh-CN"/>
              </w:rPr>
              <w:t>0</w:t>
            </w:r>
            <w:r>
              <w:rPr>
                <w:rFonts w:hint="eastAsia"/>
                <w:color w:val="auto"/>
                <w:sz w:val="24"/>
                <w:highlight w:val="none"/>
                <w:lang w:val="en-US" w:eastAsia="zh-CN"/>
              </w:rPr>
              <w:t>.0037</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olor w:val="auto"/>
                <w:sz w:val="24"/>
                <w:highlight w:val="none"/>
                <w:lang w:eastAsia="zh-CN"/>
              </w:rPr>
              <w:t>、</w:t>
            </w:r>
            <w:r>
              <w:rPr>
                <w:rFonts w:hint="eastAsia"/>
                <w:color w:val="auto"/>
                <w:sz w:val="24"/>
                <w:highlight w:val="none"/>
              </w:rPr>
              <w:t>0.</w:t>
            </w:r>
            <w:r>
              <w:rPr>
                <w:rFonts w:hint="eastAsia"/>
                <w:color w:val="auto"/>
                <w:sz w:val="24"/>
                <w:highlight w:val="none"/>
                <w:lang w:eastAsia="zh-CN"/>
              </w:rPr>
              <w:t>1</w:t>
            </w:r>
            <w:r>
              <w:rPr>
                <w:rFonts w:hint="eastAsia"/>
                <w:color w:val="auto"/>
                <w:sz w:val="24"/>
                <w:highlight w:val="none"/>
                <w:lang w:val="en-US" w:eastAsia="zh-CN"/>
              </w:rPr>
              <w:t>8</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有组织</w:t>
            </w:r>
            <w:r>
              <w:rPr>
                <w:rFonts w:hint="eastAsia" w:cs="Times New Roman"/>
                <w:b w:val="0"/>
                <w:bCs w:val="0"/>
                <w:color w:val="auto"/>
                <w:kern w:val="2"/>
                <w:sz w:val="24"/>
                <w:szCs w:val="24"/>
                <w:highlight w:val="none"/>
                <w:vertAlign w:val="baseline"/>
                <w:lang w:val="en-US" w:eastAsia="zh-CN" w:bidi="ar-SA"/>
              </w:rPr>
              <w:t>产生量、产生速率、产生浓度分别约为</w:t>
            </w:r>
            <w:r>
              <w:rPr>
                <w:rFonts w:hint="eastAsia"/>
                <w:color w:val="auto"/>
                <w:sz w:val="24"/>
                <w:highlight w:val="none"/>
              </w:rPr>
              <w:t>0.0045</w:t>
            </w:r>
            <w:r>
              <w:rPr>
                <w:rFonts w:hint="eastAsia"/>
                <w:color w:val="auto"/>
                <w:sz w:val="24"/>
                <w:highlight w:val="none"/>
                <w:lang w:val="en-US" w:eastAsia="zh-CN"/>
              </w:rPr>
              <w:t>t/a、</w:t>
            </w:r>
            <w:r>
              <w:rPr>
                <w:rFonts w:hint="eastAsia"/>
                <w:color w:val="auto"/>
                <w:sz w:val="24"/>
                <w:highlight w:val="none"/>
                <w:lang w:eastAsia="zh-CN"/>
              </w:rPr>
              <w:t>0</w:t>
            </w:r>
            <w:r>
              <w:rPr>
                <w:rFonts w:hint="eastAsia"/>
                <w:color w:val="auto"/>
                <w:sz w:val="24"/>
                <w:highlight w:val="none"/>
                <w:lang w:val="en-US" w:eastAsia="zh-CN"/>
              </w:rPr>
              <w:t>.018</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w:t>
            </w:r>
            <w:r>
              <w:rPr>
                <w:rFonts w:hint="eastAsia"/>
                <w:color w:val="auto"/>
                <w:sz w:val="24"/>
                <w:highlight w:val="none"/>
              </w:rPr>
              <w:t>0.</w:t>
            </w:r>
            <w:r>
              <w:rPr>
                <w:rFonts w:hint="eastAsia"/>
                <w:color w:val="auto"/>
                <w:sz w:val="24"/>
                <w:highlight w:val="none"/>
                <w:lang w:eastAsia="zh-CN"/>
              </w:rPr>
              <w:t>9</w:t>
            </w:r>
            <w:r>
              <w:rPr>
                <w:rFonts w:hint="eastAsia"/>
                <w:color w:val="auto"/>
                <w:sz w:val="24"/>
                <w:highlight w:val="none"/>
                <w:lang w:val="en-US" w:eastAsia="zh-CN"/>
              </w:rPr>
              <w:t>2</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，经处理后</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有组织</w:t>
            </w:r>
            <w:r>
              <w:rPr>
                <w:rFonts w:hint="eastAsia" w:cs="Times New Roman"/>
                <w:b w:val="0"/>
                <w:bCs w:val="0"/>
                <w:color w:val="auto"/>
                <w:kern w:val="2"/>
                <w:sz w:val="24"/>
                <w:szCs w:val="24"/>
                <w:highlight w:val="none"/>
                <w:vertAlign w:val="baseline"/>
                <w:lang w:val="en-US" w:eastAsia="zh-CN" w:bidi="ar-SA"/>
              </w:rPr>
              <w:t>排放量、排放速率、排放浓度分别</w:t>
            </w:r>
            <w:r>
              <w:rPr>
                <w:rFonts w:hint="eastAsia"/>
                <w:color w:val="auto"/>
                <w:sz w:val="24"/>
                <w:highlight w:val="none"/>
              </w:rPr>
              <w:t>0.0009</w:t>
            </w:r>
            <w:r>
              <w:rPr>
                <w:rFonts w:hint="eastAsia"/>
                <w:color w:val="auto"/>
                <w:sz w:val="24"/>
                <w:highlight w:val="none"/>
                <w:lang w:val="en-US" w:eastAsia="zh-CN"/>
              </w:rPr>
              <w:t>0t/a、</w:t>
            </w:r>
            <w:r>
              <w:rPr>
                <w:rFonts w:hint="eastAsia"/>
                <w:color w:val="auto"/>
                <w:sz w:val="24"/>
                <w:highlight w:val="none"/>
                <w:lang w:eastAsia="zh-CN"/>
              </w:rPr>
              <w:t>0</w:t>
            </w:r>
            <w:r>
              <w:rPr>
                <w:rFonts w:hint="eastAsia"/>
                <w:color w:val="auto"/>
                <w:sz w:val="24"/>
                <w:highlight w:val="none"/>
                <w:lang w:val="en-US" w:eastAsia="zh-CN"/>
              </w:rPr>
              <w:t>.0037</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olor w:val="auto"/>
                <w:sz w:val="24"/>
                <w:highlight w:val="none"/>
                <w:lang w:eastAsia="zh-CN"/>
              </w:rPr>
              <w:t>、</w:t>
            </w:r>
            <w:r>
              <w:rPr>
                <w:rFonts w:hint="eastAsia"/>
                <w:color w:val="auto"/>
                <w:sz w:val="24"/>
                <w:highlight w:val="none"/>
              </w:rPr>
              <w:t>0.</w:t>
            </w:r>
            <w:r>
              <w:rPr>
                <w:rFonts w:hint="eastAsia"/>
                <w:color w:val="auto"/>
                <w:sz w:val="24"/>
                <w:highlight w:val="none"/>
                <w:lang w:eastAsia="zh-CN"/>
              </w:rPr>
              <w:t>1</w:t>
            </w:r>
            <w:r>
              <w:rPr>
                <w:rFonts w:hint="eastAsia"/>
                <w:color w:val="auto"/>
                <w:sz w:val="24"/>
                <w:highlight w:val="none"/>
                <w:lang w:val="en-US" w:eastAsia="zh-CN"/>
              </w:rPr>
              <w:t>8</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w:t>
            </w:r>
            <w:r>
              <w:rPr>
                <w:rFonts w:hint="eastAsia" w:cs="Times New Roman"/>
                <w:b w:val="0"/>
                <w:bCs w:val="0"/>
                <w:color w:val="auto"/>
                <w:kern w:val="2"/>
                <w:sz w:val="24"/>
                <w:szCs w:val="24"/>
                <w:highlight w:val="none"/>
                <w:lang w:val="en-US" w:eastAsia="zh-CN" w:bidi="ar-SA"/>
              </w:rPr>
              <w:t>HCl无组织</w:t>
            </w:r>
            <w:r>
              <w:rPr>
                <w:rFonts w:hint="eastAsia" w:cs="Times New Roman"/>
                <w:b w:val="0"/>
                <w:bCs w:val="0"/>
                <w:color w:val="auto"/>
                <w:kern w:val="2"/>
                <w:sz w:val="24"/>
                <w:szCs w:val="24"/>
                <w:highlight w:val="none"/>
                <w:vertAlign w:val="baseline"/>
                <w:lang w:val="en-US" w:eastAsia="zh-CN" w:bidi="ar-SA"/>
              </w:rPr>
              <w:t>排放量、排放速率分别为0.0011</w:t>
            </w:r>
            <w:r>
              <w:rPr>
                <w:rFonts w:hint="eastAsia"/>
                <w:color w:val="auto"/>
                <w:sz w:val="24"/>
                <w:highlight w:val="none"/>
                <w:lang w:val="en-US" w:eastAsia="zh-CN"/>
              </w:rPr>
              <w:t>t/a、0.0045kg/h；</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无组织</w:t>
            </w:r>
            <w:r>
              <w:rPr>
                <w:rFonts w:hint="eastAsia" w:cs="Times New Roman"/>
                <w:b w:val="0"/>
                <w:bCs w:val="0"/>
                <w:color w:val="auto"/>
                <w:kern w:val="2"/>
                <w:sz w:val="24"/>
                <w:szCs w:val="24"/>
                <w:highlight w:val="none"/>
                <w:vertAlign w:val="baseline"/>
                <w:lang w:val="en-US" w:eastAsia="zh-CN" w:bidi="ar-SA"/>
              </w:rPr>
              <w:t>排放量、排放速率分别为0.0011</w:t>
            </w:r>
            <w:r>
              <w:rPr>
                <w:rFonts w:hint="eastAsia"/>
                <w:color w:val="auto"/>
                <w:sz w:val="24"/>
                <w:highlight w:val="none"/>
                <w:lang w:val="en-US" w:eastAsia="zh-CN"/>
              </w:rPr>
              <w:t>t/a、0.0045kg/h。</w:t>
            </w:r>
          </w:p>
          <w:p w14:paraId="62532583">
            <w:pPr>
              <w:keepNext w:val="0"/>
              <w:keepLines w:val="0"/>
              <w:widowControl/>
              <w:suppressLineNumbers w:val="0"/>
              <w:spacing w:line="360" w:lineRule="auto"/>
              <w:ind w:left="0" w:leftChars="0" w:firstLine="422" w:firstLineChars="175"/>
              <w:jc w:val="both"/>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②</w:t>
            </w:r>
            <w:r>
              <w:rPr>
                <w:rFonts w:hint="eastAsia" w:cs="Times New Roman"/>
                <w:b/>
                <w:bCs/>
                <w:color w:val="auto"/>
                <w:kern w:val="2"/>
                <w:sz w:val="24"/>
                <w:szCs w:val="24"/>
                <w:highlight w:val="none"/>
                <w:lang w:val="en-US" w:eastAsia="zh-CN" w:bidi="ar-SA"/>
              </w:rPr>
              <w:t>小试实验室</w:t>
            </w:r>
            <w:r>
              <w:rPr>
                <w:rFonts w:hint="eastAsia" w:ascii="Times New Roman" w:hAnsi="Times New Roman" w:eastAsia="宋体" w:cs="Times New Roman"/>
                <w:b/>
                <w:bCs/>
                <w:color w:val="auto"/>
                <w:kern w:val="2"/>
                <w:sz w:val="24"/>
                <w:szCs w:val="24"/>
                <w:highlight w:val="none"/>
                <w:lang w:val="en-US" w:eastAsia="zh-CN" w:bidi="ar-SA"/>
              </w:rPr>
              <w:t>开发废气</w:t>
            </w:r>
          </w:p>
          <w:p w14:paraId="50B4D2B2">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宋体" w:hAnsi="宋体" w:cs="宋体"/>
                <w:color w:val="auto"/>
                <w:kern w:val="0"/>
                <w:sz w:val="24"/>
                <w:szCs w:val="24"/>
                <w:highlight w:val="none"/>
                <w:lang w:val="en-US" w:eastAsia="zh-CN" w:bidi="ar"/>
              </w:rPr>
              <w:t>小试实验室主要进行</w:t>
            </w:r>
            <w:r>
              <w:rPr>
                <w:rFonts w:hint="eastAsia" w:ascii="宋体" w:hAnsi="宋体" w:eastAsia="宋体" w:cs="宋体"/>
                <w:color w:val="auto"/>
                <w:kern w:val="0"/>
                <w:sz w:val="24"/>
                <w:szCs w:val="24"/>
                <w:highlight w:val="none"/>
                <w:lang w:val="en-US" w:eastAsia="zh-CN" w:bidi="ar"/>
              </w:rPr>
              <w:t>医药中间体工艺开发</w:t>
            </w:r>
            <w:r>
              <w:rPr>
                <w:rFonts w:hint="eastAsia" w:ascii="宋体" w:hAnsi="宋体" w:cs="宋体"/>
                <w:color w:val="auto"/>
                <w:kern w:val="0"/>
                <w:sz w:val="24"/>
                <w:szCs w:val="24"/>
                <w:highlight w:val="none"/>
                <w:lang w:val="en-US" w:eastAsia="zh-CN" w:bidi="ar"/>
              </w:rPr>
              <w:t>，在此过程中会产生工艺开发</w:t>
            </w:r>
            <w:r>
              <w:rPr>
                <w:rFonts w:hint="eastAsia" w:ascii="宋体" w:hAnsi="宋体" w:eastAsia="宋体" w:cs="宋体"/>
                <w:color w:val="auto"/>
                <w:kern w:val="0"/>
                <w:sz w:val="24"/>
                <w:szCs w:val="24"/>
                <w:highlight w:val="none"/>
                <w:lang w:val="en-US" w:eastAsia="zh-CN" w:bidi="ar"/>
              </w:rPr>
              <w:t>废气</w:t>
            </w:r>
            <w:r>
              <w:rPr>
                <w:rFonts w:hint="eastAsia" w:ascii="宋体" w:hAnsi="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废气经通风</w:t>
            </w:r>
            <w:r>
              <w:rPr>
                <w:rFonts w:hint="eastAsia" w:ascii="宋体" w:hAnsi="宋体" w:cs="宋体"/>
                <w:color w:val="auto"/>
                <w:kern w:val="0"/>
                <w:sz w:val="24"/>
                <w:szCs w:val="24"/>
                <w:highlight w:val="none"/>
                <w:lang w:val="en-US" w:eastAsia="zh-CN" w:bidi="ar"/>
              </w:rPr>
              <w:t>柜</w:t>
            </w:r>
            <w:r>
              <w:rPr>
                <w:rFonts w:hint="eastAsia" w:ascii="宋体" w:hAnsi="宋体" w:eastAsia="宋体" w:cs="宋体"/>
                <w:color w:val="auto"/>
                <w:kern w:val="0"/>
                <w:sz w:val="24"/>
                <w:szCs w:val="24"/>
                <w:highlight w:val="none"/>
                <w:lang w:val="en-US" w:eastAsia="zh-CN" w:bidi="ar"/>
              </w:rPr>
              <w:t>收集后（收集效率</w:t>
            </w:r>
            <w:r>
              <w:rPr>
                <w:rFonts w:hint="eastAsia" w:cs="Times New Roman"/>
                <w:color w:val="auto"/>
                <w:kern w:val="0"/>
                <w:sz w:val="24"/>
                <w:szCs w:val="24"/>
                <w:highlight w:val="none"/>
                <w:lang w:val="en-US" w:eastAsia="zh-CN" w:bidi="ar"/>
              </w:rPr>
              <w:t>80</w:t>
            </w:r>
            <w:r>
              <w:rPr>
                <w:rFonts w:hint="default" w:ascii="Times New Roman" w:hAnsi="Times New Roman" w:eastAsia="宋体" w:cs="Times New Roman"/>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）经活性炭吸附装置（</w:t>
            </w:r>
            <w:r>
              <w:rPr>
                <w:rFonts w:hint="default" w:ascii="Times New Roman" w:hAnsi="Times New Roman" w:eastAsia="宋体" w:cs="Times New Roman"/>
                <w:color w:val="auto"/>
                <w:kern w:val="0"/>
                <w:sz w:val="24"/>
                <w:szCs w:val="24"/>
                <w:highlight w:val="none"/>
                <w:lang w:val="en-US" w:eastAsia="zh-CN" w:bidi="ar"/>
              </w:rPr>
              <w:t>TA00</w:t>
            </w:r>
            <w:r>
              <w:rPr>
                <w:rFonts w:hint="eastAsia" w:cs="Times New Roman"/>
                <w:color w:val="auto"/>
                <w:kern w:val="0"/>
                <w:sz w:val="24"/>
                <w:szCs w:val="24"/>
                <w:highlight w:val="none"/>
                <w:lang w:val="en-US" w:eastAsia="zh-CN" w:bidi="ar"/>
              </w:rPr>
              <w:t>4，TA005</w:t>
            </w:r>
            <w:r>
              <w:rPr>
                <w:rFonts w:hint="eastAsia" w:ascii="宋体" w:hAnsi="宋体" w:eastAsia="宋体" w:cs="宋体"/>
                <w:color w:val="auto"/>
                <w:kern w:val="0"/>
                <w:sz w:val="24"/>
                <w:szCs w:val="24"/>
                <w:highlight w:val="none"/>
                <w:lang w:val="en-US" w:eastAsia="zh-CN" w:bidi="ar"/>
              </w:rPr>
              <w:t>）处理后经楼顶排气筒（</w:t>
            </w:r>
            <w:r>
              <w:rPr>
                <w:rFonts w:hint="default" w:ascii="Times New Roman" w:hAnsi="Times New Roman" w:eastAsia="宋体" w:cs="Times New Roman"/>
                <w:color w:val="auto"/>
                <w:kern w:val="0"/>
                <w:sz w:val="24"/>
                <w:szCs w:val="24"/>
                <w:highlight w:val="none"/>
                <w:lang w:val="en-US" w:eastAsia="zh-CN" w:bidi="ar"/>
              </w:rPr>
              <w:t>DA00</w:t>
            </w:r>
            <w:r>
              <w:rPr>
                <w:rFonts w:hint="eastAsia" w:cs="Times New Roman"/>
                <w:color w:val="auto"/>
                <w:kern w:val="0"/>
                <w:sz w:val="24"/>
                <w:szCs w:val="24"/>
                <w:highlight w:val="none"/>
                <w:lang w:val="en-US" w:eastAsia="zh-CN" w:bidi="ar"/>
              </w:rPr>
              <w:t>1</w:t>
            </w:r>
            <w:r>
              <w:rPr>
                <w:rFonts w:hint="eastAsia" w:ascii="宋体" w:hAnsi="宋体" w:eastAsia="宋体" w:cs="宋体"/>
                <w:color w:val="auto"/>
                <w:kern w:val="0"/>
                <w:sz w:val="24"/>
                <w:szCs w:val="24"/>
                <w:highlight w:val="none"/>
                <w:lang w:val="en-US" w:eastAsia="zh-CN" w:bidi="ar"/>
              </w:rPr>
              <w:t>）排放。废气处理设备风机</w:t>
            </w:r>
            <w:r>
              <w:rPr>
                <w:rFonts w:hint="eastAsia" w:ascii="宋体" w:hAnsi="宋体" w:cs="宋体"/>
                <w:color w:val="auto"/>
                <w:kern w:val="0"/>
                <w:sz w:val="24"/>
                <w:szCs w:val="24"/>
                <w:highlight w:val="none"/>
                <w:lang w:val="en-US" w:eastAsia="zh-CN" w:bidi="ar"/>
              </w:rPr>
              <w:t>设计</w:t>
            </w:r>
            <w:r>
              <w:rPr>
                <w:rFonts w:hint="eastAsia" w:ascii="宋体" w:hAnsi="宋体" w:eastAsia="宋体" w:cs="宋体"/>
                <w:color w:val="auto"/>
                <w:kern w:val="0"/>
                <w:sz w:val="24"/>
                <w:szCs w:val="24"/>
                <w:highlight w:val="none"/>
                <w:lang w:val="en-US" w:eastAsia="zh-CN" w:bidi="ar"/>
              </w:rPr>
              <w:t>风量</w:t>
            </w:r>
            <w:r>
              <w:rPr>
                <w:rFonts w:hint="default" w:ascii="Times New Roman" w:hAnsi="Times New Roman" w:eastAsia="宋体" w:cs="Times New Roman"/>
                <w:color w:val="auto"/>
                <w:kern w:val="0"/>
                <w:sz w:val="24"/>
                <w:szCs w:val="24"/>
                <w:highlight w:val="none"/>
                <w:lang w:val="en-US" w:eastAsia="zh-CN" w:bidi="ar"/>
              </w:rPr>
              <w:t>为</w:t>
            </w:r>
            <w:r>
              <w:rPr>
                <w:rFonts w:hint="default" w:ascii="Times New Roman" w:hAnsi="Times New Roman" w:cs="Times New Roman"/>
                <w:color w:val="auto"/>
                <w:kern w:val="0"/>
                <w:sz w:val="24"/>
                <w:szCs w:val="24"/>
                <w:highlight w:val="none"/>
                <w:lang w:val="en-US" w:eastAsia="zh-CN" w:bidi="ar"/>
              </w:rPr>
              <w:t>2</w:t>
            </w:r>
            <w:r>
              <w:rPr>
                <w:rFonts w:hint="default" w:ascii="Times New Roman" w:hAnsi="Times New Roman" w:eastAsia="宋体" w:cs="Times New Roman"/>
                <w:color w:val="auto"/>
                <w:kern w:val="0"/>
                <w:sz w:val="24"/>
                <w:szCs w:val="24"/>
                <w:highlight w:val="none"/>
                <w:lang w:val="en-US" w:eastAsia="zh-CN" w:bidi="ar"/>
              </w:rPr>
              <w:t>0000m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/h</w:t>
            </w:r>
            <w:r>
              <w:rPr>
                <w:rFonts w:hint="eastAsia" w:ascii="宋体" w:hAnsi="宋体" w:eastAsia="宋体" w:cs="宋体"/>
                <w:color w:val="auto"/>
                <w:kern w:val="0"/>
                <w:sz w:val="24"/>
                <w:szCs w:val="24"/>
                <w:highlight w:val="none"/>
                <w:lang w:val="en-US" w:eastAsia="zh-CN" w:bidi="ar"/>
              </w:rPr>
              <w:t>，</w:t>
            </w:r>
            <w:r>
              <w:rPr>
                <w:rFonts w:hint="eastAsia" w:ascii="宋体" w:hAnsi="宋体" w:cs="宋体"/>
                <w:color w:val="auto"/>
                <w:kern w:val="0"/>
                <w:sz w:val="24"/>
                <w:szCs w:val="24"/>
                <w:highlight w:val="none"/>
                <w:lang w:val="en-US" w:eastAsia="zh-CN" w:bidi="ar"/>
              </w:rPr>
              <w:t>根据</w:t>
            </w:r>
            <w:r>
              <w:rPr>
                <w:rFonts w:hint="eastAsia" w:cs="Times New Roman"/>
                <w:b w:val="0"/>
                <w:bCs w:val="0"/>
                <w:color w:val="auto"/>
                <w:kern w:val="2"/>
                <w:sz w:val="24"/>
                <w:szCs w:val="24"/>
                <w:highlight w:val="none"/>
                <w:lang w:val="en-US" w:eastAsia="zh-CN" w:bidi="ar-SA"/>
              </w:rPr>
              <w:t>表4-1</w:t>
            </w:r>
            <w:r>
              <w:rPr>
                <w:rFonts w:hint="eastAsia" w:ascii="宋体" w:hAnsi="宋体" w:cs="宋体"/>
                <w:color w:val="auto"/>
                <w:kern w:val="0"/>
                <w:sz w:val="24"/>
                <w:szCs w:val="24"/>
                <w:highlight w:val="none"/>
                <w:lang w:val="en-US" w:eastAsia="zh-CN" w:bidi="ar"/>
              </w:rPr>
              <w:t>，2套废气处理</w:t>
            </w:r>
            <w:r>
              <w:rPr>
                <w:rFonts w:hint="eastAsia" w:ascii="宋体" w:hAnsi="宋体" w:eastAsia="宋体" w:cs="宋体"/>
                <w:color w:val="auto"/>
                <w:kern w:val="0"/>
                <w:sz w:val="24"/>
                <w:szCs w:val="24"/>
                <w:highlight w:val="none"/>
                <w:lang w:val="en-US" w:eastAsia="zh-CN" w:bidi="ar"/>
              </w:rPr>
              <w:t>装置</w:t>
            </w:r>
            <w:r>
              <w:rPr>
                <w:rFonts w:hint="eastAsia" w:cs="Times New Roman"/>
                <w:b w:val="0"/>
                <w:bCs w:val="0"/>
                <w:color w:val="auto"/>
                <w:kern w:val="2"/>
                <w:sz w:val="24"/>
                <w:szCs w:val="24"/>
                <w:highlight w:val="none"/>
                <w:lang w:val="en-US" w:eastAsia="zh-CN" w:bidi="ar-SA"/>
              </w:rPr>
              <w:t>（TA004、TA005）</w:t>
            </w:r>
            <w:r>
              <w:rPr>
                <w:rFonts w:hint="eastAsia" w:ascii="宋体" w:hAnsi="宋体" w:eastAsia="宋体" w:cs="宋体"/>
                <w:color w:val="auto"/>
                <w:kern w:val="0"/>
                <w:sz w:val="24"/>
                <w:szCs w:val="24"/>
                <w:highlight w:val="none"/>
                <w:lang w:val="en-US" w:eastAsia="zh-CN" w:bidi="ar"/>
              </w:rPr>
              <w:t>对有机废气的</w:t>
            </w:r>
            <w:r>
              <w:rPr>
                <w:rFonts w:hint="eastAsia" w:ascii="宋体" w:hAnsi="宋体" w:cs="宋体"/>
                <w:color w:val="auto"/>
                <w:kern w:val="0"/>
                <w:sz w:val="24"/>
                <w:szCs w:val="24"/>
                <w:highlight w:val="none"/>
                <w:lang w:val="en-US" w:eastAsia="zh-CN" w:bidi="ar"/>
              </w:rPr>
              <w:t>综合</w:t>
            </w:r>
            <w:r>
              <w:rPr>
                <w:rFonts w:hint="eastAsia" w:ascii="宋体" w:hAnsi="宋体" w:eastAsia="宋体" w:cs="宋体"/>
                <w:color w:val="auto"/>
                <w:kern w:val="0"/>
                <w:sz w:val="24"/>
                <w:szCs w:val="24"/>
                <w:highlight w:val="none"/>
                <w:lang w:val="en-US" w:eastAsia="zh-CN" w:bidi="ar"/>
              </w:rPr>
              <w:t>处理效率</w:t>
            </w:r>
            <w:r>
              <w:rPr>
                <w:rFonts w:hint="eastAsia" w:ascii="宋体" w:hAnsi="宋体" w:cs="宋体"/>
                <w:color w:val="auto"/>
                <w:kern w:val="0"/>
                <w:sz w:val="24"/>
                <w:szCs w:val="24"/>
                <w:highlight w:val="none"/>
                <w:lang w:val="en-US" w:eastAsia="zh-CN" w:bidi="ar"/>
              </w:rPr>
              <w:t>为</w:t>
            </w:r>
            <w:r>
              <w:rPr>
                <w:rFonts w:hint="eastAsia" w:cs="Times New Roman"/>
                <w:color w:val="auto"/>
                <w:kern w:val="0"/>
                <w:sz w:val="24"/>
                <w:szCs w:val="24"/>
                <w:highlight w:val="none"/>
                <w:lang w:val="en-US" w:eastAsia="zh-CN" w:bidi="ar"/>
              </w:rPr>
              <w:t>44.12</w:t>
            </w:r>
            <w:r>
              <w:rPr>
                <w:rFonts w:hint="default" w:ascii="Times New Roman" w:hAnsi="Times New Roman" w:eastAsia="宋体" w:cs="Times New Roman"/>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w:t>
            </w:r>
            <w:r>
              <w:rPr>
                <w:rFonts w:hint="eastAsia" w:cs="Times New Roman"/>
                <w:b w:val="0"/>
                <w:bCs w:val="0"/>
                <w:color w:val="auto"/>
                <w:kern w:val="2"/>
                <w:sz w:val="24"/>
                <w:szCs w:val="24"/>
                <w:highlight w:val="none"/>
                <w:lang w:val="en-US" w:eastAsia="zh-CN" w:bidi="ar-SA"/>
              </w:rPr>
              <w:t>类比已取得环评批复</w:t>
            </w:r>
            <w:r>
              <w:rPr>
                <w:rFonts w:hint="eastAsia"/>
                <w:color w:val="auto"/>
                <w:sz w:val="24"/>
                <w:highlight w:val="none"/>
              </w:rPr>
              <w:t>绵阳市涪城生态环境监测站实验室建设项目</w:t>
            </w:r>
            <w:r>
              <w:rPr>
                <w:rFonts w:hint="eastAsia" w:cs="Times New Roman"/>
                <w:b w:val="0"/>
                <w:bCs w:val="0"/>
                <w:color w:val="auto"/>
                <w:kern w:val="2"/>
                <w:sz w:val="24"/>
                <w:szCs w:val="24"/>
                <w:highlight w:val="none"/>
                <w:lang w:val="en-US" w:eastAsia="zh-CN" w:bidi="ar-SA"/>
              </w:rPr>
              <w:t>，SDG吸附装置+活性炭对无机废气酸雾处理效率取80%计算。</w:t>
            </w:r>
          </w:p>
          <w:p w14:paraId="09BE605E">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default"/>
                <w:color w:val="auto"/>
                <w:sz w:val="24"/>
                <w:highlight w:val="none"/>
                <w:vertAlign w:val="baseline"/>
                <w:lang w:val="en-US" w:eastAsia="zh-CN"/>
              </w:rPr>
            </w:pPr>
            <w:r>
              <w:rPr>
                <w:rFonts w:hint="eastAsia" w:ascii="宋体" w:hAnsi="宋体" w:cs="宋体"/>
                <w:color w:val="auto"/>
                <w:kern w:val="0"/>
                <w:sz w:val="24"/>
                <w:szCs w:val="24"/>
                <w:highlight w:val="none"/>
                <w:lang w:val="en-US" w:eastAsia="zh-CN" w:bidi="ar"/>
              </w:rPr>
              <w:t>根据</w:t>
            </w:r>
            <w:r>
              <w:rPr>
                <w:rFonts w:hint="eastAsia" w:cs="Times New Roman"/>
                <w:b w:val="0"/>
                <w:bCs w:val="0"/>
                <w:color w:val="auto"/>
                <w:kern w:val="2"/>
                <w:sz w:val="24"/>
                <w:szCs w:val="24"/>
                <w:highlight w:val="none"/>
                <w:lang w:val="en-US" w:eastAsia="zh-CN" w:bidi="ar-SA"/>
              </w:rPr>
              <w:t>表4-1</w:t>
            </w:r>
            <w:r>
              <w:rPr>
                <w:rFonts w:hint="eastAsia" w:ascii="宋体" w:hAnsi="宋体" w:cs="宋体"/>
                <w:color w:val="auto"/>
                <w:kern w:val="0"/>
                <w:sz w:val="24"/>
                <w:szCs w:val="24"/>
                <w:highlight w:val="none"/>
                <w:lang w:val="en-US" w:eastAsia="zh-CN" w:bidi="ar"/>
              </w:rPr>
              <w:t>，小试实验室探试实验室</w:t>
            </w:r>
            <w:r>
              <w:rPr>
                <w:rFonts w:hint="eastAsia" w:ascii="宋体" w:hAnsi="宋体" w:eastAsia="宋体" w:cs="宋体"/>
                <w:color w:val="auto"/>
                <w:kern w:val="0"/>
                <w:sz w:val="24"/>
                <w:szCs w:val="24"/>
                <w:highlight w:val="none"/>
                <w:lang w:val="en-US" w:eastAsia="zh-CN" w:bidi="ar"/>
              </w:rPr>
              <w:t>非甲烷总烃</w:t>
            </w:r>
            <w:r>
              <w:rPr>
                <w:rFonts w:hint="eastAsia" w:ascii="Times New Roman" w:hAnsi="Times New Roman" w:eastAsia="宋体" w:cs="Times New Roman"/>
                <w:b w:val="0"/>
                <w:bCs w:val="0"/>
                <w:color w:val="auto"/>
                <w:kern w:val="2"/>
                <w:sz w:val="24"/>
                <w:szCs w:val="24"/>
                <w:highlight w:val="none"/>
                <w:lang w:val="en-US" w:eastAsia="zh-CN" w:bidi="ar-SA"/>
              </w:rPr>
              <w:t>有组织产生量为</w:t>
            </w:r>
            <w:r>
              <w:rPr>
                <w:rFonts w:hint="eastAsia" w:cs="Times New Roman"/>
                <w:b w:val="0"/>
                <w:bCs w:val="0"/>
                <w:color w:val="auto"/>
                <w:kern w:val="2"/>
                <w:sz w:val="24"/>
                <w:szCs w:val="24"/>
                <w:highlight w:val="none"/>
                <w:lang w:val="en-US" w:eastAsia="zh-CN" w:bidi="ar-SA"/>
              </w:rPr>
              <w:t>0.19t</w:t>
            </w:r>
            <w:r>
              <w:rPr>
                <w:rFonts w:hint="eastAsia" w:ascii="Times New Roman" w:hAnsi="Times New Roman" w:eastAsia="宋体" w:cs="Times New Roman"/>
                <w:b w:val="0"/>
                <w:bCs w:val="0"/>
                <w:color w:val="auto"/>
                <w:kern w:val="2"/>
                <w:sz w:val="24"/>
                <w:szCs w:val="24"/>
                <w:highlight w:val="none"/>
                <w:lang w:val="en-US" w:eastAsia="zh-CN" w:bidi="ar-SA"/>
              </w:rPr>
              <w:t>/a，产生速率</w:t>
            </w:r>
            <w:r>
              <w:rPr>
                <w:rFonts w:hint="eastAsia" w:cs="Times New Roman"/>
                <w:b w:val="0"/>
                <w:bCs w:val="0"/>
                <w:color w:val="auto"/>
                <w:kern w:val="2"/>
                <w:sz w:val="24"/>
                <w:szCs w:val="24"/>
                <w:highlight w:val="none"/>
                <w:lang w:val="en-US" w:eastAsia="zh-CN" w:bidi="ar-SA"/>
              </w:rPr>
              <w:t>为0.19</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，产生浓度为9.45</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，非甲烷总烃有组织排放量为0.10t/h，排放速率0.11kg/h，排放浓度为5.5</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vertAlign w:val="baseline"/>
                <w:lang w:val="en-US" w:eastAsia="zh-CN" w:bidi="ar-SA"/>
              </w:rPr>
              <w:t>。</w:t>
            </w:r>
            <w:r>
              <w:rPr>
                <w:rFonts w:hint="eastAsia" w:cs="Times New Roman"/>
                <w:b w:val="0"/>
                <w:bCs w:val="0"/>
                <w:color w:val="auto"/>
                <w:kern w:val="2"/>
                <w:sz w:val="24"/>
                <w:szCs w:val="24"/>
                <w:highlight w:val="none"/>
                <w:lang w:val="en-US" w:eastAsia="zh-CN" w:bidi="ar-SA"/>
              </w:rPr>
              <w:t>通风柜收集效率按80%，则</w:t>
            </w:r>
            <w:r>
              <w:rPr>
                <w:rFonts w:hint="eastAsia" w:ascii="Times New Roman" w:hAnsi="Times New Roman" w:eastAsia="宋体" w:cs="Times New Roman"/>
                <w:b w:val="0"/>
                <w:bCs w:val="0"/>
                <w:color w:val="auto"/>
                <w:kern w:val="2"/>
                <w:sz w:val="24"/>
                <w:szCs w:val="24"/>
                <w:highlight w:val="none"/>
                <w:vertAlign w:val="baseline"/>
                <w:lang w:val="en-US" w:eastAsia="zh-CN" w:bidi="ar-SA"/>
              </w:rPr>
              <w:t>非甲烷总烃无组织产生量为</w:t>
            </w:r>
            <w:r>
              <w:rPr>
                <w:rFonts w:hint="eastAsia" w:cs="Times New Roman"/>
                <w:b w:val="0"/>
                <w:bCs w:val="0"/>
                <w:color w:val="auto"/>
                <w:kern w:val="2"/>
                <w:sz w:val="24"/>
                <w:szCs w:val="24"/>
                <w:highlight w:val="none"/>
                <w:vertAlign w:val="baseline"/>
                <w:lang w:val="en-US" w:eastAsia="zh-CN" w:bidi="ar-SA"/>
              </w:rPr>
              <w:t>0.046t</w:t>
            </w:r>
            <w:r>
              <w:rPr>
                <w:rFonts w:hint="eastAsia" w:ascii="Times New Roman" w:hAnsi="Times New Roman" w:eastAsia="宋体" w:cs="Times New Roman"/>
                <w:b w:val="0"/>
                <w:bCs w:val="0"/>
                <w:color w:val="auto"/>
                <w:kern w:val="2"/>
                <w:sz w:val="24"/>
                <w:szCs w:val="24"/>
                <w:highlight w:val="none"/>
                <w:lang w:val="en-US" w:eastAsia="zh-CN" w:bidi="ar-SA"/>
              </w:rPr>
              <w:t>/a</w:t>
            </w:r>
            <w:r>
              <w:rPr>
                <w:rFonts w:hint="eastAsia" w:cs="Times New Roman"/>
                <w:b w:val="0"/>
                <w:bCs w:val="0"/>
                <w:color w:val="auto"/>
                <w:kern w:val="2"/>
                <w:sz w:val="24"/>
                <w:szCs w:val="24"/>
                <w:highlight w:val="none"/>
                <w:lang w:val="en-US" w:eastAsia="zh-CN" w:bidi="ar-SA"/>
              </w:rPr>
              <w:t>，排放速率0.047</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小试实验室使用无机酸约占总用量的40%。则小试实验室HCl有组织</w:t>
            </w:r>
            <w:r>
              <w:rPr>
                <w:rFonts w:hint="eastAsia" w:cs="Times New Roman"/>
                <w:b w:val="0"/>
                <w:bCs w:val="0"/>
                <w:color w:val="auto"/>
                <w:kern w:val="2"/>
                <w:sz w:val="24"/>
                <w:szCs w:val="24"/>
                <w:highlight w:val="none"/>
                <w:vertAlign w:val="baseline"/>
                <w:lang w:val="en-US" w:eastAsia="zh-CN" w:bidi="ar-SA"/>
              </w:rPr>
              <w:t>产生量、产生速率、产生浓度分别约为</w:t>
            </w:r>
            <w:r>
              <w:rPr>
                <w:rFonts w:hint="eastAsia"/>
                <w:color w:val="auto"/>
                <w:sz w:val="24"/>
                <w:highlight w:val="none"/>
              </w:rPr>
              <w:t>0.0045</w:t>
            </w:r>
            <w:r>
              <w:rPr>
                <w:rFonts w:hint="eastAsia"/>
                <w:color w:val="auto"/>
                <w:sz w:val="24"/>
                <w:highlight w:val="none"/>
                <w:lang w:val="en-US" w:eastAsia="zh-CN"/>
              </w:rPr>
              <w:t>t/a、</w:t>
            </w:r>
            <w:r>
              <w:rPr>
                <w:rFonts w:hint="eastAsia"/>
                <w:color w:val="auto"/>
                <w:sz w:val="24"/>
                <w:highlight w:val="none"/>
                <w:lang w:eastAsia="zh-CN"/>
              </w:rPr>
              <w:t>0</w:t>
            </w:r>
            <w:r>
              <w:rPr>
                <w:rFonts w:hint="eastAsia"/>
                <w:color w:val="auto"/>
                <w:sz w:val="24"/>
                <w:highlight w:val="none"/>
                <w:lang w:val="en-US" w:eastAsia="zh-CN"/>
              </w:rPr>
              <w:t>.018</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w:t>
            </w:r>
            <w:r>
              <w:rPr>
                <w:rFonts w:hint="eastAsia"/>
                <w:color w:val="auto"/>
                <w:sz w:val="24"/>
                <w:highlight w:val="none"/>
              </w:rPr>
              <w:t>0.</w:t>
            </w:r>
            <w:r>
              <w:rPr>
                <w:rFonts w:hint="eastAsia"/>
                <w:color w:val="auto"/>
                <w:sz w:val="24"/>
                <w:highlight w:val="none"/>
                <w:lang w:eastAsia="zh-CN"/>
              </w:rPr>
              <w:t>9</w:t>
            </w:r>
            <w:r>
              <w:rPr>
                <w:rFonts w:hint="eastAsia"/>
                <w:color w:val="auto"/>
                <w:sz w:val="24"/>
                <w:highlight w:val="none"/>
                <w:lang w:val="en-US" w:eastAsia="zh-CN"/>
              </w:rPr>
              <w:t>2</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，经SDG+活性炭吸附处理后</w:t>
            </w:r>
            <w:r>
              <w:rPr>
                <w:rFonts w:hint="eastAsia" w:cs="Times New Roman"/>
                <w:b w:val="0"/>
                <w:bCs w:val="0"/>
                <w:color w:val="auto"/>
                <w:kern w:val="2"/>
                <w:sz w:val="24"/>
                <w:szCs w:val="24"/>
                <w:highlight w:val="none"/>
                <w:lang w:val="en-US" w:eastAsia="zh-CN" w:bidi="ar-SA"/>
              </w:rPr>
              <w:t>HCl有组织</w:t>
            </w:r>
            <w:r>
              <w:rPr>
                <w:rFonts w:hint="eastAsia" w:cs="Times New Roman"/>
                <w:b w:val="0"/>
                <w:bCs w:val="0"/>
                <w:color w:val="auto"/>
                <w:kern w:val="2"/>
                <w:sz w:val="24"/>
                <w:szCs w:val="24"/>
                <w:highlight w:val="none"/>
                <w:vertAlign w:val="baseline"/>
                <w:lang w:val="en-US" w:eastAsia="zh-CN" w:bidi="ar-SA"/>
              </w:rPr>
              <w:t>排放量、排放速率、排放浓度分别</w:t>
            </w:r>
            <w:r>
              <w:rPr>
                <w:rFonts w:hint="eastAsia"/>
                <w:color w:val="auto"/>
                <w:sz w:val="24"/>
                <w:highlight w:val="none"/>
              </w:rPr>
              <w:t>0.0009</w:t>
            </w:r>
            <w:r>
              <w:rPr>
                <w:rFonts w:hint="eastAsia"/>
                <w:color w:val="auto"/>
                <w:sz w:val="24"/>
                <w:highlight w:val="none"/>
                <w:lang w:val="en-US" w:eastAsia="zh-CN"/>
              </w:rPr>
              <w:t>0t/a、</w:t>
            </w:r>
            <w:r>
              <w:rPr>
                <w:rFonts w:hint="eastAsia"/>
                <w:color w:val="auto"/>
                <w:sz w:val="24"/>
                <w:highlight w:val="none"/>
                <w:lang w:eastAsia="zh-CN"/>
              </w:rPr>
              <w:t>0</w:t>
            </w:r>
            <w:r>
              <w:rPr>
                <w:rFonts w:hint="eastAsia"/>
                <w:color w:val="auto"/>
                <w:sz w:val="24"/>
                <w:highlight w:val="none"/>
                <w:lang w:val="en-US" w:eastAsia="zh-CN"/>
              </w:rPr>
              <w:t>.0037</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olor w:val="auto"/>
                <w:sz w:val="24"/>
                <w:highlight w:val="none"/>
                <w:lang w:eastAsia="zh-CN"/>
              </w:rPr>
              <w:t>、</w:t>
            </w:r>
            <w:r>
              <w:rPr>
                <w:rFonts w:hint="eastAsia"/>
                <w:color w:val="auto"/>
                <w:sz w:val="24"/>
                <w:highlight w:val="none"/>
              </w:rPr>
              <w:t>0.</w:t>
            </w:r>
            <w:r>
              <w:rPr>
                <w:rFonts w:hint="eastAsia"/>
                <w:color w:val="auto"/>
                <w:sz w:val="24"/>
                <w:highlight w:val="none"/>
                <w:lang w:eastAsia="zh-CN"/>
              </w:rPr>
              <w:t>1</w:t>
            </w:r>
            <w:r>
              <w:rPr>
                <w:rFonts w:hint="eastAsia"/>
                <w:color w:val="auto"/>
                <w:sz w:val="24"/>
                <w:highlight w:val="none"/>
                <w:lang w:val="en-US" w:eastAsia="zh-CN"/>
              </w:rPr>
              <w:t>8</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有组织</w:t>
            </w:r>
            <w:r>
              <w:rPr>
                <w:rFonts w:hint="eastAsia" w:cs="Times New Roman"/>
                <w:b w:val="0"/>
                <w:bCs w:val="0"/>
                <w:color w:val="auto"/>
                <w:kern w:val="2"/>
                <w:sz w:val="24"/>
                <w:szCs w:val="24"/>
                <w:highlight w:val="none"/>
                <w:vertAlign w:val="baseline"/>
                <w:lang w:val="en-US" w:eastAsia="zh-CN" w:bidi="ar-SA"/>
              </w:rPr>
              <w:t>产生量、产生速率、产生浓度分别约为</w:t>
            </w:r>
            <w:r>
              <w:rPr>
                <w:rFonts w:hint="eastAsia"/>
                <w:color w:val="auto"/>
                <w:sz w:val="24"/>
                <w:highlight w:val="none"/>
              </w:rPr>
              <w:t>0.0045</w:t>
            </w:r>
            <w:r>
              <w:rPr>
                <w:rFonts w:hint="eastAsia"/>
                <w:color w:val="auto"/>
                <w:sz w:val="24"/>
                <w:highlight w:val="none"/>
                <w:lang w:val="en-US" w:eastAsia="zh-CN"/>
              </w:rPr>
              <w:t>t/a、</w:t>
            </w:r>
            <w:r>
              <w:rPr>
                <w:rFonts w:hint="eastAsia"/>
                <w:color w:val="auto"/>
                <w:sz w:val="24"/>
                <w:highlight w:val="none"/>
                <w:lang w:eastAsia="zh-CN"/>
              </w:rPr>
              <w:t>0</w:t>
            </w:r>
            <w:r>
              <w:rPr>
                <w:rFonts w:hint="eastAsia"/>
                <w:color w:val="auto"/>
                <w:sz w:val="24"/>
                <w:highlight w:val="none"/>
                <w:lang w:val="en-US" w:eastAsia="zh-CN"/>
              </w:rPr>
              <w:t>.018</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w:t>
            </w:r>
            <w:r>
              <w:rPr>
                <w:rFonts w:hint="eastAsia"/>
                <w:color w:val="auto"/>
                <w:sz w:val="24"/>
                <w:highlight w:val="none"/>
              </w:rPr>
              <w:t>0.</w:t>
            </w:r>
            <w:r>
              <w:rPr>
                <w:rFonts w:hint="eastAsia"/>
                <w:color w:val="auto"/>
                <w:sz w:val="24"/>
                <w:highlight w:val="none"/>
                <w:lang w:eastAsia="zh-CN"/>
              </w:rPr>
              <w:t>9</w:t>
            </w:r>
            <w:r>
              <w:rPr>
                <w:rFonts w:hint="eastAsia"/>
                <w:color w:val="auto"/>
                <w:sz w:val="24"/>
                <w:highlight w:val="none"/>
                <w:lang w:val="en-US" w:eastAsia="zh-CN"/>
              </w:rPr>
              <w:t>2</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，经处理后</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有组织</w:t>
            </w:r>
            <w:r>
              <w:rPr>
                <w:rFonts w:hint="eastAsia" w:cs="Times New Roman"/>
                <w:b w:val="0"/>
                <w:bCs w:val="0"/>
                <w:color w:val="auto"/>
                <w:kern w:val="2"/>
                <w:sz w:val="24"/>
                <w:szCs w:val="24"/>
                <w:highlight w:val="none"/>
                <w:vertAlign w:val="baseline"/>
                <w:lang w:val="en-US" w:eastAsia="zh-CN" w:bidi="ar-SA"/>
              </w:rPr>
              <w:t>排放量、排放速率、排放浓度分别</w:t>
            </w:r>
            <w:r>
              <w:rPr>
                <w:rFonts w:hint="eastAsia"/>
                <w:color w:val="auto"/>
                <w:sz w:val="24"/>
                <w:highlight w:val="none"/>
              </w:rPr>
              <w:t>0.0009</w:t>
            </w:r>
            <w:r>
              <w:rPr>
                <w:rFonts w:hint="eastAsia"/>
                <w:color w:val="auto"/>
                <w:sz w:val="24"/>
                <w:highlight w:val="none"/>
                <w:lang w:val="en-US" w:eastAsia="zh-CN"/>
              </w:rPr>
              <w:t>0t/a、</w:t>
            </w:r>
            <w:r>
              <w:rPr>
                <w:rFonts w:hint="eastAsia"/>
                <w:color w:val="auto"/>
                <w:sz w:val="24"/>
                <w:highlight w:val="none"/>
                <w:lang w:eastAsia="zh-CN"/>
              </w:rPr>
              <w:t>0</w:t>
            </w:r>
            <w:r>
              <w:rPr>
                <w:rFonts w:hint="eastAsia"/>
                <w:color w:val="auto"/>
                <w:sz w:val="24"/>
                <w:highlight w:val="none"/>
                <w:lang w:val="en-US" w:eastAsia="zh-CN"/>
              </w:rPr>
              <w:t>.0037</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olor w:val="auto"/>
                <w:sz w:val="24"/>
                <w:highlight w:val="none"/>
                <w:lang w:eastAsia="zh-CN"/>
              </w:rPr>
              <w:t>、</w:t>
            </w:r>
            <w:r>
              <w:rPr>
                <w:rFonts w:hint="eastAsia"/>
                <w:color w:val="auto"/>
                <w:sz w:val="24"/>
                <w:highlight w:val="none"/>
              </w:rPr>
              <w:t>0.</w:t>
            </w:r>
            <w:r>
              <w:rPr>
                <w:rFonts w:hint="eastAsia"/>
                <w:color w:val="auto"/>
                <w:sz w:val="24"/>
                <w:highlight w:val="none"/>
                <w:lang w:eastAsia="zh-CN"/>
              </w:rPr>
              <w:t>1</w:t>
            </w:r>
            <w:r>
              <w:rPr>
                <w:rFonts w:hint="eastAsia"/>
                <w:color w:val="auto"/>
                <w:sz w:val="24"/>
                <w:highlight w:val="none"/>
                <w:lang w:val="en-US" w:eastAsia="zh-CN"/>
              </w:rPr>
              <w:t>8</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w:t>
            </w:r>
            <w:r>
              <w:rPr>
                <w:rFonts w:hint="eastAsia" w:cs="Times New Roman"/>
                <w:b w:val="0"/>
                <w:bCs w:val="0"/>
                <w:color w:val="auto"/>
                <w:kern w:val="2"/>
                <w:sz w:val="24"/>
                <w:szCs w:val="24"/>
                <w:highlight w:val="none"/>
                <w:lang w:val="en-US" w:eastAsia="zh-CN" w:bidi="ar-SA"/>
              </w:rPr>
              <w:t>HCl无组织</w:t>
            </w:r>
            <w:r>
              <w:rPr>
                <w:rFonts w:hint="eastAsia" w:cs="Times New Roman"/>
                <w:b w:val="0"/>
                <w:bCs w:val="0"/>
                <w:color w:val="auto"/>
                <w:kern w:val="2"/>
                <w:sz w:val="24"/>
                <w:szCs w:val="24"/>
                <w:highlight w:val="none"/>
                <w:vertAlign w:val="baseline"/>
                <w:lang w:val="en-US" w:eastAsia="zh-CN" w:bidi="ar-SA"/>
              </w:rPr>
              <w:t>排放量、排放速率分别为0.0011</w:t>
            </w:r>
            <w:r>
              <w:rPr>
                <w:rFonts w:hint="eastAsia"/>
                <w:color w:val="auto"/>
                <w:sz w:val="24"/>
                <w:highlight w:val="none"/>
                <w:lang w:val="en-US" w:eastAsia="zh-CN"/>
              </w:rPr>
              <w:t>t/a、0.0045kg/h；</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无组织</w:t>
            </w:r>
            <w:r>
              <w:rPr>
                <w:rFonts w:hint="eastAsia" w:cs="Times New Roman"/>
                <w:b w:val="0"/>
                <w:bCs w:val="0"/>
                <w:color w:val="auto"/>
                <w:kern w:val="2"/>
                <w:sz w:val="24"/>
                <w:szCs w:val="24"/>
                <w:highlight w:val="none"/>
                <w:vertAlign w:val="baseline"/>
                <w:lang w:val="en-US" w:eastAsia="zh-CN" w:bidi="ar-SA"/>
              </w:rPr>
              <w:t>排放量、排放速率分别为0.0011</w:t>
            </w:r>
            <w:r>
              <w:rPr>
                <w:rFonts w:hint="eastAsia"/>
                <w:color w:val="auto"/>
                <w:sz w:val="24"/>
                <w:highlight w:val="none"/>
                <w:lang w:val="en-US" w:eastAsia="zh-CN"/>
              </w:rPr>
              <w:t>t/a、0.0045kg/h。</w:t>
            </w:r>
          </w:p>
          <w:p w14:paraId="3FA6AC4B">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2" w:firstLineChars="175"/>
              <w:jc w:val="left"/>
              <w:textAlignment w:val="auto"/>
              <w:rPr>
                <w:rFonts w:hint="eastAsia" w:ascii="宋体" w:hAnsi="宋体" w:cs="宋体"/>
                <w:b/>
                <w:bCs/>
                <w:color w:val="auto"/>
                <w:kern w:val="0"/>
                <w:sz w:val="24"/>
                <w:szCs w:val="24"/>
                <w:highlight w:val="none"/>
                <w:lang w:val="en-US" w:eastAsia="zh-CN" w:bidi="ar"/>
              </w:rPr>
            </w:pPr>
            <w:r>
              <w:rPr>
                <w:rFonts w:hint="eastAsia" w:ascii="宋体" w:hAnsi="宋体" w:cs="宋体"/>
                <w:b/>
                <w:bCs/>
                <w:color w:val="auto"/>
                <w:kern w:val="0"/>
                <w:sz w:val="24"/>
                <w:szCs w:val="24"/>
                <w:highlight w:val="none"/>
                <w:lang w:val="en-US" w:eastAsia="zh-CN" w:bidi="ar"/>
              </w:rPr>
              <w:t>③分析测试室测试废气</w:t>
            </w:r>
          </w:p>
          <w:p w14:paraId="072BECB6">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宋体" w:hAnsi="宋体" w:cs="宋体"/>
                <w:color w:val="auto"/>
                <w:kern w:val="0"/>
                <w:sz w:val="24"/>
                <w:szCs w:val="24"/>
                <w:highlight w:val="none"/>
                <w:lang w:val="en-US" w:eastAsia="zh-CN" w:bidi="ar"/>
              </w:rPr>
              <w:t>分析测试实验室在对样品分析、测试实验过程中会使用部分化学试剂</w:t>
            </w:r>
            <w:r>
              <w:rPr>
                <w:rFonts w:hint="eastAsia" w:ascii="Times New Roman" w:hAnsi="Times New Roman" w:cs="Times New Roman"/>
                <w:color w:val="auto"/>
                <w:kern w:val="0"/>
                <w:sz w:val="24"/>
                <w:szCs w:val="24"/>
                <w:highlight w:val="none"/>
                <w:lang w:val="en-US" w:eastAsia="zh-CN" w:bidi="ar"/>
              </w:rPr>
              <w:t>，废气经通风</w:t>
            </w:r>
            <w:r>
              <w:rPr>
                <w:rFonts w:hint="eastAsia" w:cs="Times New Roman"/>
                <w:color w:val="auto"/>
                <w:kern w:val="0"/>
                <w:sz w:val="24"/>
                <w:szCs w:val="24"/>
                <w:highlight w:val="none"/>
                <w:lang w:val="en-US" w:eastAsia="zh-CN" w:bidi="ar"/>
              </w:rPr>
              <w:t>柜</w:t>
            </w:r>
            <w:r>
              <w:rPr>
                <w:rFonts w:hint="eastAsia" w:ascii="Times New Roman" w:hAnsi="Times New Roman" w:cs="Times New Roman"/>
                <w:color w:val="auto"/>
                <w:kern w:val="0"/>
                <w:sz w:val="24"/>
                <w:szCs w:val="24"/>
                <w:highlight w:val="none"/>
                <w:lang w:val="en-US" w:eastAsia="zh-CN" w:bidi="ar"/>
              </w:rPr>
              <w:t>收集后（收集效率</w:t>
            </w:r>
            <w:r>
              <w:rPr>
                <w:rFonts w:hint="eastAsia" w:cs="Times New Roman"/>
                <w:color w:val="auto"/>
                <w:kern w:val="0"/>
                <w:sz w:val="24"/>
                <w:szCs w:val="24"/>
                <w:highlight w:val="none"/>
                <w:lang w:val="en-US" w:eastAsia="zh-CN" w:bidi="ar"/>
              </w:rPr>
              <w:t>80</w:t>
            </w:r>
            <w:r>
              <w:rPr>
                <w:rFonts w:hint="eastAsia" w:ascii="Times New Roman" w:hAnsi="Times New Roman" w:cs="Times New Roman"/>
                <w:color w:val="auto"/>
                <w:kern w:val="0"/>
                <w:sz w:val="24"/>
                <w:szCs w:val="24"/>
                <w:highlight w:val="none"/>
                <w:lang w:val="en-US" w:eastAsia="zh-CN" w:bidi="ar"/>
              </w:rPr>
              <w:t>%）经</w:t>
            </w:r>
            <w:r>
              <w:rPr>
                <w:rFonts w:hint="eastAsia" w:cs="Times New Roman"/>
                <w:color w:val="auto"/>
                <w:kern w:val="0"/>
                <w:sz w:val="24"/>
                <w:szCs w:val="24"/>
                <w:highlight w:val="none"/>
                <w:lang w:val="en-US" w:eastAsia="zh-CN" w:bidi="ar"/>
              </w:rPr>
              <w:t>一套</w:t>
            </w:r>
            <w:r>
              <w:rPr>
                <w:rFonts w:hint="eastAsia" w:ascii="Times New Roman" w:hAnsi="Times New Roman" w:cs="Times New Roman"/>
                <w:color w:val="auto"/>
                <w:kern w:val="0"/>
                <w:sz w:val="24"/>
                <w:szCs w:val="24"/>
                <w:highlight w:val="none"/>
                <w:lang w:val="en-US" w:eastAsia="zh-CN" w:bidi="ar"/>
              </w:rPr>
              <w:t>活性炭吸附装置（TA006）处理后经楼顶排气筒（DA003）排放。</w:t>
            </w:r>
            <w:r>
              <w:rPr>
                <w:rFonts w:hint="eastAsia" w:ascii="宋体" w:hAnsi="宋体" w:eastAsia="宋体" w:cs="宋体"/>
                <w:color w:val="auto"/>
                <w:kern w:val="0"/>
                <w:sz w:val="24"/>
                <w:szCs w:val="24"/>
                <w:highlight w:val="none"/>
                <w:lang w:val="en-US" w:eastAsia="zh-CN" w:bidi="ar"/>
              </w:rPr>
              <w:t>废气处理设备风机</w:t>
            </w:r>
            <w:r>
              <w:rPr>
                <w:rFonts w:hint="eastAsia" w:ascii="宋体" w:hAnsi="宋体" w:cs="宋体"/>
                <w:color w:val="auto"/>
                <w:kern w:val="0"/>
                <w:sz w:val="24"/>
                <w:szCs w:val="24"/>
                <w:highlight w:val="none"/>
                <w:lang w:val="en-US" w:eastAsia="zh-CN" w:bidi="ar"/>
              </w:rPr>
              <w:t>设计</w:t>
            </w:r>
            <w:r>
              <w:rPr>
                <w:rFonts w:hint="default" w:ascii="Times New Roman" w:hAnsi="Times New Roman" w:eastAsia="宋体" w:cs="Times New Roman"/>
                <w:color w:val="auto"/>
                <w:kern w:val="0"/>
                <w:sz w:val="24"/>
                <w:szCs w:val="24"/>
                <w:highlight w:val="none"/>
                <w:lang w:val="en-US" w:eastAsia="zh-CN" w:bidi="ar"/>
              </w:rPr>
              <w:t>风量为</w:t>
            </w:r>
            <w:r>
              <w:rPr>
                <w:rFonts w:hint="default" w:ascii="Times New Roman" w:hAnsi="Times New Roman" w:cs="Times New Roman"/>
                <w:color w:val="auto"/>
                <w:kern w:val="0"/>
                <w:sz w:val="24"/>
                <w:szCs w:val="24"/>
                <w:highlight w:val="none"/>
                <w:lang w:val="en-US" w:eastAsia="zh-CN" w:bidi="ar"/>
              </w:rPr>
              <w:t>36</w:t>
            </w:r>
            <w:r>
              <w:rPr>
                <w:rFonts w:hint="default" w:ascii="Times New Roman" w:hAnsi="Times New Roman" w:eastAsia="宋体" w:cs="Times New Roman"/>
                <w:color w:val="auto"/>
                <w:kern w:val="0"/>
                <w:sz w:val="24"/>
                <w:szCs w:val="24"/>
                <w:highlight w:val="none"/>
                <w:lang w:val="en-US" w:eastAsia="zh-CN" w:bidi="ar"/>
              </w:rPr>
              <w:t>000m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/h，</w:t>
            </w:r>
            <w:r>
              <w:rPr>
                <w:rFonts w:hint="eastAsia" w:cs="Times New Roman"/>
                <w:color w:val="auto"/>
                <w:kern w:val="0"/>
                <w:sz w:val="24"/>
                <w:szCs w:val="24"/>
                <w:highlight w:val="none"/>
                <w:lang w:val="en-US" w:eastAsia="zh-CN" w:bidi="ar"/>
              </w:rPr>
              <w:t>根据</w:t>
            </w:r>
            <w:r>
              <w:rPr>
                <w:rFonts w:hint="eastAsia" w:cs="Times New Roman"/>
                <w:b w:val="0"/>
                <w:bCs w:val="0"/>
                <w:color w:val="auto"/>
                <w:kern w:val="2"/>
                <w:sz w:val="24"/>
                <w:szCs w:val="24"/>
                <w:highlight w:val="none"/>
                <w:lang w:val="en-US" w:eastAsia="zh-CN" w:bidi="ar-SA"/>
              </w:rPr>
              <w:t>表4-1</w:t>
            </w:r>
            <w:r>
              <w:rPr>
                <w:rFonts w:hint="default"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1套</w:t>
            </w:r>
            <w:r>
              <w:rPr>
                <w:rFonts w:hint="eastAsia" w:cs="Times New Roman"/>
                <w:color w:val="auto"/>
                <w:kern w:val="0"/>
                <w:sz w:val="24"/>
                <w:szCs w:val="24"/>
                <w:highlight w:val="none"/>
                <w:lang w:val="en-US" w:eastAsia="zh-CN" w:bidi="ar"/>
              </w:rPr>
              <w:t>废气处理</w:t>
            </w:r>
            <w:r>
              <w:rPr>
                <w:rFonts w:hint="default" w:ascii="Times New Roman" w:hAnsi="Times New Roman" w:eastAsia="宋体" w:cs="Times New Roman"/>
                <w:color w:val="auto"/>
                <w:kern w:val="0"/>
                <w:sz w:val="24"/>
                <w:szCs w:val="24"/>
                <w:highlight w:val="none"/>
                <w:lang w:val="en-US" w:eastAsia="zh-CN" w:bidi="ar"/>
              </w:rPr>
              <w:t>装置</w:t>
            </w:r>
            <w:r>
              <w:rPr>
                <w:rFonts w:hint="eastAsia" w:cs="Times New Roman"/>
                <w:b w:val="0"/>
                <w:bCs w:val="0"/>
                <w:color w:val="auto"/>
                <w:kern w:val="2"/>
                <w:sz w:val="24"/>
                <w:szCs w:val="24"/>
                <w:highlight w:val="none"/>
                <w:lang w:val="en-US" w:eastAsia="zh-CN" w:bidi="ar-SA"/>
              </w:rPr>
              <w:t>（TA006）</w:t>
            </w:r>
            <w:r>
              <w:rPr>
                <w:rFonts w:hint="default" w:ascii="Times New Roman" w:hAnsi="Times New Roman" w:eastAsia="宋体" w:cs="Times New Roman"/>
                <w:color w:val="auto"/>
                <w:kern w:val="0"/>
                <w:sz w:val="24"/>
                <w:szCs w:val="24"/>
                <w:highlight w:val="none"/>
                <w:lang w:val="en-US" w:eastAsia="zh-CN" w:bidi="ar"/>
              </w:rPr>
              <w:t>对有机废气的</w:t>
            </w:r>
            <w:r>
              <w:rPr>
                <w:rFonts w:hint="eastAsia" w:cs="Times New Roman"/>
                <w:color w:val="auto"/>
                <w:kern w:val="0"/>
                <w:sz w:val="24"/>
                <w:szCs w:val="24"/>
                <w:highlight w:val="none"/>
                <w:lang w:val="en-US" w:eastAsia="zh-CN" w:bidi="ar"/>
              </w:rPr>
              <w:t>综合</w:t>
            </w:r>
            <w:r>
              <w:rPr>
                <w:rFonts w:hint="default" w:ascii="Times New Roman" w:hAnsi="Times New Roman" w:eastAsia="宋体" w:cs="Times New Roman"/>
                <w:color w:val="auto"/>
                <w:kern w:val="0"/>
                <w:sz w:val="24"/>
                <w:szCs w:val="24"/>
                <w:highlight w:val="none"/>
                <w:lang w:val="en-US" w:eastAsia="zh-CN" w:bidi="ar"/>
              </w:rPr>
              <w:t>处理效率</w:t>
            </w:r>
            <w:r>
              <w:rPr>
                <w:rFonts w:hint="default" w:ascii="Times New Roman" w:hAnsi="Times New Roman" w:cs="Times New Roman"/>
                <w:color w:val="auto"/>
                <w:kern w:val="0"/>
                <w:sz w:val="24"/>
                <w:szCs w:val="24"/>
                <w:highlight w:val="none"/>
                <w:lang w:val="en-US" w:eastAsia="zh-CN" w:bidi="ar"/>
              </w:rPr>
              <w:t>37.11</w:t>
            </w:r>
            <w:r>
              <w:rPr>
                <w:rFonts w:hint="default" w:ascii="Times New Roman" w:hAnsi="Times New Roman" w:eastAsia="宋体" w:cs="Times New Roman"/>
                <w:color w:val="auto"/>
                <w:kern w:val="0"/>
                <w:sz w:val="24"/>
                <w:szCs w:val="24"/>
                <w:highlight w:val="none"/>
                <w:lang w:val="en-US" w:eastAsia="zh-CN" w:bidi="ar"/>
              </w:rPr>
              <w:t>%计。</w:t>
            </w:r>
            <w:r>
              <w:rPr>
                <w:rFonts w:hint="eastAsia" w:cs="Times New Roman"/>
                <w:b w:val="0"/>
                <w:bCs w:val="0"/>
                <w:color w:val="auto"/>
                <w:kern w:val="2"/>
                <w:sz w:val="24"/>
                <w:szCs w:val="24"/>
                <w:highlight w:val="none"/>
                <w:lang w:val="en-US" w:eastAsia="zh-CN" w:bidi="ar-SA"/>
              </w:rPr>
              <w:t>类比已取得环评批复</w:t>
            </w:r>
            <w:r>
              <w:rPr>
                <w:rFonts w:hint="eastAsia"/>
                <w:color w:val="auto"/>
                <w:sz w:val="24"/>
                <w:highlight w:val="none"/>
              </w:rPr>
              <w:t>绵阳市涪城生态环境监测站实验室建设项目</w:t>
            </w:r>
            <w:r>
              <w:rPr>
                <w:rFonts w:hint="eastAsia" w:cs="Times New Roman"/>
                <w:b w:val="0"/>
                <w:bCs w:val="0"/>
                <w:color w:val="auto"/>
                <w:kern w:val="2"/>
                <w:sz w:val="24"/>
                <w:szCs w:val="24"/>
                <w:highlight w:val="none"/>
                <w:lang w:val="en-US" w:eastAsia="zh-CN" w:bidi="ar-SA"/>
              </w:rPr>
              <w:t>，SDG吸附装置+活性炭对酸雾处理效率取80%计算。</w:t>
            </w:r>
          </w:p>
          <w:p w14:paraId="4ADED11F">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default"/>
                <w:color w:val="auto"/>
                <w:sz w:val="24"/>
                <w:highlight w:val="none"/>
                <w:vertAlign w:val="baseline"/>
                <w:lang w:val="en-US" w:eastAsia="zh-CN"/>
              </w:rPr>
            </w:pPr>
            <w:r>
              <w:rPr>
                <w:rFonts w:hint="default" w:ascii="Times New Roman" w:hAnsi="Times New Roman" w:cs="Times New Roman"/>
                <w:color w:val="auto"/>
                <w:kern w:val="0"/>
                <w:sz w:val="24"/>
                <w:szCs w:val="24"/>
                <w:highlight w:val="none"/>
                <w:lang w:val="en-US" w:eastAsia="zh-CN" w:bidi="ar"/>
              </w:rPr>
              <w:t>根据</w:t>
            </w:r>
            <w:r>
              <w:rPr>
                <w:rFonts w:hint="eastAsia" w:cs="Times New Roman"/>
                <w:b w:val="0"/>
                <w:bCs w:val="0"/>
                <w:color w:val="auto"/>
                <w:kern w:val="2"/>
                <w:sz w:val="24"/>
                <w:szCs w:val="24"/>
                <w:highlight w:val="none"/>
                <w:lang w:val="en-US" w:eastAsia="zh-CN" w:bidi="ar-SA"/>
              </w:rPr>
              <w:t>表4-1</w:t>
            </w:r>
            <w:r>
              <w:rPr>
                <w:rFonts w:hint="default" w:ascii="Times New Roman" w:hAnsi="Times New Roman" w:cs="Times New Roman"/>
                <w:color w:val="auto"/>
                <w:kern w:val="0"/>
                <w:sz w:val="24"/>
                <w:szCs w:val="24"/>
                <w:highlight w:val="none"/>
                <w:lang w:val="en-US" w:eastAsia="zh-CN" w:bidi="ar"/>
              </w:rPr>
              <w:t>，</w:t>
            </w:r>
            <w:r>
              <w:rPr>
                <w:rFonts w:hint="eastAsia" w:cs="Times New Roman"/>
                <w:color w:val="auto"/>
                <w:kern w:val="0"/>
                <w:sz w:val="24"/>
                <w:szCs w:val="24"/>
                <w:highlight w:val="none"/>
                <w:lang w:val="en-US" w:eastAsia="zh-CN" w:bidi="ar"/>
              </w:rPr>
              <w:t>分析测试</w:t>
            </w:r>
            <w:r>
              <w:rPr>
                <w:rFonts w:hint="default" w:ascii="Times New Roman" w:hAnsi="Times New Roman" w:cs="Times New Roman"/>
                <w:color w:val="auto"/>
                <w:kern w:val="0"/>
                <w:sz w:val="24"/>
                <w:szCs w:val="24"/>
                <w:highlight w:val="none"/>
                <w:lang w:val="en-US" w:eastAsia="zh-CN" w:bidi="ar"/>
              </w:rPr>
              <w:t>实验室探试实验室</w:t>
            </w:r>
            <w:r>
              <w:rPr>
                <w:rFonts w:hint="default" w:ascii="Times New Roman" w:hAnsi="Times New Roman" w:eastAsia="宋体" w:cs="Times New Roman"/>
                <w:color w:val="auto"/>
                <w:kern w:val="0"/>
                <w:sz w:val="24"/>
                <w:szCs w:val="24"/>
                <w:highlight w:val="none"/>
                <w:lang w:val="en-US" w:eastAsia="zh-CN" w:bidi="ar"/>
              </w:rPr>
              <w:t>非甲烷总烃</w:t>
            </w:r>
            <w:r>
              <w:rPr>
                <w:rFonts w:hint="default" w:ascii="Times New Roman" w:hAnsi="Times New Roman" w:eastAsia="宋体" w:cs="Times New Roman"/>
                <w:b w:val="0"/>
                <w:bCs w:val="0"/>
                <w:color w:val="auto"/>
                <w:kern w:val="2"/>
                <w:sz w:val="24"/>
                <w:szCs w:val="24"/>
                <w:highlight w:val="none"/>
                <w:lang w:val="en-US" w:eastAsia="zh-CN" w:bidi="ar-SA"/>
              </w:rPr>
              <w:t>有组织</w:t>
            </w:r>
            <w:r>
              <w:rPr>
                <w:rFonts w:hint="eastAsia" w:ascii="Times New Roman" w:hAnsi="Times New Roman" w:eastAsia="宋体" w:cs="Times New Roman"/>
                <w:b w:val="0"/>
                <w:bCs w:val="0"/>
                <w:color w:val="auto"/>
                <w:kern w:val="2"/>
                <w:sz w:val="24"/>
                <w:szCs w:val="24"/>
                <w:highlight w:val="none"/>
                <w:lang w:val="en-US" w:eastAsia="zh-CN" w:bidi="ar-SA"/>
              </w:rPr>
              <w:t>产生量为0.</w:t>
            </w:r>
            <w:r>
              <w:rPr>
                <w:rFonts w:hint="eastAsia" w:cs="Times New Roman"/>
                <w:b w:val="0"/>
                <w:bCs w:val="0"/>
                <w:color w:val="auto"/>
                <w:kern w:val="2"/>
                <w:sz w:val="24"/>
                <w:szCs w:val="24"/>
                <w:highlight w:val="none"/>
                <w:lang w:val="en-US" w:eastAsia="zh-CN" w:bidi="ar-SA"/>
              </w:rPr>
              <w:t>053t</w:t>
            </w:r>
            <w:r>
              <w:rPr>
                <w:rFonts w:hint="eastAsia" w:ascii="Times New Roman" w:hAnsi="Times New Roman" w:eastAsia="宋体" w:cs="Times New Roman"/>
                <w:b w:val="0"/>
                <w:bCs w:val="0"/>
                <w:color w:val="auto"/>
                <w:kern w:val="2"/>
                <w:sz w:val="24"/>
                <w:szCs w:val="24"/>
                <w:highlight w:val="none"/>
                <w:lang w:val="en-US" w:eastAsia="zh-CN" w:bidi="ar-SA"/>
              </w:rPr>
              <w:t>/a，产生速率</w:t>
            </w:r>
            <w:r>
              <w:rPr>
                <w:rFonts w:hint="eastAsia" w:cs="Times New Roman"/>
                <w:b w:val="0"/>
                <w:bCs w:val="0"/>
                <w:color w:val="auto"/>
                <w:kern w:val="2"/>
                <w:sz w:val="24"/>
                <w:szCs w:val="24"/>
                <w:highlight w:val="none"/>
                <w:lang w:val="en-US" w:eastAsia="zh-CN" w:bidi="ar-SA"/>
              </w:rPr>
              <w:t>为0.054</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，产生浓度为1.50</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，非甲烷总烃有组织排放量为0.033t/h，排放速率0.034kg/h，排放浓度为0.94</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vertAlign w:val="baseline"/>
                <w:lang w:val="en-US" w:eastAsia="zh-CN" w:bidi="ar-SA"/>
              </w:rPr>
              <w:t>。</w:t>
            </w:r>
            <w:r>
              <w:rPr>
                <w:rFonts w:hint="eastAsia" w:cs="Times New Roman"/>
                <w:b w:val="0"/>
                <w:bCs w:val="0"/>
                <w:color w:val="auto"/>
                <w:kern w:val="2"/>
                <w:sz w:val="24"/>
                <w:szCs w:val="24"/>
                <w:highlight w:val="none"/>
                <w:lang w:val="en-US" w:eastAsia="zh-CN" w:bidi="ar-SA"/>
              </w:rPr>
              <w:t>通风柜收集效率按80%，则</w:t>
            </w:r>
            <w:r>
              <w:rPr>
                <w:rFonts w:hint="eastAsia" w:ascii="Times New Roman" w:hAnsi="Times New Roman" w:eastAsia="宋体" w:cs="Times New Roman"/>
                <w:b w:val="0"/>
                <w:bCs w:val="0"/>
                <w:color w:val="auto"/>
                <w:kern w:val="2"/>
                <w:sz w:val="24"/>
                <w:szCs w:val="24"/>
                <w:highlight w:val="none"/>
                <w:vertAlign w:val="baseline"/>
                <w:lang w:val="en-US" w:eastAsia="zh-CN" w:bidi="ar-SA"/>
              </w:rPr>
              <w:t>非甲烷总烃无组织产生量为</w:t>
            </w:r>
            <w:r>
              <w:rPr>
                <w:rFonts w:hint="eastAsia" w:cs="Times New Roman"/>
                <w:b w:val="0"/>
                <w:bCs w:val="0"/>
                <w:color w:val="auto"/>
                <w:kern w:val="2"/>
                <w:sz w:val="24"/>
                <w:szCs w:val="24"/>
                <w:highlight w:val="none"/>
                <w:vertAlign w:val="baseline"/>
                <w:lang w:val="en-US" w:eastAsia="zh-CN" w:bidi="ar-SA"/>
              </w:rPr>
              <w:t>0.013t</w:t>
            </w:r>
            <w:r>
              <w:rPr>
                <w:rFonts w:hint="eastAsia" w:ascii="Times New Roman" w:hAnsi="Times New Roman" w:eastAsia="宋体" w:cs="Times New Roman"/>
                <w:b w:val="0"/>
                <w:bCs w:val="0"/>
                <w:color w:val="auto"/>
                <w:kern w:val="2"/>
                <w:sz w:val="24"/>
                <w:szCs w:val="24"/>
                <w:highlight w:val="none"/>
                <w:lang w:val="en-US" w:eastAsia="zh-CN" w:bidi="ar-SA"/>
              </w:rPr>
              <w:t>/a</w:t>
            </w:r>
            <w:r>
              <w:rPr>
                <w:rFonts w:hint="eastAsia" w:cs="Times New Roman"/>
                <w:b w:val="0"/>
                <w:bCs w:val="0"/>
                <w:color w:val="auto"/>
                <w:kern w:val="2"/>
                <w:sz w:val="24"/>
                <w:szCs w:val="24"/>
                <w:highlight w:val="none"/>
                <w:lang w:val="en-US" w:eastAsia="zh-CN" w:bidi="ar-SA"/>
              </w:rPr>
              <w:t>，排放速率0.014</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s="Times New Roman"/>
                <w:b w:val="0"/>
                <w:bCs w:val="0"/>
                <w:color w:val="auto"/>
                <w:kern w:val="2"/>
                <w:sz w:val="24"/>
                <w:szCs w:val="24"/>
                <w:highlight w:val="none"/>
                <w:lang w:val="en-US" w:eastAsia="zh-CN" w:bidi="ar-SA"/>
              </w:rPr>
              <w:t>分析测试实验室使用无机酸约占总用量的20%。则分析测试实验室HCl有组织</w:t>
            </w:r>
            <w:r>
              <w:rPr>
                <w:rFonts w:hint="eastAsia" w:cs="Times New Roman"/>
                <w:b w:val="0"/>
                <w:bCs w:val="0"/>
                <w:color w:val="auto"/>
                <w:kern w:val="2"/>
                <w:sz w:val="24"/>
                <w:szCs w:val="24"/>
                <w:highlight w:val="none"/>
                <w:vertAlign w:val="baseline"/>
                <w:lang w:val="en-US" w:eastAsia="zh-CN" w:bidi="ar-SA"/>
              </w:rPr>
              <w:t>排放量、排放速率、排放浓度分别为0.0022</w:t>
            </w:r>
            <w:r>
              <w:rPr>
                <w:rFonts w:hint="eastAsia"/>
                <w:color w:val="auto"/>
                <w:sz w:val="24"/>
                <w:highlight w:val="none"/>
                <w:lang w:val="en-US" w:eastAsia="zh-CN"/>
              </w:rPr>
              <w:t>t/a、0.0090kg/h、0.25</w:t>
            </w:r>
            <w:r>
              <w:rPr>
                <w:rFonts w:hint="default" w:ascii="Times New Roman" w:hAnsi="Times New Roman" w:eastAsia="宋体" w:cs="Times New Roman"/>
                <w:b w:val="0"/>
                <w:bCs w:val="0"/>
                <w:i w:val="0"/>
                <w:iCs w:val="0"/>
                <w:color w:val="000000"/>
                <w:kern w:val="0"/>
                <w:sz w:val="24"/>
                <w:szCs w:val="24"/>
                <w:u w:val="none"/>
                <w:lang w:val="en-US" w:eastAsia="zh-CN" w:bidi="ar"/>
              </w:rPr>
              <w:t>mg/m</w:t>
            </w:r>
            <w:r>
              <w:rPr>
                <w:rFonts w:hint="default" w:ascii="Times New Roman" w:hAnsi="Times New Roman" w:eastAsia="宋体" w:cs="Times New Roman"/>
                <w:b w:val="0"/>
                <w:bCs w:val="0"/>
                <w:i w:val="0"/>
                <w:iCs w:val="0"/>
                <w:color w:val="000000"/>
                <w:kern w:val="0"/>
                <w:sz w:val="24"/>
                <w:szCs w:val="24"/>
                <w:u w:val="none"/>
                <w:vertAlign w:val="superscript"/>
                <w:lang w:val="en-US" w:eastAsia="zh-CN" w:bidi="ar"/>
              </w:rPr>
              <w:t>3</w:t>
            </w:r>
            <w:r>
              <w:rPr>
                <w:rFonts w:hint="eastAsia" w:cs="Times New Roman"/>
                <w:b w:val="0"/>
                <w:bCs w:val="0"/>
                <w:i w:val="0"/>
                <w:iCs w:val="0"/>
                <w:color w:val="000000"/>
                <w:kern w:val="0"/>
                <w:sz w:val="24"/>
                <w:szCs w:val="24"/>
                <w:u w:val="none"/>
                <w:vertAlign w:val="baseline"/>
                <w:lang w:val="en-US" w:eastAsia="zh-CN" w:bidi="ar"/>
              </w:rPr>
              <w:t>，</w:t>
            </w:r>
            <w:r>
              <w:rPr>
                <w:rFonts w:hint="eastAsia" w:cs="Times New Roman"/>
                <w:b w:val="0"/>
                <w:bCs w:val="0"/>
                <w:color w:val="auto"/>
                <w:kern w:val="2"/>
                <w:sz w:val="24"/>
                <w:szCs w:val="24"/>
                <w:highlight w:val="none"/>
                <w:vertAlign w:val="baseline"/>
                <w:lang w:val="en-US" w:eastAsia="zh-CN" w:bidi="ar-SA"/>
              </w:rPr>
              <w:t>经SDG+活性炭吸附处理后</w:t>
            </w:r>
            <w:r>
              <w:rPr>
                <w:rFonts w:hint="eastAsia" w:cs="Times New Roman"/>
                <w:b w:val="0"/>
                <w:bCs w:val="0"/>
                <w:color w:val="auto"/>
                <w:kern w:val="2"/>
                <w:sz w:val="24"/>
                <w:szCs w:val="24"/>
                <w:highlight w:val="none"/>
                <w:lang w:val="en-US" w:eastAsia="zh-CN" w:bidi="ar-SA"/>
              </w:rPr>
              <w:t>HCl有组织</w:t>
            </w:r>
            <w:r>
              <w:rPr>
                <w:rFonts w:hint="eastAsia" w:cs="Times New Roman"/>
                <w:b w:val="0"/>
                <w:bCs w:val="0"/>
                <w:color w:val="auto"/>
                <w:kern w:val="2"/>
                <w:sz w:val="24"/>
                <w:szCs w:val="24"/>
                <w:highlight w:val="none"/>
                <w:vertAlign w:val="baseline"/>
                <w:lang w:val="en-US" w:eastAsia="zh-CN" w:bidi="ar-SA"/>
              </w:rPr>
              <w:t>排放量、排放速率、排放浓度分别</w:t>
            </w:r>
            <w:r>
              <w:rPr>
                <w:rFonts w:hint="eastAsia"/>
                <w:color w:val="auto"/>
                <w:sz w:val="24"/>
                <w:highlight w:val="none"/>
              </w:rPr>
              <w:t>0.000</w:t>
            </w:r>
            <w:r>
              <w:rPr>
                <w:rFonts w:hint="eastAsia"/>
                <w:color w:val="auto"/>
                <w:sz w:val="24"/>
                <w:highlight w:val="none"/>
                <w:lang w:val="en-US" w:eastAsia="zh-CN"/>
              </w:rPr>
              <w:t>44t/a、</w:t>
            </w:r>
            <w:r>
              <w:rPr>
                <w:rFonts w:hint="eastAsia"/>
                <w:color w:val="auto"/>
                <w:sz w:val="24"/>
                <w:highlight w:val="none"/>
                <w:lang w:eastAsia="zh-CN"/>
              </w:rPr>
              <w:t>0</w:t>
            </w:r>
            <w:r>
              <w:rPr>
                <w:rFonts w:hint="eastAsia"/>
                <w:color w:val="auto"/>
                <w:sz w:val="24"/>
                <w:highlight w:val="none"/>
                <w:lang w:val="en-US" w:eastAsia="zh-CN"/>
              </w:rPr>
              <w:t>.0018</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olor w:val="auto"/>
                <w:sz w:val="24"/>
                <w:highlight w:val="none"/>
                <w:lang w:eastAsia="zh-CN"/>
              </w:rPr>
              <w:t>、</w:t>
            </w:r>
            <w:r>
              <w:rPr>
                <w:rFonts w:hint="eastAsia"/>
                <w:color w:val="auto"/>
                <w:sz w:val="24"/>
                <w:highlight w:val="none"/>
              </w:rPr>
              <w:t>0.</w:t>
            </w:r>
            <w:r>
              <w:rPr>
                <w:rFonts w:hint="eastAsia"/>
                <w:color w:val="auto"/>
                <w:sz w:val="24"/>
                <w:highlight w:val="none"/>
                <w:lang w:val="en-US" w:eastAsia="zh-CN"/>
              </w:rPr>
              <w:t>050</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i w:val="0"/>
                <w:iCs w:val="0"/>
                <w:color w:val="000000"/>
                <w:kern w:val="0"/>
                <w:sz w:val="24"/>
                <w:szCs w:val="24"/>
                <w:u w:val="none"/>
                <w:vertAlign w:val="baseline"/>
                <w:lang w:val="en-US" w:eastAsia="zh-CN" w:bidi="ar"/>
              </w:rPr>
              <w:t>有组织</w:t>
            </w:r>
            <w:r>
              <w:rPr>
                <w:rFonts w:hint="eastAsia" w:cs="Times New Roman"/>
                <w:b w:val="0"/>
                <w:bCs w:val="0"/>
                <w:color w:val="auto"/>
                <w:kern w:val="2"/>
                <w:sz w:val="24"/>
                <w:szCs w:val="24"/>
                <w:highlight w:val="none"/>
                <w:vertAlign w:val="baseline"/>
                <w:lang w:val="en-US" w:eastAsia="zh-CN" w:bidi="ar-SA"/>
              </w:rPr>
              <w:t>排放量、排放速率、排放浓度分别为0.0022</w:t>
            </w:r>
            <w:r>
              <w:rPr>
                <w:rFonts w:hint="eastAsia"/>
                <w:color w:val="auto"/>
                <w:sz w:val="24"/>
                <w:highlight w:val="none"/>
                <w:lang w:val="en-US" w:eastAsia="zh-CN"/>
              </w:rPr>
              <w:t>t/a、0.0090kg/h、0.25</w:t>
            </w:r>
            <w:r>
              <w:rPr>
                <w:rFonts w:hint="default" w:ascii="Times New Roman" w:hAnsi="Times New Roman" w:eastAsia="宋体" w:cs="Times New Roman"/>
                <w:b w:val="0"/>
                <w:bCs w:val="0"/>
                <w:i w:val="0"/>
                <w:iCs w:val="0"/>
                <w:color w:val="000000"/>
                <w:kern w:val="0"/>
                <w:sz w:val="24"/>
                <w:szCs w:val="24"/>
                <w:u w:val="none"/>
                <w:lang w:val="en-US" w:eastAsia="zh-CN" w:bidi="ar"/>
              </w:rPr>
              <w:t>mg/m</w:t>
            </w:r>
            <w:r>
              <w:rPr>
                <w:rFonts w:hint="default" w:ascii="Times New Roman" w:hAnsi="Times New Roman" w:eastAsia="宋体" w:cs="Times New Roman"/>
                <w:b w:val="0"/>
                <w:bCs w:val="0"/>
                <w:i w:val="0"/>
                <w:iCs w:val="0"/>
                <w:color w:val="000000"/>
                <w:kern w:val="0"/>
                <w:sz w:val="24"/>
                <w:szCs w:val="24"/>
                <w:u w:val="none"/>
                <w:vertAlign w:val="superscript"/>
                <w:lang w:val="en-US" w:eastAsia="zh-CN" w:bidi="ar"/>
              </w:rPr>
              <w:t>3</w:t>
            </w:r>
            <w:r>
              <w:rPr>
                <w:rFonts w:hint="eastAsia" w:cs="Times New Roman"/>
                <w:b w:val="0"/>
                <w:bCs w:val="0"/>
                <w:i w:val="0"/>
                <w:iCs w:val="0"/>
                <w:color w:val="000000"/>
                <w:kern w:val="0"/>
                <w:sz w:val="24"/>
                <w:szCs w:val="24"/>
                <w:u w:val="none"/>
                <w:vertAlign w:val="baseline"/>
                <w:lang w:val="en-US" w:eastAsia="zh-CN" w:bidi="ar"/>
              </w:rPr>
              <w:t>。</w:t>
            </w:r>
            <w:r>
              <w:rPr>
                <w:rFonts w:hint="eastAsia" w:cs="Times New Roman"/>
                <w:b w:val="0"/>
                <w:bCs w:val="0"/>
                <w:color w:val="auto"/>
                <w:kern w:val="2"/>
                <w:sz w:val="24"/>
                <w:szCs w:val="24"/>
                <w:highlight w:val="none"/>
                <w:vertAlign w:val="baseline"/>
                <w:lang w:val="en-US" w:eastAsia="zh-CN" w:bidi="ar-SA"/>
              </w:rPr>
              <w:t>经SDG+活性炭吸附处理后</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有组织</w:t>
            </w:r>
            <w:r>
              <w:rPr>
                <w:rFonts w:hint="eastAsia" w:cs="Times New Roman"/>
                <w:b w:val="0"/>
                <w:bCs w:val="0"/>
                <w:color w:val="auto"/>
                <w:kern w:val="2"/>
                <w:sz w:val="24"/>
                <w:szCs w:val="24"/>
                <w:highlight w:val="none"/>
                <w:vertAlign w:val="baseline"/>
                <w:lang w:val="en-US" w:eastAsia="zh-CN" w:bidi="ar-SA"/>
              </w:rPr>
              <w:t>排放量、排放速率、排放浓度分别</w:t>
            </w:r>
            <w:r>
              <w:rPr>
                <w:rFonts w:hint="eastAsia"/>
                <w:color w:val="auto"/>
                <w:sz w:val="24"/>
                <w:highlight w:val="none"/>
              </w:rPr>
              <w:t>0.000</w:t>
            </w:r>
            <w:r>
              <w:rPr>
                <w:rFonts w:hint="eastAsia"/>
                <w:color w:val="auto"/>
                <w:sz w:val="24"/>
                <w:highlight w:val="none"/>
                <w:lang w:val="en-US" w:eastAsia="zh-CN"/>
              </w:rPr>
              <w:t>44t/a、</w:t>
            </w:r>
            <w:r>
              <w:rPr>
                <w:rFonts w:hint="eastAsia"/>
                <w:color w:val="auto"/>
                <w:sz w:val="24"/>
                <w:highlight w:val="none"/>
                <w:lang w:eastAsia="zh-CN"/>
              </w:rPr>
              <w:t>0</w:t>
            </w:r>
            <w:r>
              <w:rPr>
                <w:rFonts w:hint="eastAsia"/>
                <w:color w:val="auto"/>
                <w:sz w:val="24"/>
                <w:highlight w:val="none"/>
                <w:lang w:val="en-US" w:eastAsia="zh-CN"/>
              </w:rPr>
              <w:t>.0018</w:t>
            </w:r>
            <w:r>
              <w:rPr>
                <w:rFonts w:hint="eastAsia" w:ascii="Times New Roman" w:hAnsi="Times New Roman" w:eastAsia="宋体" w:cs="Times New Roman"/>
                <w:b w:val="0"/>
                <w:bCs w:val="0"/>
                <w:color w:val="auto"/>
                <w:kern w:val="2"/>
                <w:sz w:val="24"/>
                <w:szCs w:val="24"/>
                <w:highlight w:val="none"/>
                <w:lang w:val="en-US" w:eastAsia="zh-CN" w:bidi="ar-SA"/>
              </w:rPr>
              <w:t>kg/h</w:t>
            </w:r>
            <w:r>
              <w:rPr>
                <w:rFonts w:hint="eastAsia"/>
                <w:color w:val="auto"/>
                <w:sz w:val="24"/>
                <w:highlight w:val="none"/>
                <w:lang w:eastAsia="zh-CN"/>
              </w:rPr>
              <w:t>、</w:t>
            </w:r>
            <w:r>
              <w:rPr>
                <w:rFonts w:hint="eastAsia"/>
                <w:color w:val="auto"/>
                <w:sz w:val="24"/>
                <w:highlight w:val="none"/>
              </w:rPr>
              <w:t>0.</w:t>
            </w:r>
            <w:r>
              <w:rPr>
                <w:rFonts w:hint="eastAsia"/>
                <w:color w:val="auto"/>
                <w:sz w:val="24"/>
                <w:highlight w:val="none"/>
                <w:lang w:val="en-US" w:eastAsia="zh-CN"/>
              </w:rPr>
              <w:t>050</w:t>
            </w:r>
            <w:r>
              <w:rPr>
                <w:rFonts w:hint="eastAsia" w:ascii="Times New Roman" w:hAnsi="Times New Roman" w:eastAsia="宋体" w:cs="Times New Roman"/>
                <w:b w:val="0"/>
                <w:bCs w:val="0"/>
                <w:color w:val="auto"/>
                <w:kern w:val="2"/>
                <w:sz w:val="24"/>
                <w:szCs w:val="24"/>
                <w:highlight w:val="none"/>
                <w:lang w:val="en-US" w:eastAsia="zh-CN" w:bidi="ar-SA"/>
              </w:rPr>
              <w:t>mg/</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cs="Times New Roman"/>
                <w:b w:val="0"/>
                <w:bCs w:val="0"/>
                <w:color w:val="auto"/>
                <w:kern w:val="2"/>
                <w:sz w:val="24"/>
                <w:szCs w:val="24"/>
                <w:highlight w:val="none"/>
                <w:vertAlign w:val="baseline"/>
                <w:lang w:val="en-US" w:eastAsia="zh-CN" w:bidi="ar-SA"/>
              </w:rPr>
              <w:t>。</w:t>
            </w:r>
            <w:r>
              <w:rPr>
                <w:rFonts w:hint="eastAsia" w:cs="Times New Roman"/>
                <w:b w:val="0"/>
                <w:bCs w:val="0"/>
                <w:color w:val="auto"/>
                <w:kern w:val="2"/>
                <w:sz w:val="24"/>
                <w:szCs w:val="24"/>
                <w:highlight w:val="none"/>
                <w:lang w:val="en-US" w:eastAsia="zh-CN" w:bidi="ar-SA"/>
              </w:rPr>
              <w:t>HCl无组织</w:t>
            </w:r>
            <w:r>
              <w:rPr>
                <w:rFonts w:hint="eastAsia" w:cs="Times New Roman"/>
                <w:b w:val="0"/>
                <w:bCs w:val="0"/>
                <w:color w:val="auto"/>
                <w:kern w:val="2"/>
                <w:sz w:val="24"/>
                <w:szCs w:val="24"/>
                <w:highlight w:val="none"/>
                <w:vertAlign w:val="baseline"/>
                <w:lang w:val="en-US" w:eastAsia="zh-CN" w:bidi="ar-SA"/>
              </w:rPr>
              <w:t>排放量、排放速率分别为0.00056</w:t>
            </w:r>
            <w:r>
              <w:rPr>
                <w:rFonts w:hint="eastAsia"/>
                <w:color w:val="auto"/>
                <w:sz w:val="24"/>
                <w:highlight w:val="none"/>
                <w:lang w:val="en-US" w:eastAsia="zh-CN"/>
              </w:rPr>
              <w:t>t/a、0.0023kg/h；</w:t>
            </w:r>
            <w:r>
              <w:rPr>
                <w:rFonts w:hint="eastAsia" w:cs="Times New Roman"/>
                <w:b w:val="0"/>
                <w:bCs w:val="0"/>
                <w:i w:val="0"/>
                <w:iCs w:val="0"/>
                <w:color w:val="000000"/>
                <w:kern w:val="0"/>
                <w:sz w:val="24"/>
                <w:szCs w:val="24"/>
                <w:u w:val="none"/>
                <w:vertAlign w:val="baseline"/>
                <w:lang w:val="en-US" w:eastAsia="zh-CN" w:bidi="ar"/>
              </w:rPr>
              <w:t>NO</w:t>
            </w:r>
            <w:r>
              <w:rPr>
                <w:rFonts w:hint="eastAsia" w:cs="Times New Roman"/>
                <w:b w:val="0"/>
                <w:bCs w:val="0"/>
                <w:i w:val="0"/>
                <w:iCs w:val="0"/>
                <w:color w:val="000000"/>
                <w:kern w:val="0"/>
                <w:sz w:val="24"/>
                <w:szCs w:val="24"/>
                <w:u w:val="none"/>
                <w:vertAlign w:val="subscript"/>
                <w:lang w:val="en-US" w:eastAsia="zh-CN" w:bidi="ar"/>
              </w:rPr>
              <w:t>X</w:t>
            </w:r>
            <w:r>
              <w:rPr>
                <w:rFonts w:hint="eastAsia" w:cs="Times New Roman"/>
                <w:b w:val="0"/>
                <w:bCs w:val="0"/>
                <w:color w:val="auto"/>
                <w:kern w:val="2"/>
                <w:sz w:val="24"/>
                <w:szCs w:val="24"/>
                <w:highlight w:val="none"/>
                <w:lang w:val="en-US" w:eastAsia="zh-CN" w:bidi="ar-SA"/>
              </w:rPr>
              <w:t>无组织</w:t>
            </w:r>
            <w:r>
              <w:rPr>
                <w:rFonts w:hint="eastAsia" w:cs="Times New Roman"/>
                <w:b w:val="0"/>
                <w:bCs w:val="0"/>
                <w:color w:val="auto"/>
                <w:kern w:val="2"/>
                <w:sz w:val="24"/>
                <w:szCs w:val="24"/>
                <w:highlight w:val="none"/>
                <w:vertAlign w:val="baseline"/>
                <w:lang w:val="en-US" w:eastAsia="zh-CN" w:bidi="ar-SA"/>
              </w:rPr>
              <w:t>排放量、排放速率分别为0.00056</w:t>
            </w:r>
            <w:r>
              <w:rPr>
                <w:rFonts w:hint="eastAsia"/>
                <w:color w:val="auto"/>
                <w:sz w:val="24"/>
                <w:highlight w:val="none"/>
                <w:lang w:val="en-US" w:eastAsia="zh-CN"/>
              </w:rPr>
              <w:t>t/a、0.0023kg/h。</w:t>
            </w:r>
          </w:p>
          <w:p w14:paraId="31733E94">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default" w:cs="Times New Roman"/>
                <w:color w:val="auto"/>
                <w:kern w:val="0"/>
                <w:sz w:val="24"/>
                <w:szCs w:val="24"/>
                <w:highlight w:val="none"/>
                <w:vertAlign w:val="subscript"/>
                <w:lang w:val="en-US" w:eastAsia="zh-CN" w:bidi="ar"/>
              </w:rPr>
            </w:pPr>
            <w:r>
              <w:rPr>
                <w:rFonts w:hint="eastAsia" w:cs="Times New Roman"/>
                <w:color w:val="auto"/>
                <w:kern w:val="0"/>
                <w:sz w:val="24"/>
                <w:szCs w:val="24"/>
                <w:highlight w:val="none"/>
                <w:vertAlign w:val="baseline"/>
                <w:lang w:val="en-US" w:eastAsia="zh-CN" w:bidi="ar"/>
              </w:rPr>
              <w:t>综上所述，项目建设后全厂非甲烷有组织排放量约为0.24</w:t>
            </w:r>
            <w:r>
              <w:rPr>
                <w:rFonts w:hint="default" w:ascii="Times New Roman" w:hAnsi="Times New Roman" w:cs="Times New Roman"/>
                <w:color w:val="auto"/>
                <w:kern w:val="0"/>
                <w:sz w:val="24"/>
                <w:szCs w:val="24"/>
                <w:highlight w:val="none"/>
                <w:lang w:val="en-US" w:eastAsia="zh-CN" w:bidi="ar"/>
              </w:rPr>
              <w:t>t/a</w:t>
            </w:r>
            <w:r>
              <w:rPr>
                <w:rFonts w:hint="eastAsia" w:cs="Times New Roman"/>
                <w:color w:val="auto"/>
                <w:kern w:val="0"/>
                <w:sz w:val="24"/>
                <w:szCs w:val="24"/>
                <w:highlight w:val="none"/>
                <w:lang w:val="en-US" w:eastAsia="zh-CN" w:bidi="ar"/>
              </w:rPr>
              <w:t>，非甲烷无组织排放量为0.11</w:t>
            </w:r>
            <w:r>
              <w:rPr>
                <w:rFonts w:hint="default" w:ascii="Times New Roman" w:hAnsi="Times New Roman" w:cs="Times New Roman"/>
                <w:color w:val="auto"/>
                <w:kern w:val="0"/>
                <w:sz w:val="24"/>
                <w:szCs w:val="24"/>
                <w:highlight w:val="none"/>
                <w:lang w:val="en-US" w:eastAsia="zh-CN" w:bidi="ar"/>
              </w:rPr>
              <w:t>t/a</w:t>
            </w:r>
            <w:r>
              <w:rPr>
                <w:rFonts w:hint="eastAsia" w:cs="Times New Roman"/>
                <w:color w:val="auto"/>
                <w:kern w:val="0"/>
                <w:sz w:val="24"/>
                <w:szCs w:val="24"/>
                <w:highlight w:val="none"/>
                <w:lang w:val="en-US" w:eastAsia="zh-CN" w:bidi="ar"/>
              </w:rPr>
              <w:t>，合计非甲烷总烃排放量为0.35t/a，项目现有非甲烷总烃排放量为0.15t/a，则本次扩建新增0.10t/a。HCl有组织排放量为0.0022t/a，无组织排放量为0.0028t/a，合计HCl排放量0.0050t/a。NO</w:t>
            </w:r>
            <w:r>
              <w:rPr>
                <w:rFonts w:hint="eastAsia" w:cs="Times New Roman"/>
                <w:color w:val="auto"/>
                <w:kern w:val="0"/>
                <w:sz w:val="24"/>
                <w:szCs w:val="24"/>
                <w:highlight w:val="none"/>
                <w:vertAlign w:val="subscript"/>
                <w:lang w:val="en-US" w:eastAsia="zh-CN" w:bidi="ar"/>
              </w:rPr>
              <w:t>X</w:t>
            </w:r>
            <w:r>
              <w:rPr>
                <w:rFonts w:hint="eastAsia" w:cs="Times New Roman"/>
                <w:color w:val="auto"/>
                <w:kern w:val="0"/>
                <w:sz w:val="24"/>
                <w:szCs w:val="24"/>
                <w:highlight w:val="none"/>
                <w:vertAlign w:val="baseline"/>
                <w:lang w:val="en-US" w:eastAsia="zh-CN" w:bidi="ar"/>
              </w:rPr>
              <w:t>有组织排放量为0.0022</w:t>
            </w:r>
            <w:r>
              <w:rPr>
                <w:rFonts w:hint="eastAsia" w:cs="Times New Roman"/>
                <w:color w:val="auto"/>
                <w:kern w:val="0"/>
                <w:sz w:val="24"/>
                <w:szCs w:val="24"/>
                <w:highlight w:val="none"/>
                <w:lang w:val="en-US" w:eastAsia="zh-CN" w:bidi="ar"/>
              </w:rPr>
              <w:t>t/a，无组织排放量为0.0028t/a，合计</w:t>
            </w:r>
            <w:r>
              <w:rPr>
                <w:rFonts w:hint="eastAsia"/>
                <w:color w:val="auto"/>
                <w:kern w:val="0"/>
                <w:sz w:val="24"/>
                <w:highlight w:val="none"/>
                <w:lang w:bidi="ar"/>
              </w:rPr>
              <w:t>NO</w:t>
            </w:r>
            <w:r>
              <w:rPr>
                <w:rFonts w:hint="eastAsia"/>
                <w:color w:val="auto"/>
                <w:kern w:val="0"/>
                <w:sz w:val="24"/>
                <w:highlight w:val="none"/>
                <w:vertAlign w:val="subscript"/>
                <w:lang w:bidi="ar"/>
              </w:rPr>
              <w:t>X</w:t>
            </w:r>
            <w:r>
              <w:rPr>
                <w:rFonts w:hint="eastAsia" w:cs="Times New Roman"/>
                <w:color w:val="auto"/>
                <w:kern w:val="0"/>
                <w:sz w:val="24"/>
                <w:szCs w:val="24"/>
                <w:highlight w:val="none"/>
                <w:lang w:val="en-US" w:eastAsia="zh-CN" w:bidi="ar"/>
              </w:rPr>
              <w:t>排放量0.0050t/a</w:t>
            </w:r>
          </w:p>
          <w:p w14:paraId="58D807E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b w:val="0"/>
                <w:bCs w:val="0"/>
                <w:color w:val="auto"/>
                <w:kern w:val="2"/>
                <w:sz w:val="24"/>
                <w:szCs w:val="24"/>
                <w:highlight w:val="none"/>
                <w:lang w:val="en-US" w:eastAsia="zh-CN" w:bidi="ar-SA"/>
              </w:rPr>
            </w:pPr>
          </w:p>
          <w:p w14:paraId="7441F57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kern w:val="2"/>
                <w:sz w:val="24"/>
                <w:szCs w:val="24"/>
                <w:highlight w:val="none"/>
                <w:lang w:val="en-US" w:eastAsia="zh-CN" w:bidi="ar-SA"/>
              </w:rPr>
            </w:pPr>
          </w:p>
        </w:tc>
      </w:tr>
    </w:tbl>
    <w:p w14:paraId="21D4B763">
      <w:pPr>
        <w:pStyle w:val="65"/>
        <w:rPr>
          <w:color w:val="auto"/>
          <w:highlight w:val="none"/>
        </w:rPr>
        <w:sectPr>
          <w:pgSz w:w="11907" w:h="16840"/>
          <w:pgMar w:top="1417" w:right="1440" w:bottom="1417" w:left="1440"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1"/>
        <w:tblW w:w="0" w:type="auto"/>
        <w:tblInd w:w="0"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1135"/>
        <w:gridCol w:w="13087"/>
      </w:tblGrid>
      <w:tr w14:paraId="4182574F">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c>
          <w:tcPr>
            <w:tcW w:w="1135" w:type="dxa"/>
            <w:tcBorders>
              <w:tl2br w:val="nil"/>
              <w:tr2bl w:val="nil"/>
            </w:tcBorders>
            <w:vAlign w:val="center"/>
          </w:tcPr>
          <w:p w14:paraId="1BA2518E">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运营</w:t>
            </w:r>
          </w:p>
          <w:p w14:paraId="0205604E">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期环</w:t>
            </w:r>
          </w:p>
          <w:p w14:paraId="0585AF00">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境影</w:t>
            </w:r>
          </w:p>
          <w:p w14:paraId="61B77DE4">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响和</w:t>
            </w:r>
          </w:p>
          <w:p w14:paraId="24EDFBE3">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保护</w:t>
            </w:r>
          </w:p>
          <w:p w14:paraId="63093C5D">
            <w:pPr>
              <w:jc w:val="center"/>
              <w:rPr>
                <w:vertAlign w:val="baseline"/>
              </w:rPr>
            </w:pPr>
            <w:r>
              <w:rPr>
                <w:rFonts w:hint="default" w:ascii="Times New Roman" w:hAnsi="Times New Roman" w:eastAsia="宋体" w:cs="Times New Roman"/>
                <w:b/>
                <w:bCs w:val="0"/>
                <w:color w:val="auto"/>
                <w:sz w:val="24"/>
                <w:szCs w:val="24"/>
                <w:highlight w:val="none"/>
              </w:rPr>
              <w:t>措施</w:t>
            </w:r>
          </w:p>
        </w:tc>
        <w:tc>
          <w:tcPr>
            <w:tcW w:w="13087" w:type="dxa"/>
            <w:tcBorders>
              <w:tl2br w:val="nil"/>
              <w:tr2bl w:val="nil"/>
            </w:tcBorders>
            <w:vAlign w:val="top"/>
          </w:tcPr>
          <w:p w14:paraId="12C510D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422" w:firstLineChars="175"/>
              <w:jc w:val="center"/>
              <w:textAlignment w:val="auto"/>
              <w:rPr>
                <w:rFonts w:hint="eastAsia" w:ascii="Times New Roman" w:hAnsi="Times New Roman" w:eastAsia="宋体" w:cs="Times New Roman"/>
                <w:b/>
                <w:bCs/>
                <w:color w:val="auto"/>
                <w:kern w:val="2"/>
                <w:sz w:val="24"/>
                <w:szCs w:val="24"/>
                <w:highlight w:val="none"/>
                <w:lang w:val="en-US" w:eastAsia="zh-CN" w:bidi="ar-SA"/>
              </w:rPr>
            </w:pPr>
          </w:p>
          <w:p w14:paraId="25313E7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422" w:firstLineChars="175"/>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表4-</w:t>
            </w:r>
            <w:r>
              <w:rPr>
                <w:rFonts w:hint="eastAsia" w:cs="Times New Roman"/>
                <w:b/>
                <w:bCs/>
                <w:color w:val="auto"/>
                <w:kern w:val="2"/>
                <w:sz w:val="24"/>
                <w:szCs w:val="24"/>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 xml:space="preserve">  项目</w:t>
            </w:r>
            <w:r>
              <w:rPr>
                <w:rFonts w:hint="eastAsia" w:cs="Times New Roman"/>
                <w:b/>
                <w:bCs/>
                <w:color w:val="auto"/>
                <w:kern w:val="2"/>
                <w:sz w:val="24"/>
                <w:szCs w:val="24"/>
                <w:highlight w:val="none"/>
                <w:lang w:val="en-US" w:eastAsia="zh-CN" w:bidi="ar-SA"/>
              </w:rPr>
              <w:t>建成后全厂</w:t>
            </w:r>
            <w:r>
              <w:rPr>
                <w:rFonts w:hint="eastAsia" w:ascii="Times New Roman" w:hAnsi="Times New Roman" w:eastAsia="宋体" w:cs="Times New Roman"/>
                <w:b/>
                <w:bCs/>
                <w:color w:val="auto"/>
                <w:kern w:val="2"/>
                <w:sz w:val="24"/>
                <w:szCs w:val="24"/>
                <w:highlight w:val="none"/>
                <w:lang w:val="en-US" w:eastAsia="zh-CN" w:bidi="ar-SA"/>
              </w:rPr>
              <w:t>有机废气产排情况一览表</w:t>
            </w:r>
          </w:p>
          <w:tbl>
            <w:tblPr>
              <w:tblStyle w:val="30"/>
              <w:tblW w:w="12747"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
              <w:gridCol w:w="856"/>
              <w:gridCol w:w="782"/>
              <w:gridCol w:w="673"/>
              <w:gridCol w:w="1004"/>
              <w:gridCol w:w="950"/>
              <w:gridCol w:w="895"/>
              <w:gridCol w:w="1456"/>
              <w:gridCol w:w="809"/>
              <w:gridCol w:w="939"/>
              <w:gridCol w:w="827"/>
              <w:gridCol w:w="954"/>
              <w:gridCol w:w="925"/>
              <w:gridCol w:w="814"/>
              <w:gridCol w:w="851"/>
              <w:gridCol w:w="11"/>
            </w:tblGrid>
            <w:tr w14:paraId="7DC51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262" w:hRule="atLeast"/>
              </w:trPr>
              <w:tc>
                <w:tcPr>
                  <w:tcW w:w="856" w:type="dxa"/>
                  <w:vMerge w:val="restart"/>
                  <w:tcBorders>
                    <w:top w:val="single" w:color="000000" w:sz="12" w:space="0"/>
                    <w:left w:val="single" w:color="000000" w:sz="12" w:space="0"/>
                    <w:bottom w:val="single" w:color="000000" w:sz="4" w:space="0"/>
                    <w:right w:val="single" w:color="000000" w:sz="4" w:space="0"/>
                  </w:tcBorders>
                  <w:shd w:val="clear" w:color="auto" w:fill="auto"/>
                  <w:vAlign w:val="center"/>
                </w:tcPr>
                <w:p w14:paraId="67F1149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产污环节</w:t>
                  </w:r>
                </w:p>
              </w:tc>
              <w:tc>
                <w:tcPr>
                  <w:tcW w:w="782"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69626D6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污染物</w:t>
                  </w:r>
                </w:p>
              </w:tc>
              <w:tc>
                <w:tcPr>
                  <w:tcW w:w="673"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61ACF6E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排放形式</w:t>
                  </w:r>
                </w:p>
              </w:tc>
              <w:tc>
                <w:tcPr>
                  <w:tcW w:w="2849" w:type="dxa"/>
                  <w:gridSpan w:val="3"/>
                  <w:tcBorders>
                    <w:top w:val="single" w:color="000000" w:sz="12" w:space="0"/>
                    <w:left w:val="single" w:color="000000" w:sz="4" w:space="0"/>
                    <w:bottom w:val="single" w:color="000000" w:sz="4" w:space="0"/>
                    <w:right w:val="single" w:color="000000" w:sz="4" w:space="0"/>
                  </w:tcBorders>
                  <w:shd w:val="clear" w:color="auto" w:fill="auto"/>
                  <w:vAlign w:val="center"/>
                </w:tcPr>
                <w:p w14:paraId="30F1D87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产生情况</w:t>
                  </w:r>
                </w:p>
              </w:tc>
              <w:tc>
                <w:tcPr>
                  <w:tcW w:w="3204" w:type="dxa"/>
                  <w:gridSpan w:val="3"/>
                  <w:tcBorders>
                    <w:top w:val="single" w:color="000000" w:sz="12" w:space="0"/>
                    <w:left w:val="single" w:color="000000" w:sz="4" w:space="0"/>
                    <w:bottom w:val="single" w:color="000000" w:sz="4" w:space="0"/>
                    <w:right w:val="single" w:color="000000" w:sz="4" w:space="0"/>
                  </w:tcBorders>
                  <w:shd w:val="clear" w:color="auto" w:fill="auto"/>
                  <w:vAlign w:val="center"/>
                </w:tcPr>
                <w:p w14:paraId="104E6EB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治理措施</w:t>
                  </w:r>
                </w:p>
              </w:tc>
              <w:tc>
                <w:tcPr>
                  <w:tcW w:w="3520" w:type="dxa"/>
                  <w:gridSpan w:val="4"/>
                  <w:tcBorders>
                    <w:top w:val="single" w:color="000000" w:sz="12" w:space="0"/>
                    <w:left w:val="single" w:color="000000" w:sz="4" w:space="0"/>
                    <w:bottom w:val="single" w:color="000000" w:sz="4" w:space="0"/>
                    <w:right w:val="single" w:color="000000" w:sz="4" w:space="0"/>
                  </w:tcBorders>
                  <w:shd w:val="clear" w:color="auto" w:fill="auto"/>
                  <w:vAlign w:val="center"/>
                </w:tcPr>
                <w:p w14:paraId="3B632D7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排放情况</w:t>
                  </w:r>
                </w:p>
              </w:tc>
              <w:tc>
                <w:tcPr>
                  <w:tcW w:w="862" w:type="dxa"/>
                  <w:gridSpan w:val="2"/>
                  <w:vMerge w:val="restart"/>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0E5815A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备注</w:t>
                  </w:r>
                </w:p>
              </w:tc>
            </w:tr>
            <w:tr w14:paraId="01ADF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dxa"/>
                <w:trHeight w:val="554" w:hRule="atLeast"/>
              </w:trPr>
              <w:tc>
                <w:tcPr>
                  <w:tcW w:w="856" w:type="dxa"/>
                  <w:vMerge w:val="continue"/>
                  <w:tcBorders>
                    <w:top w:val="single" w:color="000000" w:sz="12" w:space="0"/>
                    <w:left w:val="single" w:color="000000" w:sz="12" w:space="0"/>
                    <w:bottom w:val="single" w:color="000000" w:sz="4" w:space="0"/>
                    <w:right w:val="single" w:color="000000" w:sz="4" w:space="0"/>
                  </w:tcBorders>
                  <w:shd w:val="clear" w:color="auto" w:fill="auto"/>
                  <w:vAlign w:val="center"/>
                </w:tcPr>
                <w:p w14:paraId="16D89C4C">
                  <w:pPr>
                    <w:jc w:val="center"/>
                    <w:rPr>
                      <w:rFonts w:hint="eastAsia" w:ascii="宋体" w:hAnsi="宋体" w:eastAsia="宋体" w:cs="宋体"/>
                      <w:b/>
                      <w:bCs/>
                      <w:i w:val="0"/>
                      <w:iCs w:val="0"/>
                      <w:color w:val="000000"/>
                      <w:sz w:val="21"/>
                      <w:szCs w:val="21"/>
                      <w:u w:val="none"/>
                    </w:rPr>
                  </w:pPr>
                </w:p>
              </w:tc>
              <w:tc>
                <w:tcPr>
                  <w:tcW w:w="782"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1DD1048A">
                  <w:pPr>
                    <w:jc w:val="center"/>
                    <w:rPr>
                      <w:rFonts w:hint="eastAsia" w:ascii="宋体" w:hAnsi="宋体" w:eastAsia="宋体" w:cs="宋体"/>
                      <w:b/>
                      <w:bCs/>
                      <w:i w:val="0"/>
                      <w:iCs w:val="0"/>
                      <w:color w:val="000000"/>
                      <w:sz w:val="21"/>
                      <w:szCs w:val="21"/>
                      <w:u w:val="none"/>
                    </w:rPr>
                  </w:pPr>
                </w:p>
              </w:tc>
              <w:tc>
                <w:tcPr>
                  <w:tcW w:w="673"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48796236">
                  <w:pPr>
                    <w:jc w:val="center"/>
                    <w:rPr>
                      <w:rFonts w:hint="eastAsia" w:ascii="宋体" w:hAnsi="宋体" w:eastAsia="宋体" w:cs="宋体"/>
                      <w:b/>
                      <w:bCs/>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F54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产生量</w:t>
                  </w:r>
                  <w:r>
                    <w:rPr>
                      <w:rFonts w:hint="default" w:ascii="Times New Roman" w:hAnsi="Times New Roman" w:eastAsia="宋体" w:cs="Times New Roman"/>
                      <w:b/>
                      <w:bCs/>
                      <w:i w:val="0"/>
                      <w:iCs w:val="0"/>
                      <w:color w:val="000000"/>
                      <w:kern w:val="0"/>
                      <w:sz w:val="21"/>
                      <w:szCs w:val="21"/>
                      <w:u w:val="none"/>
                      <w:lang w:val="en-US" w:eastAsia="zh-CN" w:bidi="ar"/>
                    </w:rPr>
                    <w:t>t/a</w:t>
                  </w:r>
                </w:p>
              </w:tc>
              <w:tc>
                <w:tcPr>
                  <w:tcW w:w="950" w:type="dxa"/>
                  <w:tcBorders>
                    <w:top w:val="single" w:color="000000" w:sz="4" w:space="0"/>
                    <w:left w:val="single" w:color="000000" w:sz="4" w:space="0"/>
                    <w:right w:val="single" w:color="000000" w:sz="4" w:space="0"/>
                  </w:tcBorders>
                  <w:shd w:val="clear" w:color="auto" w:fill="auto"/>
                  <w:vAlign w:val="center"/>
                </w:tcPr>
                <w:p w14:paraId="46410B83">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速率</w:t>
                  </w:r>
                </w:p>
                <w:p w14:paraId="05452D8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kg/h</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EF1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浓度</w:t>
                  </w:r>
                  <w:r>
                    <w:rPr>
                      <w:rFonts w:hint="default" w:ascii="Times New Roman" w:hAnsi="Times New Roman" w:eastAsia="宋体" w:cs="Times New Roman"/>
                      <w:b/>
                      <w:bCs/>
                      <w:i w:val="0"/>
                      <w:iCs w:val="0"/>
                      <w:color w:val="000000"/>
                      <w:kern w:val="0"/>
                      <w:sz w:val="21"/>
                      <w:szCs w:val="21"/>
                      <w:u w:val="none"/>
                      <w:lang w:val="en-US" w:eastAsia="zh-CN" w:bidi="ar"/>
                    </w:rPr>
                    <w:t>mg/m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451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措施</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63AB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收集效率</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A6A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处理效率</w:t>
                  </w:r>
                  <w:r>
                    <w:rPr>
                      <w:rFonts w:hint="default" w:ascii="Times New Roman" w:hAnsi="Times New Roman" w:eastAsia="宋体" w:cs="Times New Roman"/>
                      <w:b/>
                      <w:bCs/>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288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风机量</w:t>
                  </w:r>
                  <w:r>
                    <w:rPr>
                      <w:rFonts w:hint="default" w:ascii="Times New Roman" w:hAnsi="Times New Roman" w:eastAsia="宋体" w:cs="Times New Roman"/>
                      <w:b/>
                      <w:bCs/>
                      <w:i w:val="0"/>
                      <w:iCs w:val="0"/>
                      <w:color w:val="000000"/>
                      <w:kern w:val="0"/>
                      <w:sz w:val="21"/>
                      <w:szCs w:val="21"/>
                      <w:u w:val="none"/>
                      <w:lang w:val="en-US" w:eastAsia="zh-CN" w:bidi="ar"/>
                    </w:rPr>
                    <w:t>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r>
                    <w:rPr>
                      <w:rFonts w:hint="default" w:ascii="Times New Roman" w:hAnsi="Times New Roman" w:eastAsia="宋体" w:cs="Times New Roman"/>
                      <w:b/>
                      <w:bCs/>
                      <w:i w:val="0"/>
                      <w:iCs w:val="0"/>
                      <w:color w:val="000000"/>
                      <w:kern w:val="0"/>
                      <w:sz w:val="21"/>
                      <w:szCs w:val="21"/>
                      <w:u w:val="none"/>
                      <w:lang w:val="en-US" w:eastAsia="zh-CN" w:bidi="ar"/>
                    </w:rPr>
                    <w:t>/h</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99A5E">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排放</w:t>
                  </w:r>
                </w:p>
                <w:p w14:paraId="474DCD6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量</w:t>
                  </w:r>
                  <w:r>
                    <w:rPr>
                      <w:rFonts w:hint="default" w:ascii="Times New Roman" w:hAnsi="Times New Roman" w:eastAsia="宋体" w:cs="Times New Roman"/>
                      <w:b/>
                      <w:bCs/>
                      <w:i w:val="0"/>
                      <w:iCs w:val="0"/>
                      <w:color w:val="000000"/>
                      <w:kern w:val="0"/>
                      <w:sz w:val="21"/>
                      <w:szCs w:val="21"/>
                      <w:u w:val="none"/>
                      <w:lang w:val="en-US" w:eastAsia="zh-CN" w:bidi="ar"/>
                    </w:rPr>
                    <w:t>t/a</w:t>
                  </w:r>
                </w:p>
              </w:tc>
              <w:tc>
                <w:tcPr>
                  <w:tcW w:w="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DD61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速率</w:t>
                  </w:r>
                  <w:r>
                    <w:rPr>
                      <w:rFonts w:hint="default" w:ascii="Times New Roman" w:hAnsi="Times New Roman" w:eastAsia="宋体" w:cs="Times New Roman"/>
                      <w:b/>
                      <w:bCs/>
                      <w:i w:val="0"/>
                      <w:iCs w:val="0"/>
                      <w:color w:val="000000"/>
                      <w:kern w:val="0"/>
                      <w:sz w:val="21"/>
                      <w:szCs w:val="21"/>
                      <w:u w:val="none"/>
                      <w:lang w:val="en-US" w:eastAsia="zh-CN" w:bidi="ar"/>
                    </w:rPr>
                    <w:t>kg/h</w:t>
                  </w:r>
                </w:p>
              </w:tc>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004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浓度</w:t>
                  </w:r>
                  <w:r>
                    <w:rPr>
                      <w:rFonts w:hint="default" w:ascii="Times New Roman" w:hAnsi="Times New Roman" w:eastAsia="宋体" w:cs="Times New Roman"/>
                      <w:b/>
                      <w:bCs/>
                      <w:i w:val="0"/>
                      <w:iCs w:val="0"/>
                      <w:color w:val="000000"/>
                      <w:kern w:val="0"/>
                      <w:sz w:val="21"/>
                      <w:szCs w:val="21"/>
                      <w:u w:val="none"/>
                      <w:lang w:val="en-US" w:eastAsia="zh-CN" w:bidi="ar"/>
                    </w:rPr>
                    <w:t>mg/m</w:t>
                  </w:r>
                  <w:r>
                    <w:rPr>
                      <w:rFonts w:hint="default" w:ascii="Times New Roman" w:hAnsi="Times New Roman" w:eastAsia="宋体" w:cs="Times New Roman"/>
                      <w:b/>
                      <w:bCs/>
                      <w:i w:val="0"/>
                      <w:iCs w:val="0"/>
                      <w:color w:val="000000"/>
                      <w:kern w:val="0"/>
                      <w:sz w:val="21"/>
                      <w:szCs w:val="21"/>
                      <w:u w:val="none"/>
                      <w:vertAlign w:val="superscript"/>
                      <w:lang w:val="en-US" w:eastAsia="zh-CN" w:bidi="ar"/>
                    </w:rPr>
                    <w:t>3</w:t>
                  </w:r>
                </w:p>
              </w:tc>
              <w:tc>
                <w:tcPr>
                  <w:tcW w:w="862" w:type="dxa"/>
                  <w:gridSpan w:val="2"/>
                  <w:vMerge w:val="continue"/>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7B84E69E">
                  <w:pPr>
                    <w:jc w:val="center"/>
                    <w:rPr>
                      <w:rFonts w:hint="eastAsia" w:ascii="宋体" w:hAnsi="宋体" w:eastAsia="宋体" w:cs="宋体"/>
                      <w:b/>
                      <w:bCs/>
                      <w:i w:val="0"/>
                      <w:iCs w:val="0"/>
                      <w:color w:val="000000"/>
                      <w:sz w:val="21"/>
                      <w:szCs w:val="21"/>
                      <w:u w:val="none"/>
                    </w:rPr>
                  </w:pPr>
                </w:p>
              </w:tc>
            </w:tr>
            <w:tr w14:paraId="65A0A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371" w:hRule="atLeast"/>
              </w:trPr>
              <w:tc>
                <w:tcPr>
                  <w:tcW w:w="857" w:type="dxa"/>
                  <w:gridSpan w:val="2"/>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53DC22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探试实验室</w:t>
                  </w:r>
                  <w:r>
                    <w:rPr>
                      <w:rFonts w:hint="default" w:ascii="Times New Roman" w:hAnsi="Times New Roman" w:cs="Times New Roman"/>
                      <w:i w:val="0"/>
                      <w:iCs w:val="0"/>
                      <w:color w:val="000000"/>
                      <w:kern w:val="0"/>
                      <w:sz w:val="21"/>
                      <w:szCs w:val="21"/>
                      <w:u w:val="none"/>
                      <w:lang w:val="en-US" w:eastAsia="zh-CN" w:bidi="ar"/>
                    </w:rPr>
                    <w:t>（DA002）</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7B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非甲烷总烃</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429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w:t>
                  </w:r>
                </w:p>
                <w:p w14:paraId="7906D74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组</w:t>
                  </w:r>
                </w:p>
                <w:p w14:paraId="52BC20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织</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0B8A6">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0.22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046D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0.22</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2EE0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11.15</w:t>
                  </w:r>
                </w:p>
              </w:tc>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AA52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依托通风柜</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套</w:t>
                  </w:r>
                  <w:r>
                    <w:rPr>
                      <w:rFonts w:hint="default" w:ascii="Times New Roman" w:hAnsi="Times New Roman" w:eastAsia="宋体" w:cs="Times New Roman"/>
                      <w:i w:val="0"/>
                      <w:iCs w:val="0"/>
                      <w:color w:val="000000"/>
                      <w:kern w:val="0"/>
                      <w:sz w:val="21"/>
                      <w:szCs w:val="21"/>
                      <w:u w:val="none"/>
                      <w:lang w:val="en-US" w:eastAsia="zh-CN" w:bidi="ar"/>
                    </w:rPr>
                    <w:t>SDG+</w:t>
                  </w:r>
                  <w:r>
                    <w:rPr>
                      <w:rFonts w:hint="eastAsia" w:ascii="宋体" w:hAnsi="宋体" w:eastAsia="宋体" w:cs="宋体"/>
                      <w:i w:val="0"/>
                      <w:iCs w:val="0"/>
                      <w:color w:val="000000"/>
                      <w:kern w:val="0"/>
                      <w:sz w:val="21"/>
                      <w:szCs w:val="21"/>
                      <w:u w:val="none"/>
                      <w:lang w:val="en-US" w:eastAsia="zh-CN" w:bidi="ar"/>
                    </w:rPr>
                    <w:t>活性炭吸附装置（</w:t>
                  </w:r>
                  <w:r>
                    <w:rPr>
                      <w:rFonts w:hint="default" w:ascii="Times New Roman" w:hAnsi="Times New Roman" w:eastAsia="宋体" w:cs="Times New Roman"/>
                      <w:i w:val="0"/>
                      <w:iCs w:val="0"/>
                      <w:color w:val="000000"/>
                      <w:kern w:val="0"/>
                      <w:sz w:val="21"/>
                      <w:szCs w:val="21"/>
                      <w:u w:val="none"/>
                      <w:lang w:val="en-US" w:eastAsia="zh-CN" w:bidi="ar"/>
                    </w:rPr>
                    <w:t>TA001</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TA002</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TA003</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+28m</w:t>
                  </w:r>
                  <w:r>
                    <w:rPr>
                      <w:rFonts w:hint="eastAsia" w:ascii="宋体" w:hAnsi="宋体" w:eastAsia="宋体" w:cs="宋体"/>
                      <w:i w:val="0"/>
                      <w:iCs w:val="0"/>
                      <w:color w:val="000000"/>
                      <w:kern w:val="0"/>
                      <w:sz w:val="21"/>
                      <w:szCs w:val="21"/>
                      <w:u w:val="none"/>
                      <w:lang w:val="en-US" w:eastAsia="zh-CN" w:bidi="ar"/>
                    </w:rPr>
                    <w:t>高排气筒</w:t>
                  </w:r>
                </w:p>
              </w:tc>
              <w:tc>
                <w:tcPr>
                  <w:tcW w:w="8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00C2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D52D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50</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77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20000</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4519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0.11</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7AD5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0.12</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F0F6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6.05</w:t>
                  </w:r>
                </w:p>
              </w:tc>
              <w:tc>
                <w:tcPr>
                  <w:tcW w:w="851" w:type="dxa"/>
                  <w:vMerge w:val="restart"/>
                  <w:tcBorders>
                    <w:top w:val="single" w:color="000000" w:sz="4" w:space="0"/>
                    <w:left w:val="single" w:color="000000" w:sz="4" w:space="0"/>
                    <w:bottom w:val="single" w:color="000000" w:sz="4" w:space="0"/>
                    <w:right w:val="single" w:color="000000" w:sz="12" w:space="0"/>
                  </w:tcBorders>
                  <w:shd w:val="clear" w:color="auto" w:fill="auto"/>
                  <w:vAlign w:val="center"/>
                </w:tcPr>
                <w:p w14:paraId="724EA6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color w:val="000000"/>
                      <w:kern w:val="0"/>
                      <w:szCs w:val="21"/>
                      <w:u w:val="none"/>
                      <w:lang w:bidi="ar"/>
                    </w:rPr>
                    <w:t>风机满负荷运行，有机溶剂最大工作时间为980h，无机溶剂最大工作时间为245h</w:t>
                  </w:r>
                </w:p>
              </w:tc>
            </w:tr>
            <w:tr w14:paraId="676EE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703"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18B4C0A0">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23C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氯化氢</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E69A">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6CF9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09A7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0.018</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41AE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0.92</w:t>
                  </w:r>
                </w:p>
              </w:tc>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80916">
                  <w:pPr>
                    <w:jc w:val="center"/>
                    <w:rPr>
                      <w:rFonts w:hint="eastAsia" w:ascii="宋体" w:hAnsi="宋体" w:eastAsia="宋体" w:cs="宋体"/>
                      <w:i w:val="0"/>
                      <w:iCs w:val="0"/>
                      <w:color w:val="000000"/>
                      <w:sz w:val="21"/>
                      <w:szCs w:val="21"/>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C353D">
                  <w:pPr>
                    <w:jc w:val="center"/>
                    <w:rPr>
                      <w:rFonts w:hint="default" w:ascii="Times New Roman" w:hAnsi="Times New Roman" w:eastAsia="宋体" w:cs="Times New Roman"/>
                      <w:i w:val="0"/>
                      <w:iCs w:val="0"/>
                      <w:color w:val="000000"/>
                      <w:sz w:val="21"/>
                      <w:szCs w:val="21"/>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28C2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329F9">
                  <w:pPr>
                    <w:jc w:val="center"/>
                    <w:rPr>
                      <w:rFonts w:hint="default" w:ascii="Times New Roman" w:hAnsi="Times New Roman" w:eastAsia="宋体" w:cs="Times New Roman"/>
                      <w:i w:val="0"/>
                      <w:iCs w:val="0"/>
                      <w:color w:val="000000"/>
                      <w:sz w:val="21"/>
                      <w:szCs w:val="21"/>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AC7B2">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0.0009</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5032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0.0037</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37E1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0.18</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44BDDF97">
                  <w:pPr>
                    <w:jc w:val="center"/>
                    <w:rPr>
                      <w:rFonts w:hint="eastAsia" w:ascii="宋体" w:hAnsi="宋体" w:eastAsia="宋体" w:cs="宋体"/>
                      <w:i w:val="0"/>
                      <w:iCs w:val="0"/>
                      <w:color w:val="000000"/>
                      <w:sz w:val="21"/>
                      <w:szCs w:val="21"/>
                      <w:u w:val="none"/>
                    </w:rPr>
                  </w:pPr>
                </w:p>
              </w:tc>
            </w:tr>
            <w:tr w14:paraId="0D603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327"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747E8F17">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19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氮氧化物</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5CA66">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12B3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D487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0.018</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8C902">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0.92</w:t>
                  </w:r>
                </w:p>
              </w:tc>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8F93D">
                  <w:pPr>
                    <w:jc w:val="center"/>
                    <w:rPr>
                      <w:rFonts w:hint="eastAsia" w:ascii="宋体" w:hAnsi="宋体" w:eastAsia="宋体" w:cs="宋体"/>
                      <w:i w:val="0"/>
                      <w:iCs w:val="0"/>
                      <w:color w:val="000000"/>
                      <w:sz w:val="21"/>
                      <w:szCs w:val="21"/>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6CC20">
                  <w:pPr>
                    <w:jc w:val="center"/>
                    <w:rPr>
                      <w:rFonts w:hint="default" w:ascii="Times New Roman" w:hAnsi="Times New Roman" w:eastAsia="宋体" w:cs="Times New Roman"/>
                      <w:i w:val="0"/>
                      <w:iCs w:val="0"/>
                      <w:color w:val="000000"/>
                      <w:sz w:val="21"/>
                      <w:szCs w:val="21"/>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852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D0518">
                  <w:pPr>
                    <w:jc w:val="center"/>
                    <w:rPr>
                      <w:rFonts w:hint="default" w:ascii="Times New Roman" w:hAnsi="Times New Roman" w:eastAsia="宋体" w:cs="Times New Roman"/>
                      <w:i w:val="0"/>
                      <w:iCs w:val="0"/>
                      <w:color w:val="000000"/>
                      <w:sz w:val="21"/>
                      <w:szCs w:val="21"/>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AB7C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0.0009</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22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0.0037</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30B3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0.18</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540F2C1D">
                  <w:pPr>
                    <w:jc w:val="center"/>
                    <w:rPr>
                      <w:rFonts w:hint="eastAsia" w:ascii="宋体" w:hAnsi="宋体" w:eastAsia="宋体" w:cs="宋体"/>
                      <w:i w:val="0"/>
                      <w:iCs w:val="0"/>
                      <w:color w:val="000000"/>
                      <w:sz w:val="21"/>
                      <w:szCs w:val="21"/>
                      <w:u w:val="none"/>
                    </w:rPr>
                  </w:pPr>
                </w:p>
              </w:tc>
            </w:tr>
            <w:tr w14:paraId="20863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289" w:hRule="atLeast"/>
              </w:trPr>
              <w:tc>
                <w:tcPr>
                  <w:tcW w:w="857" w:type="dxa"/>
                  <w:gridSpan w:val="2"/>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18B0848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小试实验室</w:t>
                  </w:r>
                  <w:r>
                    <w:rPr>
                      <w:rFonts w:hint="default" w:ascii="Times New Roman" w:hAnsi="Times New Roman" w:cs="Times New Roman"/>
                      <w:i w:val="0"/>
                      <w:iCs w:val="0"/>
                      <w:color w:val="000000"/>
                      <w:kern w:val="0"/>
                      <w:sz w:val="21"/>
                      <w:szCs w:val="21"/>
                      <w:u w:val="none"/>
                      <w:lang w:val="en-US" w:eastAsia="zh-CN" w:bidi="ar"/>
                    </w:rPr>
                    <w:t>(DA001)</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5B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非甲烷总烃</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6F2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w:t>
                  </w:r>
                </w:p>
                <w:p w14:paraId="4C61B8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组</w:t>
                  </w:r>
                </w:p>
                <w:p w14:paraId="091C01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织</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4309">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0.19</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4A98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0.19</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10B6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9.45</w:t>
                  </w:r>
                </w:p>
              </w:tc>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79C2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依托通风柜</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套</w:t>
                  </w:r>
                  <w:r>
                    <w:rPr>
                      <w:rFonts w:hint="default" w:ascii="Times New Roman" w:hAnsi="Times New Roman" w:eastAsia="宋体" w:cs="Times New Roman"/>
                      <w:i w:val="0"/>
                      <w:iCs w:val="0"/>
                      <w:color w:val="000000"/>
                      <w:kern w:val="0"/>
                      <w:sz w:val="21"/>
                      <w:szCs w:val="21"/>
                      <w:u w:val="none"/>
                      <w:lang w:val="en-US" w:eastAsia="zh-CN" w:bidi="ar"/>
                    </w:rPr>
                    <w:t>SDG+</w:t>
                  </w:r>
                  <w:r>
                    <w:rPr>
                      <w:rFonts w:hint="eastAsia" w:ascii="宋体" w:hAnsi="宋体" w:eastAsia="宋体" w:cs="宋体"/>
                      <w:i w:val="0"/>
                      <w:iCs w:val="0"/>
                      <w:color w:val="000000"/>
                      <w:kern w:val="0"/>
                      <w:sz w:val="21"/>
                      <w:szCs w:val="21"/>
                      <w:u w:val="none"/>
                      <w:lang w:val="en-US" w:eastAsia="zh-CN" w:bidi="ar"/>
                    </w:rPr>
                    <w:t>活性炭吸附装置（</w:t>
                  </w:r>
                  <w:r>
                    <w:rPr>
                      <w:rFonts w:hint="default" w:ascii="Times New Roman" w:hAnsi="Times New Roman" w:eastAsia="宋体" w:cs="Times New Roman"/>
                      <w:i w:val="0"/>
                      <w:iCs w:val="0"/>
                      <w:color w:val="000000"/>
                      <w:kern w:val="0"/>
                      <w:sz w:val="21"/>
                      <w:szCs w:val="21"/>
                      <w:u w:val="none"/>
                      <w:lang w:val="en-US" w:eastAsia="zh-CN" w:bidi="ar"/>
                    </w:rPr>
                    <w:t>TA004</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TA005</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+28m</w:t>
                  </w:r>
                  <w:r>
                    <w:rPr>
                      <w:rFonts w:hint="eastAsia" w:ascii="宋体" w:hAnsi="宋体" w:eastAsia="宋体" w:cs="宋体"/>
                      <w:i w:val="0"/>
                      <w:iCs w:val="0"/>
                      <w:color w:val="000000"/>
                      <w:kern w:val="0"/>
                      <w:sz w:val="21"/>
                      <w:szCs w:val="21"/>
                      <w:u w:val="none"/>
                      <w:lang w:val="en-US" w:eastAsia="zh-CN" w:bidi="ar"/>
                    </w:rPr>
                    <w:t>高排气筒</w:t>
                  </w:r>
                </w:p>
              </w:tc>
              <w:tc>
                <w:tcPr>
                  <w:tcW w:w="8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A1A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1120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44.12</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C2BE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20000</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75CB4">
                  <w:pPr>
                    <w:keepNext w:val="0"/>
                    <w:keepLines w:val="0"/>
                    <w:widowControl/>
                    <w:suppressLineNumbers w:val="0"/>
                    <w:spacing w:beforeLines="0" w:afterLines="0"/>
                    <w:jc w:val="center"/>
                    <w:textAlignment w:val="auto"/>
                    <w:rPr>
                      <w:rFonts w:hint="eastAsia" w:ascii="Times New Roman" w:hAnsi="Times New Roman" w:eastAsia="宋体" w:cs="Times New Roman"/>
                      <w:i w:val="0"/>
                      <w:iCs w:val="0"/>
                      <w:color w:val="000000"/>
                      <w:sz w:val="21"/>
                      <w:szCs w:val="21"/>
                      <w:u w:val="none"/>
                      <w:lang w:val="en-US" w:eastAsia="zh-CN"/>
                    </w:rPr>
                  </w:pPr>
                  <w:r>
                    <w:rPr>
                      <w:rFonts w:hint="eastAsia" w:ascii="Times New Roman" w:hAnsi="Times New Roman" w:eastAsia="Times New Roman"/>
                      <w:color w:val="000000"/>
                      <w:sz w:val="21"/>
                      <w:szCs w:val="24"/>
                    </w:rPr>
                    <w:t>0.1</w:t>
                  </w:r>
                  <w:r>
                    <w:rPr>
                      <w:rFonts w:hint="eastAsia" w:eastAsia="宋体"/>
                      <w:color w:val="000000"/>
                      <w:sz w:val="21"/>
                      <w:szCs w:val="24"/>
                      <w:lang w:val="en-US" w:eastAsia="zh-CN"/>
                    </w:rPr>
                    <w:t>0</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FB1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0.11</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8A4DB">
                  <w:pPr>
                    <w:keepNext w:val="0"/>
                    <w:keepLines w:val="0"/>
                    <w:widowControl/>
                    <w:suppressLineNumbers w:val="0"/>
                    <w:spacing w:beforeLines="0" w:afterLines="0"/>
                    <w:jc w:val="center"/>
                    <w:textAlignment w:val="auto"/>
                    <w:rPr>
                      <w:rFonts w:hint="eastAsia" w:ascii="Times New Roman" w:hAnsi="Times New Roman" w:eastAsia="宋体" w:cs="Times New Roman"/>
                      <w:i w:val="0"/>
                      <w:iCs w:val="0"/>
                      <w:color w:val="000000"/>
                      <w:sz w:val="21"/>
                      <w:szCs w:val="21"/>
                      <w:u w:val="none"/>
                      <w:lang w:eastAsia="zh-CN"/>
                    </w:rPr>
                  </w:pPr>
                  <w:r>
                    <w:rPr>
                      <w:rFonts w:hint="eastAsia" w:ascii="Times New Roman" w:hAnsi="Times New Roman" w:eastAsia="Times New Roman"/>
                      <w:color w:val="000000"/>
                      <w:sz w:val="21"/>
                      <w:szCs w:val="24"/>
                    </w:rPr>
                    <w:t>5.</w:t>
                  </w:r>
                  <w:r>
                    <w:rPr>
                      <w:rFonts w:hint="eastAsia" w:eastAsia="宋体"/>
                      <w:color w:val="000000"/>
                      <w:sz w:val="21"/>
                      <w:szCs w:val="24"/>
                      <w:lang w:val="en-US" w:eastAsia="zh-CN"/>
                    </w:rPr>
                    <w:t>5</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60AEFDD1">
                  <w:pPr>
                    <w:jc w:val="center"/>
                    <w:rPr>
                      <w:rFonts w:hint="eastAsia" w:ascii="宋体" w:hAnsi="宋体" w:eastAsia="宋体" w:cs="宋体"/>
                      <w:i w:val="0"/>
                      <w:iCs w:val="0"/>
                      <w:color w:val="000000"/>
                      <w:sz w:val="21"/>
                      <w:szCs w:val="21"/>
                      <w:u w:val="none"/>
                    </w:rPr>
                  </w:pPr>
                </w:p>
              </w:tc>
            </w:tr>
            <w:tr w14:paraId="18EF1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466"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1EA6F580">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E7A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氯化氢</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8D65">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BBD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9A35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0.018</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BB46C">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0.92</w:t>
                  </w:r>
                </w:p>
              </w:tc>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336F6">
                  <w:pPr>
                    <w:jc w:val="center"/>
                    <w:rPr>
                      <w:rFonts w:hint="eastAsia" w:ascii="宋体" w:hAnsi="宋体" w:eastAsia="宋体" w:cs="宋体"/>
                      <w:i w:val="0"/>
                      <w:iCs w:val="0"/>
                      <w:color w:val="000000"/>
                      <w:sz w:val="21"/>
                      <w:szCs w:val="21"/>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E35C5">
                  <w:pPr>
                    <w:jc w:val="center"/>
                    <w:rPr>
                      <w:rFonts w:hint="default" w:ascii="Times New Roman" w:hAnsi="Times New Roman" w:eastAsia="宋体" w:cs="Times New Roman"/>
                      <w:i w:val="0"/>
                      <w:iCs w:val="0"/>
                      <w:color w:val="000000"/>
                      <w:sz w:val="21"/>
                      <w:szCs w:val="21"/>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21FC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8F53A">
                  <w:pPr>
                    <w:jc w:val="center"/>
                    <w:rPr>
                      <w:rFonts w:hint="default" w:ascii="Times New Roman" w:hAnsi="Times New Roman" w:eastAsia="宋体" w:cs="Times New Roman"/>
                      <w:i w:val="0"/>
                      <w:iCs w:val="0"/>
                      <w:color w:val="000000"/>
                      <w:sz w:val="21"/>
                      <w:szCs w:val="21"/>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B93D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0.0009</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D803">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0.0037</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290AB">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0.18</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1390B85B">
                  <w:pPr>
                    <w:jc w:val="center"/>
                    <w:rPr>
                      <w:rFonts w:hint="eastAsia" w:ascii="宋体" w:hAnsi="宋体" w:eastAsia="宋体" w:cs="宋体"/>
                      <w:i w:val="0"/>
                      <w:iCs w:val="0"/>
                      <w:color w:val="000000"/>
                      <w:sz w:val="21"/>
                      <w:szCs w:val="21"/>
                      <w:u w:val="none"/>
                    </w:rPr>
                  </w:pPr>
                </w:p>
              </w:tc>
            </w:tr>
            <w:tr w14:paraId="62C74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386"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6359BF7E">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64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氮氧化物</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64905">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35FDF">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C16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0.018</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1FEE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0.92</w:t>
                  </w:r>
                </w:p>
              </w:tc>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55ED9">
                  <w:pPr>
                    <w:jc w:val="center"/>
                    <w:rPr>
                      <w:rFonts w:hint="eastAsia" w:ascii="宋体" w:hAnsi="宋体" w:eastAsia="宋体" w:cs="宋体"/>
                      <w:i w:val="0"/>
                      <w:iCs w:val="0"/>
                      <w:color w:val="000000"/>
                      <w:sz w:val="21"/>
                      <w:szCs w:val="21"/>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661F3">
                  <w:pPr>
                    <w:jc w:val="center"/>
                    <w:rPr>
                      <w:rFonts w:hint="default" w:ascii="Times New Roman" w:hAnsi="Times New Roman" w:eastAsia="宋体" w:cs="Times New Roman"/>
                      <w:i w:val="0"/>
                      <w:iCs w:val="0"/>
                      <w:color w:val="000000"/>
                      <w:sz w:val="21"/>
                      <w:szCs w:val="21"/>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7DC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6000A">
                  <w:pPr>
                    <w:jc w:val="center"/>
                    <w:rPr>
                      <w:rFonts w:hint="default" w:ascii="Times New Roman" w:hAnsi="Times New Roman" w:eastAsia="宋体" w:cs="Times New Roman"/>
                      <w:i w:val="0"/>
                      <w:iCs w:val="0"/>
                      <w:color w:val="000000"/>
                      <w:sz w:val="21"/>
                      <w:szCs w:val="21"/>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B9329">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0.0009</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D1F3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0.0037</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C8029">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0.18</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490960E9">
                  <w:pPr>
                    <w:jc w:val="center"/>
                    <w:rPr>
                      <w:rFonts w:hint="eastAsia" w:ascii="宋体" w:hAnsi="宋体" w:eastAsia="宋体" w:cs="宋体"/>
                      <w:i w:val="0"/>
                      <w:iCs w:val="0"/>
                      <w:color w:val="000000"/>
                      <w:sz w:val="21"/>
                      <w:szCs w:val="21"/>
                      <w:u w:val="none"/>
                    </w:rPr>
                  </w:pPr>
                </w:p>
              </w:tc>
            </w:tr>
            <w:tr w14:paraId="1BD67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327" w:hRule="atLeast"/>
              </w:trPr>
              <w:tc>
                <w:tcPr>
                  <w:tcW w:w="857" w:type="dxa"/>
                  <w:gridSpan w:val="2"/>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3697E17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分析实验室</w:t>
                  </w:r>
                  <w:r>
                    <w:rPr>
                      <w:rFonts w:hint="default" w:ascii="Times New Roman" w:hAnsi="Times New Roman" w:cs="Times New Roman"/>
                      <w:i w:val="0"/>
                      <w:iCs w:val="0"/>
                      <w:color w:val="000000"/>
                      <w:kern w:val="0"/>
                      <w:sz w:val="21"/>
                      <w:szCs w:val="21"/>
                      <w:u w:val="none"/>
                      <w:lang w:val="en-US" w:eastAsia="zh-CN" w:bidi="ar"/>
                    </w:rPr>
                    <w:t>(DA003)</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6E3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非甲烷总烃</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22D7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w:t>
                  </w:r>
                </w:p>
                <w:p w14:paraId="591EFD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组</w:t>
                  </w:r>
                </w:p>
                <w:p w14:paraId="540CCB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织</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ECBE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0.053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0627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0.054</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34946">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1.5</w:t>
                  </w:r>
                </w:p>
              </w:tc>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2510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依托通风柜</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套</w:t>
                  </w:r>
                  <w:r>
                    <w:rPr>
                      <w:rFonts w:hint="default" w:ascii="Times New Roman" w:hAnsi="Times New Roman" w:eastAsia="宋体" w:cs="Times New Roman"/>
                      <w:i w:val="0"/>
                      <w:iCs w:val="0"/>
                      <w:color w:val="000000"/>
                      <w:kern w:val="0"/>
                      <w:sz w:val="21"/>
                      <w:szCs w:val="21"/>
                      <w:u w:val="none"/>
                      <w:lang w:val="en-US" w:eastAsia="zh-CN" w:bidi="ar"/>
                    </w:rPr>
                    <w:t>SDG</w:t>
                  </w:r>
                  <w:r>
                    <w:rPr>
                      <w:rFonts w:hint="eastAsia" w:ascii="Times New Roman" w:hAnsi="Times New Roman" w:eastAsia="宋体" w:cs="Times New Roman"/>
                      <w:i w:val="0"/>
                      <w:iCs w:val="0"/>
                      <w:color w:val="000000"/>
                      <w:kern w:val="0"/>
                      <w:sz w:val="21"/>
                      <w:szCs w:val="21"/>
                      <w:u w:val="none"/>
                      <w:lang w:val="en-US" w:eastAsia="zh-CN" w:bidi="ar"/>
                    </w:rPr>
                    <w:t>+活性炭</w:t>
                  </w:r>
                  <w:r>
                    <w:rPr>
                      <w:rFonts w:hint="eastAsia" w:ascii="宋体" w:hAnsi="宋体" w:eastAsia="宋体" w:cs="宋体"/>
                      <w:i w:val="0"/>
                      <w:iCs w:val="0"/>
                      <w:color w:val="000000"/>
                      <w:kern w:val="0"/>
                      <w:sz w:val="21"/>
                      <w:szCs w:val="21"/>
                      <w:u w:val="none"/>
                      <w:lang w:val="en-US" w:eastAsia="zh-CN" w:bidi="ar"/>
                    </w:rPr>
                    <w:t>吸附设备（</w:t>
                  </w:r>
                  <w:r>
                    <w:rPr>
                      <w:rFonts w:hint="default" w:ascii="Times New Roman" w:hAnsi="Times New Roman" w:eastAsia="宋体" w:cs="Times New Roman"/>
                      <w:i w:val="0"/>
                      <w:iCs w:val="0"/>
                      <w:color w:val="000000"/>
                      <w:kern w:val="0"/>
                      <w:sz w:val="21"/>
                      <w:szCs w:val="21"/>
                      <w:u w:val="none"/>
                      <w:lang w:val="en-US" w:eastAsia="zh-CN" w:bidi="ar"/>
                    </w:rPr>
                    <w:t>TA006</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+28m</w:t>
                  </w:r>
                  <w:r>
                    <w:rPr>
                      <w:rFonts w:hint="eastAsia" w:ascii="宋体" w:hAnsi="宋体" w:eastAsia="宋体" w:cs="宋体"/>
                      <w:i w:val="0"/>
                      <w:iCs w:val="0"/>
                      <w:color w:val="000000"/>
                      <w:kern w:val="0"/>
                      <w:sz w:val="21"/>
                      <w:szCs w:val="21"/>
                      <w:u w:val="none"/>
                      <w:lang w:val="en-US" w:eastAsia="zh-CN" w:bidi="ar"/>
                    </w:rPr>
                    <w:t>高排气筒</w:t>
                  </w:r>
                </w:p>
              </w:tc>
              <w:tc>
                <w:tcPr>
                  <w:tcW w:w="8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3B4E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D0B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37.11</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337C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36000</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5B0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0.033</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4CCFF">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0.034</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A99F2">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0.94</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2CE3F085">
                  <w:pPr>
                    <w:jc w:val="center"/>
                    <w:rPr>
                      <w:rFonts w:hint="eastAsia" w:ascii="宋体" w:hAnsi="宋体" w:eastAsia="宋体" w:cs="宋体"/>
                      <w:i w:val="0"/>
                      <w:iCs w:val="0"/>
                      <w:color w:val="000000"/>
                      <w:sz w:val="21"/>
                      <w:szCs w:val="21"/>
                      <w:u w:val="none"/>
                    </w:rPr>
                  </w:pPr>
                </w:p>
              </w:tc>
            </w:tr>
            <w:tr w14:paraId="2EDC5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371"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589D4D50">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5F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氯化氢</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9AF8">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CA77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0.0022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26CE6">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0.0090</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B2D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0.25</w:t>
                  </w:r>
                </w:p>
              </w:tc>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A8818">
                  <w:pPr>
                    <w:jc w:val="center"/>
                    <w:rPr>
                      <w:rFonts w:hint="eastAsia" w:ascii="宋体" w:hAnsi="宋体" w:eastAsia="宋体" w:cs="宋体"/>
                      <w:i w:val="0"/>
                      <w:iCs w:val="0"/>
                      <w:color w:val="000000"/>
                      <w:sz w:val="21"/>
                      <w:szCs w:val="21"/>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885CE">
                  <w:pPr>
                    <w:jc w:val="center"/>
                    <w:rPr>
                      <w:rFonts w:hint="default" w:ascii="Times New Roman" w:hAnsi="Times New Roman" w:eastAsia="宋体" w:cs="Times New Roman"/>
                      <w:i w:val="0"/>
                      <w:iCs w:val="0"/>
                      <w:color w:val="000000"/>
                      <w:sz w:val="21"/>
                      <w:szCs w:val="21"/>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AA8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81D45">
                  <w:pPr>
                    <w:jc w:val="center"/>
                    <w:rPr>
                      <w:rFonts w:hint="default" w:ascii="Times New Roman" w:hAnsi="Times New Roman" w:eastAsia="宋体" w:cs="Times New Roman"/>
                      <w:i w:val="0"/>
                      <w:iCs w:val="0"/>
                      <w:color w:val="000000"/>
                      <w:sz w:val="21"/>
                      <w:szCs w:val="21"/>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E58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0.00044</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A481">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0.0018</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5942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0.050</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401BD21F">
                  <w:pPr>
                    <w:jc w:val="center"/>
                    <w:rPr>
                      <w:rFonts w:hint="eastAsia" w:ascii="宋体" w:hAnsi="宋体" w:eastAsia="宋体" w:cs="宋体"/>
                      <w:i w:val="0"/>
                      <w:iCs w:val="0"/>
                      <w:color w:val="000000"/>
                      <w:sz w:val="21"/>
                      <w:szCs w:val="21"/>
                      <w:u w:val="none"/>
                    </w:rPr>
                  </w:pPr>
                </w:p>
              </w:tc>
            </w:tr>
            <w:tr w14:paraId="33AC2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205"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514D8B03">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C0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氮氧化物</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43D">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204C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0.0022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5EAA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0.0090</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E045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0.25</w:t>
                  </w:r>
                </w:p>
              </w:tc>
              <w:tc>
                <w:tcPr>
                  <w:tcW w:w="1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ED88D0">
                  <w:pPr>
                    <w:jc w:val="center"/>
                    <w:rPr>
                      <w:rFonts w:hint="eastAsia" w:ascii="宋体" w:hAnsi="宋体" w:eastAsia="宋体" w:cs="宋体"/>
                      <w:i w:val="0"/>
                      <w:iCs w:val="0"/>
                      <w:color w:val="000000"/>
                      <w:sz w:val="21"/>
                      <w:szCs w:val="21"/>
                      <w:u w:val="none"/>
                    </w:rPr>
                  </w:pPr>
                </w:p>
              </w:tc>
              <w:tc>
                <w:tcPr>
                  <w:tcW w:w="8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3DD27">
                  <w:pPr>
                    <w:jc w:val="center"/>
                    <w:rPr>
                      <w:rFonts w:hint="default" w:ascii="Times New Roman" w:hAnsi="Times New Roman" w:eastAsia="宋体" w:cs="Times New Roman"/>
                      <w:i w:val="0"/>
                      <w:iCs w:val="0"/>
                      <w:color w:val="000000"/>
                      <w:sz w:val="21"/>
                      <w:szCs w:val="21"/>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AC6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F5E30">
                  <w:pPr>
                    <w:jc w:val="center"/>
                    <w:rPr>
                      <w:rFonts w:hint="default" w:ascii="Times New Roman" w:hAnsi="Times New Roman" w:eastAsia="宋体" w:cs="Times New Roman"/>
                      <w:i w:val="0"/>
                      <w:iCs w:val="0"/>
                      <w:color w:val="000000"/>
                      <w:sz w:val="21"/>
                      <w:szCs w:val="21"/>
                      <w:u w:val="none"/>
                    </w:rPr>
                  </w:pP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EBC6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0.00044</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D5E38">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0.0018</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B912">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0.050</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2B15940F">
                  <w:pPr>
                    <w:jc w:val="center"/>
                    <w:rPr>
                      <w:rFonts w:hint="eastAsia" w:ascii="宋体" w:hAnsi="宋体" w:eastAsia="宋体" w:cs="宋体"/>
                      <w:i w:val="0"/>
                      <w:iCs w:val="0"/>
                      <w:color w:val="000000"/>
                      <w:sz w:val="21"/>
                      <w:szCs w:val="21"/>
                      <w:u w:val="none"/>
                    </w:rPr>
                  </w:pPr>
                </w:p>
              </w:tc>
            </w:tr>
            <w:tr w14:paraId="1A60A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215" w:hRule="atLeast"/>
              </w:trPr>
              <w:tc>
                <w:tcPr>
                  <w:tcW w:w="857" w:type="dxa"/>
                  <w:gridSpan w:val="2"/>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4A4CB6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探试实验室</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258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非甲烷总烃</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E0F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w:t>
                  </w:r>
                </w:p>
                <w:p w14:paraId="6D5405B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组</w:t>
                  </w:r>
                </w:p>
                <w:p w14:paraId="20133D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织</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25DEB">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0.055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AFAC9">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0.056</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879E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restart"/>
                  <w:tcBorders>
                    <w:top w:val="single" w:color="000000" w:sz="4" w:space="0"/>
                    <w:left w:val="single" w:color="000000" w:sz="4" w:space="0"/>
                    <w:bottom w:val="single" w:color="000000" w:sz="12" w:space="0"/>
                    <w:right w:val="single" w:color="000000" w:sz="4" w:space="0"/>
                  </w:tcBorders>
                  <w:shd w:val="clear" w:color="auto" w:fill="auto"/>
                  <w:noWrap/>
                  <w:vAlign w:val="center"/>
                </w:tcPr>
                <w:p w14:paraId="5EF69E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通风换气</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2B7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30E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92E2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A632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eastAsia="宋体"/>
                      <w:color w:val="000000"/>
                      <w:sz w:val="21"/>
                      <w:szCs w:val="24"/>
                      <w:lang w:val="en-US" w:eastAsia="zh-CN"/>
                    </w:rPr>
                    <w:t>0.055</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2117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eastAsia="宋体"/>
                      <w:color w:val="000000"/>
                      <w:sz w:val="21"/>
                      <w:szCs w:val="24"/>
                      <w:lang w:val="en-US" w:eastAsia="zh-CN"/>
                    </w:rPr>
                    <w:t>0.056</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C2E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61AFABAC">
                  <w:pPr>
                    <w:jc w:val="center"/>
                    <w:rPr>
                      <w:rFonts w:hint="eastAsia" w:ascii="宋体" w:hAnsi="宋体" w:eastAsia="宋体" w:cs="宋体"/>
                      <w:i w:val="0"/>
                      <w:iCs w:val="0"/>
                      <w:color w:val="000000"/>
                      <w:sz w:val="21"/>
                      <w:szCs w:val="21"/>
                      <w:u w:val="none"/>
                    </w:rPr>
                  </w:pPr>
                </w:p>
              </w:tc>
            </w:tr>
            <w:tr w14:paraId="6FB65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 w:type="dxa"/>
                <w:trHeight w:val="240"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7A2691B0">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30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HCl</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DE68">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0E71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6F87B">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D9168">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365BA85A">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262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86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5FD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7472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526A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657F8">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51" w:type="dxa"/>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6552A450">
                  <w:pPr>
                    <w:jc w:val="center"/>
                    <w:rPr>
                      <w:rFonts w:hint="eastAsia" w:ascii="宋体" w:hAnsi="宋体" w:eastAsia="宋体" w:cs="宋体"/>
                      <w:i w:val="0"/>
                      <w:iCs w:val="0"/>
                      <w:color w:val="000000"/>
                      <w:sz w:val="21"/>
                      <w:szCs w:val="21"/>
                      <w:u w:val="none"/>
                    </w:rPr>
                  </w:pPr>
                </w:p>
              </w:tc>
            </w:tr>
            <w:tr w14:paraId="6952D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 w:hRule="atLeast"/>
              </w:trPr>
              <w:tc>
                <w:tcPr>
                  <w:tcW w:w="857" w:type="dxa"/>
                  <w:gridSpan w:val="2"/>
                  <w:tcBorders>
                    <w:top w:val="single" w:color="000000" w:sz="4" w:space="0"/>
                    <w:left w:val="single" w:color="000000" w:sz="12" w:space="0"/>
                    <w:right w:val="single" w:color="000000" w:sz="4" w:space="0"/>
                  </w:tcBorders>
                  <w:shd w:val="clear" w:color="auto" w:fill="auto"/>
                  <w:vAlign w:val="center"/>
                </w:tcPr>
                <w:p w14:paraId="387E4056">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F03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w:t>
                  </w:r>
                  <w:r>
                    <w:rPr>
                      <w:rFonts w:hint="default" w:ascii="Times New Roman" w:hAnsi="Times New Roman" w:eastAsia="宋体" w:cs="Times New Roman"/>
                      <w:i w:val="0"/>
                      <w:iCs w:val="0"/>
                      <w:color w:val="000000"/>
                      <w:kern w:val="0"/>
                      <w:sz w:val="21"/>
                      <w:szCs w:val="21"/>
                      <w:u w:val="none"/>
                      <w:vertAlign w:val="subscript"/>
                      <w:lang w:val="en-US" w:eastAsia="zh-CN" w:bidi="ar"/>
                    </w:rPr>
                    <w:t>X</w:t>
                  </w:r>
                </w:p>
              </w:tc>
              <w:tc>
                <w:tcPr>
                  <w:tcW w:w="673" w:type="dxa"/>
                  <w:tcBorders>
                    <w:top w:val="single" w:color="000000" w:sz="4" w:space="0"/>
                    <w:left w:val="single" w:color="000000" w:sz="4" w:space="0"/>
                    <w:right w:val="single" w:color="000000" w:sz="4" w:space="0"/>
                  </w:tcBorders>
                  <w:shd w:val="clear" w:color="auto" w:fill="auto"/>
                  <w:noWrap/>
                  <w:vAlign w:val="center"/>
                </w:tcPr>
                <w:p w14:paraId="1A79D299">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6D7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53B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FD0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restart"/>
                  <w:tcBorders>
                    <w:top w:val="single" w:color="000000" w:sz="4" w:space="0"/>
                    <w:left w:val="single" w:color="000000" w:sz="4" w:space="0"/>
                    <w:right w:val="single" w:color="000000" w:sz="4" w:space="0"/>
                  </w:tcBorders>
                  <w:shd w:val="clear" w:color="auto" w:fill="auto"/>
                  <w:noWrap/>
                  <w:vAlign w:val="center"/>
                </w:tcPr>
                <w:p w14:paraId="49EBDFCC">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1CB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0180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347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B32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F9B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7E0C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restart"/>
                  <w:tcBorders>
                    <w:top w:val="single" w:color="000000" w:sz="4" w:space="0"/>
                    <w:left w:val="single" w:color="000000" w:sz="4" w:space="0"/>
                    <w:right w:val="single" w:color="000000" w:sz="12" w:space="0"/>
                  </w:tcBorders>
                  <w:shd w:val="clear" w:color="auto" w:fill="auto"/>
                  <w:vAlign w:val="center"/>
                </w:tcPr>
                <w:p w14:paraId="5C1BCB8C">
                  <w:pPr>
                    <w:jc w:val="center"/>
                    <w:rPr>
                      <w:rFonts w:hint="eastAsia" w:ascii="宋体" w:hAnsi="宋体" w:eastAsia="宋体" w:cs="宋体"/>
                      <w:i w:val="0"/>
                      <w:iCs w:val="0"/>
                      <w:color w:val="000000"/>
                      <w:sz w:val="21"/>
                      <w:szCs w:val="21"/>
                      <w:u w:val="none"/>
                    </w:rPr>
                  </w:pPr>
                </w:p>
              </w:tc>
            </w:tr>
            <w:tr w14:paraId="6799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857" w:type="dxa"/>
                  <w:gridSpan w:val="2"/>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29CEBD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小试实验室</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4E3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非甲烷总烃</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3D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w:t>
                  </w:r>
                </w:p>
                <w:p w14:paraId="7A295A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组</w:t>
                  </w:r>
                </w:p>
                <w:p w14:paraId="3FFC91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织</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4C466">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0.04</w:t>
                  </w:r>
                  <w:r>
                    <w:rPr>
                      <w:rFonts w:hint="eastAsia"/>
                      <w:color w:val="000000"/>
                      <w:sz w:val="21"/>
                      <w:szCs w:val="24"/>
                      <w:lang w:val="en-US" w:eastAsia="zh-CN"/>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5D6C3">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0.04</w:t>
                  </w:r>
                  <w:r>
                    <w:rPr>
                      <w:rFonts w:hint="eastAsia"/>
                      <w:color w:val="000000"/>
                      <w:sz w:val="21"/>
                      <w:szCs w:val="24"/>
                      <w:lang w:val="en-US" w:eastAsia="zh-CN"/>
                    </w:rPr>
                    <w:t>7</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3F9F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87DF8B8">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39D1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3A4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B05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15CC8">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rPr>
                  </w:pPr>
                  <w:r>
                    <w:rPr>
                      <w:rFonts w:hint="eastAsia" w:eastAsia="宋体"/>
                      <w:color w:val="000000"/>
                      <w:sz w:val="21"/>
                      <w:szCs w:val="24"/>
                      <w:lang w:val="en-US" w:eastAsia="zh-CN"/>
                    </w:rPr>
                    <w:t>0.04</w:t>
                  </w:r>
                  <w:r>
                    <w:rPr>
                      <w:rFonts w:hint="eastAsia"/>
                      <w:color w:val="000000"/>
                      <w:sz w:val="21"/>
                      <w:szCs w:val="24"/>
                      <w:lang w:val="en-US" w:eastAsia="zh-CN"/>
                    </w:rPr>
                    <w:t>6</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A49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eastAsia="宋体"/>
                      <w:color w:val="000000"/>
                      <w:sz w:val="21"/>
                      <w:szCs w:val="24"/>
                      <w:lang w:val="en-US" w:eastAsia="zh-CN"/>
                    </w:rPr>
                    <w:t>0.04</w:t>
                  </w:r>
                  <w:r>
                    <w:rPr>
                      <w:rFonts w:hint="eastAsia"/>
                      <w:color w:val="000000"/>
                      <w:sz w:val="21"/>
                      <w:szCs w:val="24"/>
                      <w:lang w:val="en-US" w:eastAsia="zh-CN"/>
                    </w:rPr>
                    <w:t>7</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8F13C">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137FBFC1">
                  <w:pPr>
                    <w:jc w:val="center"/>
                    <w:rPr>
                      <w:rFonts w:hint="eastAsia" w:ascii="宋体" w:hAnsi="宋体" w:eastAsia="宋体" w:cs="宋体"/>
                      <w:i w:val="0"/>
                      <w:iCs w:val="0"/>
                      <w:color w:val="000000"/>
                      <w:sz w:val="21"/>
                      <w:szCs w:val="21"/>
                      <w:u w:val="none"/>
                    </w:rPr>
                  </w:pPr>
                </w:p>
              </w:tc>
            </w:tr>
            <w:tr w14:paraId="2E501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5A95EE1E">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AF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HCl</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C6D99">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D9D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8FFF">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82E7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244D8F79">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95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43B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327C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6756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B4BF">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213D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5782914E">
                  <w:pPr>
                    <w:jc w:val="center"/>
                    <w:rPr>
                      <w:rFonts w:hint="eastAsia" w:ascii="宋体" w:hAnsi="宋体" w:eastAsia="宋体" w:cs="宋体"/>
                      <w:i w:val="0"/>
                      <w:iCs w:val="0"/>
                      <w:color w:val="000000"/>
                      <w:sz w:val="21"/>
                      <w:szCs w:val="21"/>
                      <w:u w:val="none"/>
                    </w:rPr>
                  </w:pPr>
                </w:p>
              </w:tc>
            </w:tr>
            <w:tr w14:paraId="78CE3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375F5611">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D6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w:t>
                  </w:r>
                  <w:r>
                    <w:rPr>
                      <w:rFonts w:hint="default" w:ascii="Times New Roman" w:hAnsi="Times New Roman" w:eastAsia="宋体" w:cs="Times New Roman"/>
                      <w:i w:val="0"/>
                      <w:iCs w:val="0"/>
                      <w:color w:val="000000"/>
                      <w:kern w:val="0"/>
                      <w:sz w:val="21"/>
                      <w:szCs w:val="21"/>
                      <w:u w:val="none"/>
                      <w:vertAlign w:val="subscript"/>
                      <w:lang w:val="en-US" w:eastAsia="zh-CN" w:bidi="ar"/>
                    </w:rPr>
                    <w:t>X</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DB824">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1C58">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C093">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0444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3EED5C17">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D3D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55C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50B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338FC">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0.0011</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8F25E">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0.0045</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D2838">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7AF97BDB">
                  <w:pPr>
                    <w:jc w:val="center"/>
                    <w:rPr>
                      <w:rFonts w:hint="eastAsia" w:ascii="宋体" w:hAnsi="宋体" w:eastAsia="宋体" w:cs="宋体"/>
                      <w:i w:val="0"/>
                      <w:iCs w:val="0"/>
                      <w:color w:val="000000"/>
                      <w:sz w:val="21"/>
                      <w:szCs w:val="21"/>
                      <w:u w:val="none"/>
                    </w:rPr>
                  </w:pPr>
                </w:p>
              </w:tc>
            </w:tr>
            <w:tr w14:paraId="40677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9" w:hRule="atLeast"/>
              </w:trPr>
              <w:tc>
                <w:tcPr>
                  <w:tcW w:w="857" w:type="dxa"/>
                  <w:gridSpan w:val="2"/>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1A8F6A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分析实验室</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072F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非甲烷总烃</w:t>
                  </w:r>
                </w:p>
              </w:tc>
              <w:tc>
                <w:tcPr>
                  <w:tcW w:w="673" w:type="dxa"/>
                  <w:vMerge w:val="restart"/>
                  <w:tcBorders>
                    <w:top w:val="single" w:color="000000" w:sz="4" w:space="0"/>
                    <w:left w:val="single" w:color="000000" w:sz="4" w:space="0"/>
                    <w:bottom w:val="single" w:color="000000" w:sz="12" w:space="0"/>
                    <w:right w:val="single" w:color="000000" w:sz="4" w:space="0"/>
                  </w:tcBorders>
                  <w:shd w:val="clear" w:color="auto" w:fill="auto"/>
                  <w:noWrap/>
                  <w:vAlign w:val="center"/>
                </w:tcPr>
                <w:p w14:paraId="5905D59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无</w:t>
                  </w:r>
                </w:p>
                <w:p w14:paraId="2F60DA9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组</w:t>
                  </w:r>
                </w:p>
                <w:p w14:paraId="1D04EE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织</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D016">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0.013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67279">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0.014</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AB483">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6642503E">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A667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BD6E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762B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058B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0.013</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DA20F">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lang w:val="en-US" w:eastAsia="zh-CN"/>
                    </w:rPr>
                  </w:pPr>
                  <w:r>
                    <w:rPr>
                      <w:rFonts w:hint="eastAsia" w:eastAsia="宋体"/>
                      <w:color w:val="000000"/>
                      <w:sz w:val="21"/>
                      <w:szCs w:val="24"/>
                      <w:lang w:val="en-US" w:eastAsia="zh-CN"/>
                    </w:rPr>
                    <w:t>0.014</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AD662">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2F67B9E2">
                  <w:pPr>
                    <w:jc w:val="center"/>
                    <w:rPr>
                      <w:rFonts w:hint="eastAsia" w:ascii="宋体" w:hAnsi="宋体" w:eastAsia="宋体" w:cs="宋体"/>
                      <w:i w:val="0"/>
                      <w:iCs w:val="0"/>
                      <w:color w:val="000000"/>
                      <w:sz w:val="21"/>
                      <w:szCs w:val="21"/>
                      <w:u w:val="none"/>
                    </w:rPr>
                  </w:pPr>
                </w:p>
              </w:tc>
            </w:tr>
            <w:tr w14:paraId="5EE29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4FDA4D87">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AE2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HCl</w:t>
                  </w:r>
                </w:p>
              </w:tc>
              <w:tc>
                <w:tcPr>
                  <w:tcW w:w="673"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4B0BD0EE">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CADD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0.00056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6520F">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0.0023</w:t>
                  </w:r>
                </w:p>
              </w:tc>
              <w:tc>
                <w:tcPr>
                  <w:tcW w:w="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D24B2">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1E28E8DA">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9E4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C25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8CDF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35A8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0.00056</w:t>
                  </w:r>
                </w:p>
              </w:tc>
              <w:tc>
                <w:tcPr>
                  <w:tcW w:w="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D7FC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0.0023</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2A63A">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08D1F9B4">
                  <w:pPr>
                    <w:jc w:val="center"/>
                    <w:rPr>
                      <w:rFonts w:hint="eastAsia" w:ascii="宋体" w:hAnsi="宋体" w:eastAsia="宋体" w:cs="宋体"/>
                      <w:i w:val="0"/>
                      <w:iCs w:val="0"/>
                      <w:color w:val="000000"/>
                      <w:sz w:val="21"/>
                      <w:szCs w:val="21"/>
                      <w:u w:val="none"/>
                    </w:rPr>
                  </w:pPr>
                </w:p>
              </w:tc>
            </w:tr>
            <w:tr w14:paraId="42AA1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857" w:type="dxa"/>
                  <w:gridSpan w:val="2"/>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64E61D64">
                  <w:pPr>
                    <w:jc w:val="center"/>
                    <w:rPr>
                      <w:rFonts w:hint="eastAsia" w:ascii="宋体" w:hAnsi="宋体" w:eastAsia="宋体" w:cs="宋体"/>
                      <w:i w:val="0"/>
                      <w:iCs w:val="0"/>
                      <w:color w:val="000000"/>
                      <w:sz w:val="21"/>
                      <w:szCs w:val="21"/>
                      <w:u w:val="none"/>
                    </w:rPr>
                  </w:pPr>
                </w:p>
              </w:tc>
              <w:tc>
                <w:tcPr>
                  <w:tcW w:w="782"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248E28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w:t>
                  </w:r>
                  <w:r>
                    <w:rPr>
                      <w:rFonts w:hint="default" w:ascii="Times New Roman" w:hAnsi="Times New Roman" w:eastAsia="宋体" w:cs="Times New Roman"/>
                      <w:i w:val="0"/>
                      <w:iCs w:val="0"/>
                      <w:color w:val="000000"/>
                      <w:kern w:val="0"/>
                      <w:sz w:val="21"/>
                      <w:szCs w:val="21"/>
                      <w:u w:val="none"/>
                      <w:vertAlign w:val="subscript"/>
                      <w:lang w:val="en-US" w:eastAsia="zh-CN" w:bidi="ar"/>
                    </w:rPr>
                    <w:t>X</w:t>
                  </w:r>
                </w:p>
              </w:tc>
              <w:tc>
                <w:tcPr>
                  <w:tcW w:w="673"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6345F6D6">
                  <w:pPr>
                    <w:jc w:val="center"/>
                    <w:rPr>
                      <w:rFonts w:hint="eastAsia" w:ascii="宋体" w:hAnsi="宋体" w:eastAsia="宋体" w:cs="宋体"/>
                      <w:i w:val="0"/>
                      <w:iCs w:val="0"/>
                      <w:color w:val="000000"/>
                      <w:sz w:val="21"/>
                      <w:szCs w:val="21"/>
                      <w:u w:val="none"/>
                    </w:rPr>
                  </w:pPr>
                </w:p>
              </w:tc>
              <w:tc>
                <w:tcPr>
                  <w:tcW w:w="100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7D11BA15">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0.00056</w:t>
                  </w:r>
                </w:p>
              </w:tc>
              <w:tc>
                <w:tcPr>
                  <w:tcW w:w="950"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42BC716C">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0.0023</w:t>
                  </w:r>
                </w:p>
              </w:tc>
              <w:tc>
                <w:tcPr>
                  <w:tcW w:w="895"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46BECBB0">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1456" w:type="dxa"/>
                  <w:vMerge w:val="continue"/>
                  <w:tcBorders>
                    <w:top w:val="single" w:color="000000" w:sz="4" w:space="0"/>
                    <w:left w:val="single" w:color="000000" w:sz="4" w:space="0"/>
                    <w:bottom w:val="single" w:color="000000" w:sz="12" w:space="0"/>
                    <w:right w:val="single" w:color="000000" w:sz="4" w:space="0"/>
                  </w:tcBorders>
                  <w:shd w:val="clear" w:color="auto" w:fill="auto"/>
                  <w:noWrap/>
                  <w:vAlign w:val="center"/>
                </w:tcPr>
                <w:p w14:paraId="6FB4645A">
                  <w:pPr>
                    <w:jc w:val="center"/>
                    <w:rPr>
                      <w:rFonts w:hint="eastAsia" w:ascii="宋体" w:hAnsi="宋体" w:eastAsia="宋体" w:cs="宋体"/>
                      <w:i w:val="0"/>
                      <w:iCs w:val="0"/>
                      <w:color w:val="000000"/>
                      <w:sz w:val="21"/>
                      <w:szCs w:val="21"/>
                      <w:u w:val="none"/>
                    </w:rPr>
                  </w:pPr>
                </w:p>
              </w:tc>
              <w:tc>
                <w:tcPr>
                  <w:tcW w:w="809"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6BB2B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39"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7B0C62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827"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608FF55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95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CCA66F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0.00056</w:t>
                  </w:r>
                </w:p>
              </w:tc>
              <w:tc>
                <w:tcPr>
                  <w:tcW w:w="925"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41B6A4FD">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0.0023</w:t>
                  </w:r>
                </w:p>
              </w:tc>
              <w:tc>
                <w:tcPr>
                  <w:tcW w:w="81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53EC9704">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000000"/>
                      <w:sz w:val="21"/>
                      <w:szCs w:val="21"/>
                      <w:u w:val="none"/>
                    </w:rPr>
                  </w:pPr>
                  <w:r>
                    <w:rPr>
                      <w:rFonts w:hint="eastAsia" w:ascii="Times New Roman" w:hAnsi="Times New Roman" w:eastAsia="Times New Roman"/>
                      <w:color w:val="000000"/>
                      <w:sz w:val="21"/>
                      <w:szCs w:val="24"/>
                    </w:rPr>
                    <w:t>/</w:t>
                  </w:r>
                </w:p>
              </w:tc>
              <w:tc>
                <w:tcPr>
                  <w:tcW w:w="862" w:type="dxa"/>
                  <w:gridSpan w:val="2"/>
                  <w:vMerge w:val="continue"/>
                  <w:tcBorders>
                    <w:top w:val="single" w:color="000000" w:sz="4" w:space="0"/>
                    <w:left w:val="single" w:color="000000" w:sz="4" w:space="0"/>
                    <w:bottom w:val="single" w:color="000000" w:sz="4" w:space="0"/>
                    <w:right w:val="single" w:color="000000" w:sz="12" w:space="0"/>
                  </w:tcBorders>
                  <w:shd w:val="clear" w:color="auto" w:fill="auto"/>
                  <w:vAlign w:val="center"/>
                </w:tcPr>
                <w:p w14:paraId="7E63161F">
                  <w:pPr>
                    <w:jc w:val="center"/>
                    <w:rPr>
                      <w:rFonts w:hint="eastAsia" w:ascii="宋体" w:hAnsi="宋体" w:eastAsia="宋体" w:cs="宋体"/>
                      <w:i w:val="0"/>
                      <w:iCs w:val="0"/>
                      <w:color w:val="000000"/>
                      <w:sz w:val="21"/>
                      <w:szCs w:val="21"/>
                      <w:u w:val="none"/>
                    </w:rPr>
                  </w:pPr>
                </w:p>
              </w:tc>
            </w:tr>
          </w:tbl>
          <w:p w14:paraId="2EA22927">
            <w:pPr>
              <w:rPr>
                <w:vertAlign w:val="baseline"/>
              </w:rPr>
            </w:pPr>
          </w:p>
        </w:tc>
      </w:tr>
    </w:tbl>
    <w:p w14:paraId="2DE86846">
      <w:pPr>
        <w:sectPr>
          <w:pgSz w:w="16840" w:h="11907" w:orient="landscape"/>
          <w:pgMar w:top="1440" w:right="1417" w:bottom="1440" w:left="1417"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1"/>
        <w:tblW w:w="0" w:type="auto"/>
        <w:tblInd w:w="0"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887"/>
        <w:gridCol w:w="8356"/>
      </w:tblGrid>
      <w:tr w14:paraId="5C9C9491">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c>
          <w:tcPr>
            <w:tcW w:w="887" w:type="dxa"/>
            <w:tcBorders>
              <w:tl2br w:val="nil"/>
              <w:tr2bl w:val="nil"/>
            </w:tcBorders>
            <w:vAlign w:val="center"/>
          </w:tcPr>
          <w:p w14:paraId="747E3668">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运营</w:t>
            </w:r>
          </w:p>
          <w:p w14:paraId="3512EFA2">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期环</w:t>
            </w:r>
          </w:p>
          <w:p w14:paraId="6FA3880C">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境影</w:t>
            </w:r>
          </w:p>
          <w:p w14:paraId="314A03BD">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响和</w:t>
            </w:r>
          </w:p>
          <w:p w14:paraId="526555BB">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保护</w:t>
            </w:r>
          </w:p>
          <w:p w14:paraId="01A8C36A">
            <w:pPr>
              <w:jc w:val="center"/>
              <w:rPr>
                <w:vertAlign w:val="baseline"/>
              </w:rPr>
            </w:pPr>
            <w:r>
              <w:rPr>
                <w:rFonts w:hint="default" w:ascii="Times New Roman" w:hAnsi="Times New Roman" w:eastAsia="宋体" w:cs="Times New Roman"/>
                <w:b/>
                <w:bCs w:val="0"/>
                <w:color w:val="auto"/>
                <w:sz w:val="24"/>
                <w:szCs w:val="24"/>
                <w:highlight w:val="none"/>
              </w:rPr>
              <w:t>措施</w:t>
            </w:r>
          </w:p>
        </w:tc>
        <w:tc>
          <w:tcPr>
            <w:tcW w:w="8356" w:type="dxa"/>
            <w:tcBorders>
              <w:tl2br w:val="nil"/>
              <w:tr2bl w:val="nil"/>
            </w:tcBorders>
            <w:vAlign w:val="top"/>
          </w:tcPr>
          <w:p w14:paraId="6FE1A399">
            <w:pPr>
              <w:pStyle w:val="106"/>
              <w:autoSpaceDE w:val="0"/>
              <w:autoSpaceDN w:val="0"/>
              <w:spacing w:line="360" w:lineRule="auto"/>
              <w:ind w:firstLine="480"/>
              <w:jc w:val="both"/>
              <w:rPr>
                <w:rFonts w:ascii="Times New Roman"/>
                <w:b/>
                <w:bCs w:val="0"/>
                <w:color w:val="auto"/>
                <w:highlight w:val="none"/>
              </w:rPr>
            </w:pPr>
            <w:r>
              <w:rPr>
                <w:rFonts w:hint="eastAsia" w:ascii="Times New Roman" w:eastAsia="宋体"/>
                <w:b/>
                <w:bCs w:val="0"/>
                <w:color w:val="auto"/>
                <w:kern w:val="0"/>
                <w:sz w:val="24"/>
                <w:highlight w:val="none"/>
                <w:lang w:val="en-US" w:eastAsia="zh-CN" w:bidi="ar"/>
              </w:rPr>
              <w:t>1.3</w:t>
            </w:r>
            <w:r>
              <w:rPr>
                <w:rFonts w:ascii="Times New Roman" w:eastAsia="宋体"/>
                <w:b/>
                <w:bCs w:val="0"/>
                <w:color w:val="auto"/>
                <w:kern w:val="0"/>
                <w:sz w:val="24"/>
                <w:highlight w:val="none"/>
                <w:lang w:bidi="ar"/>
              </w:rPr>
              <w:t>治理设施</w:t>
            </w:r>
          </w:p>
          <w:p w14:paraId="34CECD77">
            <w:pPr>
              <w:autoSpaceDE w:val="0"/>
              <w:autoSpaceDN w:val="0"/>
              <w:adjustRightInd w:val="0"/>
              <w:snapToGrid w:val="0"/>
              <w:spacing w:line="360" w:lineRule="auto"/>
              <w:ind w:firstLine="480" w:firstLineChars="200"/>
              <w:jc w:val="left"/>
              <w:rPr>
                <w:rFonts w:hint="eastAsia"/>
                <w:color w:val="auto"/>
                <w:sz w:val="24"/>
                <w:highlight w:val="none"/>
                <w:lang w:val="en-GB"/>
              </w:rPr>
            </w:pPr>
            <w:r>
              <w:rPr>
                <w:color w:val="auto"/>
                <w:sz w:val="24"/>
                <w:highlight w:val="none"/>
              </w:rPr>
              <w:t>本项目治理设施参数详见表4-</w:t>
            </w:r>
            <w:r>
              <w:rPr>
                <w:rFonts w:hint="eastAsia"/>
                <w:color w:val="auto"/>
                <w:sz w:val="24"/>
                <w:highlight w:val="none"/>
                <w:lang w:val="en-US" w:eastAsia="zh-CN"/>
              </w:rPr>
              <w:t>4</w:t>
            </w:r>
            <w:r>
              <w:rPr>
                <w:rFonts w:hint="eastAsia"/>
                <w:color w:val="auto"/>
                <w:sz w:val="24"/>
                <w:highlight w:val="none"/>
              </w:rPr>
              <w:t>。</w:t>
            </w:r>
          </w:p>
          <w:p w14:paraId="621F9E15">
            <w:pPr>
              <w:autoSpaceDE w:val="0"/>
              <w:autoSpaceDN w:val="0"/>
              <w:adjustRightInd w:val="0"/>
              <w:snapToGrid w:val="0"/>
              <w:jc w:val="center"/>
              <w:rPr>
                <w:b/>
                <w:color w:val="auto"/>
                <w:kern w:val="0"/>
                <w:szCs w:val="21"/>
                <w:highlight w:val="none"/>
              </w:rPr>
            </w:pPr>
            <w:r>
              <w:rPr>
                <w:rFonts w:hint="eastAsia"/>
                <w:b/>
                <w:color w:val="auto"/>
                <w:kern w:val="0"/>
                <w:szCs w:val="21"/>
                <w:highlight w:val="none"/>
              </w:rPr>
              <w:t>表</w:t>
            </w:r>
            <w:r>
              <w:rPr>
                <w:b/>
                <w:color w:val="auto"/>
                <w:kern w:val="0"/>
                <w:szCs w:val="21"/>
                <w:highlight w:val="none"/>
              </w:rPr>
              <w:t>4-</w:t>
            </w:r>
            <w:r>
              <w:rPr>
                <w:rFonts w:hint="eastAsia"/>
                <w:b/>
                <w:color w:val="auto"/>
                <w:kern w:val="0"/>
                <w:szCs w:val="21"/>
                <w:highlight w:val="none"/>
                <w:lang w:val="en-US" w:eastAsia="zh-CN"/>
              </w:rPr>
              <w:t>4</w:t>
            </w:r>
            <w:r>
              <w:rPr>
                <w:rFonts w:hint="eastAsia"/>
                <w:b/>
                <w:color w:val="auto"/>
                <w:kern w:val="0"/>
                <w:szCs w:val="21"/>
                <w:highlight w:val="none"/>
              </w:rPr>
              <w:t xml:space="preserve"> 治理设施参数一览表 </w:t>
            </w:r>
          </w:p>
          <w:tbl>
            <w:tblPr>
              <w:tblStyle w:val="30"/>
              <w:tblW w:w="4991"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150"/>
              <w:gridCol w:w="1200"/>
              <w:gridCol w:w="687"/>
              <w:gridCol w:w="1025"/>
              <w:gridCol w:w="1875"/>
              <w:gridCol w:w="1311"/>
            </w:tblGrid>
            <w:tr w14:paraId="0F8D9C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524" w:type="pct"/>
                  <w:vMerge w:val="restart"/>
                  <w:tcBorders>
                    <w:tl2br w:val="nil"/>
                    <w:tr2bl w:val="nil"/>
                  </w:tcBorders>
                  <w:noWrap w:val="0"/>
                  <w:vAlign w:val="center"/>
                </w:tcPr>
                <w:p w14:paraId="747EBA26">
                  <w:pPr>
                    <w:widowControl/>
                    <w:jc w:val="center"/>
                    <w:rPr>
                      <w:color w:val="auto"/>
                      <w:szCs w:val="21"/>
                      <w:highlight w:val="none"/>
                    </w:rPr>
                  </w:pPr>
                  <w:r>
                    <w:rPr>
                      <w:b/>
                      <w:bCs/>
                      <w:color w:val="auto"/>
                      <w:kern w:val="0"/>
                      <w:szCs w:val="21"/>
                      <w:highlight w:val="none"/>
                      <w:lang w:bidi="ar"/>
                    </w:rPr>
                    <w:t>产排污环节</w:t>
                  </w:r>
                </w:p>
              </w:tc>
              <w:tc>
                <w:tcPr>
                  <w:tcW w:w="710" w:type="pct"/>
                  <w:vMerge w:val="restart"/>
                  <w:tcBorders>
                    <w:tl2br w:val="nil"/>
                    <w:tr2bl w:val="nil"/>
                  </w:tcBorders>
                  <w:noWrap w:val="0"/>
                  <w:vAlign w:val="center"/>
                </w:tcPr>
                <w:p w14:paraId="68702578">
                  <w:pPr>
                    <w:widowControl/>
                    <w:jc w:val="center"/>
                    <w:rPr>
                      <w:color w:val="auto"/>
                      <w:szCs w:val="21"/>
                      <w:highlight w:val="none"/>
                    </w:rPr>
                  </w:pPr>
                  <w:r>
                    <w:rPr>
                      <w:b/>
                      <w:bCs/>
                      <w:color w:val="auto"/>
                      <w:kern w:val="0"/>
                      <w:szCs w:val="21"/>
                      <w:highlight w:val="none"/>
                      <w:lang w:bidi="ar"/>
                    </w:rPr>
                    <w:t>污染物种类</w:t>
                  </w:r>
                </w:p>
              </w:tc>
              <w:tc>
                <w:tcPr>
                  <w:tcW w:w="741" w:type="pct"/>
                  <w:vMerge w:val="restart"/>
                  <w:tcBorders>
                    <w:tl2br w:val="nil"/>
                    <w:tr2bl w:val="nil"/>
                  </w:tcBorders>
                  <w:noWrap w:val="0"/>
                  <w:vAlign w:val="center"/>
                </w:tcPr>
                <w:p w14:paraId="133825E1">
                  <w:pPr>
                    <w:widowControl/>
                    <w:jc w:val="center"/>
                    <w:rPr>
                      <w:color w:val="auto"/>
                      <w:szCs w:val="21"/>
                      <w:highlight w:val="none"/>
                    </w:rPr>
                  </w:pPr>
                  <w:r>
                    <w:rPr>
                      <w:b/>
                      <w:bCs/>
                      <w:color w:val="auto"/>
                      <w:kern w:val="0"/>
                      <w:szCs w:val="21"/>
                      <w:highlight w:val="none"/>
                      <w:lang w:bidi="ar"/>
                    </w:rPr>
                    <w:t>排放形式</w:t>
                  </w:r>
                </w:p>
              </w:tc>
              <w:tc>
                <w:tcPr>
                  <w:tcW w:w="3024" w:type="pct"/>
                  <w:gridSpan w:val="4"/>
                  <w:tcBorders>
                    <w:tl2br w:val="nil"/>
                    <w:tr2bl w:val="nil"/>
                  </w:tcBorders>
                  <w:noWrap w:val="0"/>
                  <w:vAlign w:val="center"/>
                </w:tcPr>
                <w:p w14:paraId="5B0A2439">
                  <w:pPr>
                    <w:widowControl/>
                    <w:jc w:val="center"/>
                    <w:rPr>
                      <w:color w:val="auto"/>
                      <w:szCs w:val="21"/>
                      <w:highlight w:val="none"/>
                    </w:rPr>
                  </w:pPr>
                  <w:r>
                    <w:rPr>
                      <w:b/>
                      <w:bCs/>
                      <w:color w:val="auto"/>
                      <w:kern w:val="0"/>
                      <w:szCs w:val="21"/>
                      <w:highlight w:val="none"/>
                      <w:lang w:bidi="ar"/>
                    </w:rPr>
                    <w:t>治理设施</w:t>
                  </w:r>
                </w:p>
              </w:tc>
            </w:tr>
            <w:tr w14:paraId="7DB7B0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524" w:type="pct"/>
                  <w:vMerge w:val="continue"/>
                  <w:tcBorders>
                    <w:tl2br w:val="nil"/>
                    <w:tr2bl w:val="nil"/>
                  </w:tcBorders>
                  <w:noWrap w:val="0"/>
                  <w:vAlign w:val="center"/>
                </w:tcPr>
                <w:p w14:paraId="6176F8D0">
                  <w:pPr>
                    <w:pStyle w:val="106"/>
                    <w:spacing w:line="240" w:lineRule="auto"/>
                    <w:ind w:firstLine="0" w:firstLineChars="0"/>
                    <w:jc w:val="center"/>
                    <w:rPr>
                      <w:rFonts w:ascii="Times New Roman" w:eastAsia="宋体"/>
                      <w:color w:val="auto"/>
                      <w:kern w:val="2"/>
                      <w:sz w:val="21"/>
                      <w:szCs w:val="21"/>
                      <w:highlight w:val="none"/>
                    </w:rPr>
                  </w:pPr>
                </w:p>
              </w:tc>
              <w:tc>
                <w:tcPr>
                  <w:tcW w:w="710" w:type="pct"/>
                  <w:vMerge w:val="continue"/>
                  <w:tcBorders>
                    <w:tl2br w:val="nil"/>
                    <w:tr2bl w:val="nil"/>
                  </w:tcBorders>
                  <w:noWrap w:val="0"/>
                  <w:vAlign w:val="center"/>
                </w:tcPr>
                <w:p w14:paraId="02FA7E2B">
                  <w:pPr>
                    <w:pStyle w:val="106"/>
                    <w:spacing w:line="240" w:lineRule="auto"/>
                    <w:ind w:firstLine="0" w:firstLineChars="0"/>
                    <w:jc w:val="center"/>
                    <w:rPr>
                      <w:rFonts w:ascii="Times New Roman" w:eastAsia="宋体"/>
                      <w:color w:val="auto"/>
                      <w:kern w:val="2"/>
                      <w:sz w:val="21"/>
                      <w:szCs w:val="21"/>
                      <w:highlight w:val="none"/>
                    </w:rPr>
                  </w:pPr>
                </w:p>
              </w:tc>
              <w:tc>
                <w:tcPr>
                  <w:tcW w:w="741" w:type="pct"/>
                  <w:vMerge w:val="continue"/>
                  <w:tcBorders>
                    <w:tl2br w:val="nil"/>
                    <w:tr2bl w:val="nil"/>
                  </w:tcBorders>
                  <w:noWrap w:val="0"/>
                  <w:vAlign w:val="center"/>
                </w:tcPr>
                <w:p w14:paraId="40637DA9">
                  <w:pPr>
                    <w:pStyle w:val="106"/>
                    <w:spacing w:line="240" w:lineRule="auto"/>
                    <w:ind w:firstLine="0" w:firstLineChars="0"/>
                    <w:jc w:val="center"/>
                    <w:rPr>
                      <w:rFonts w:ascii="Times New Roman" w:eastAsia="宋体"/>
                      <w:b/>
                      <w:bCs/>
                      <w:color w:val="auto"/>
                      <w:kern w:val="0"/>
                      <w:sz w:val="21"/>
                      <w:szCs w:val="21"/>
                      <w:highlight w:val="none"/>
                      <w:lang w:bidi="ar"/>
                    </w:rPr>
                  </w:pPr>
                </w:p>
              </w:tc>
              <w:tc>
                <w:tcPr>
                  <w:tcW w:w="424" w:type="pct"/>
                  <w:tcBorders>
                    <w:tl2br w:val="nil"/>
                    <w:tr2bl w:val="nil"/>
                  </w:tcBorders>
                  <w:noWrap w:val="0"/>
                  <w:vAlign w:val="center"/>
                </w:tcPr>
                <w:p w14:paraId="6E74C8BB">
                  <w:pPr>
                    <w:widowControl/>
                    <w:jc w:val="center"/>
                    <w:rPr>
                      <w:color w:val="auto"/>
                      <w:szCs w:val="21"/>
                      <w:highlight w:val="none"/>
                    </w:rPr>
                  </w:pPr>
                  <w:r>
                    <w:rPr>
                      <w:b/>
                      <w:bCs/>
                      <w:color w:val="auto"/>
                      <w:kern w:val="0"/>
                      <w:szCs w:val="21"/>
                      <w:highlight w:val="none"/>
                      <w:lang w:bidi="ar"/>
                    </w:rPr>
                    <w:t>收集效率</w:t>
                  </w:r>
                </w:p>
              </w:tc>
              <w:tc>
                <w:tcPr>
                  <w:tcW w:w="632" w:type="pct"/>
                  <w:tcBorders>
                    <w:tl2br w:val="nil"/>
                    <w:tr2bl w:val="nil"/>
                  </w:tcBorders>
                  <w:noWrap w:val="0"/>
                  <w:vAlign w:val="center"/>
                </w:tcPr>
                <w:p w14:paraId="04DA22D3">
                  <w:pPr>
                    <w:widowControl/>
                    <w:jc w:val="center"/>
                    <w:rPr>
                      <w:b/>
                      <w:bCs/>
                      <w:color w:val="auto"/>
                      <w:kern w:val="0"/>
                      <w:szCs w:val="21"/>
                      <w:highlight w:val="none"/>
                      <w:lang w:bidi="ar"/>
                    </w:rPr>
                  </w:pPr>
                  <w:r>
                    <w:rPr>
                      <w:b/>
                      <w:bCs/>
                      <w:color w:val="auto"/>
                      <w:kern w:val="0"/>
                      <w:szCs w:val="21"/>
                      <w:highlight w:val="none"/>
                      <w:lang w:bidi="ar"/>
                    </w:rPr>
                    <w:t>处理</w:t>
                  </w:r>
                </w:p>
                <w:p w14:paraId="2954EBDB">
                  <w:pPr>
                    <w:widowControl/>
                    <w:jc w:val="center"/>
                    <w:rPr>
                      <w:color w:val="auto"/>
                      <w:szCs w:val="21"/>
                      <w:highlight w:val="none"/>
                    </w:rPr>
                  </w:pPr>
                  <w:r>
                    <w:rPr>
                      <w:b/>
                      <w:bCs/>
                      <w:color w:val="auto"/>
                      <w:kern w:val="0"/>
                      <w:szCs w:val="21"/>
                      <w:highlight w:val="none"/>
                      <w:lang w:bidi="ar"/>
                    </w:rPr>
                    <w:t>效率</w:t>
                  </w:r>
                </w:p>
              </w:tc>
              <w:tc>
                <w:tcPr>
                  <w:tcW w:w="1157" w:type="pct"/>
                  <w:tcBorders>
                    <w:tl2br w:val="nil"/>
                    <w:tr2bl w:val="nil"/>
                  </w:tcBorders>
                  <w:noWrap w:val="0"/>
                  <w:vAlign w:val="center"/>
                </w:tcPr>
                <w:p w14:paraId="09570E20">
                  <w:pPr>
                    <w:pStyle w:val="106"/>
                    <w:spacing w:line="240" w:lineRule="auto"/>
                    <w:ind w:firstLine="0" w:firstLineChars="0"/>
                    <w:jc w:val="center"/>
                    <w:rPr>
                      <w:rFonts w:ascii="Times New Roman" w:eastAsia="宋体"/>
                      <w:color w:val="auto"/>
                      <w:kern w:val="2"/>
                      <w:sz w:val="21"/>
                      <w:szCs w:val="21"/>
                      <w:highlight w:val="none"/>
                    </w:rPr>
                  </w:pPr>
                  <w:r>
                    <w:rPr>
                      <w:rFonts w:ascii="Times New Roman" w:eastAsia="宋体"/>
                      <w:b/>
                      <w:bCs/>
                      <w:color w:val="auto"/>
                      <w:kern w:val="0"/>
                      <w:sz w:val="21"/>
                      <w:szCs w:val="21"/>
                      <w:highlight w:val="none"/>
                      <w:lang w:bidi="ar"/>
                    </w:rPr>
                    <w:t>治理工艺</w:t>
                  </w:r>
                </w:p>
              </w:tc>
              <w:tc>
                <w:tcPr>
                  <w:tcW w:w="809" w:type="pct"/>
                  <w:tcBorders>
                    <w:tl2br w:val="nil"/>
                    <w:tr2bl w:val="nil"/>
                  </w:tcBorders>
                  <w:noWrap w:val="0"/>
                  <w:vAlign w:val="center"/>
                </w:tcPr>
                <w:p w14:paraId="6C4DBB9C">
                  <w:pPr>
                    <w:widowControl/>
                    <w:jc w:val="center"/>
                    <w:rPr>
                      <w:color w:val="auto"/>
                      <w:szCs w:val="21"/>
                      <w:highlight w:val="none"/>
                    </w:rPr>
                  </w:pPr>
                  <w:r>
                    <w:rPr>
                      <w:b/>
                      <w:bCs/>
                      <w:color w:val="auto"/>
                      <w:kern w:val="0"/>
                      <w:szCs w:val="21"/>
                      <w:highlight w:val="none"/>
                      <w:lang w:bidi="ar"/>
                    </w:rPr>
                    <w:t>是否为可</w:t>
                  </w:r>
                </w:p>
                <w:p w14:paraId="21EE32D0">
                  <w:pPr>
                    <w:widowControl/>
                    <w:jc w:val="center"/>
                    <w:rPr>
                      <w:color w:val="auto"/>
                      <w:szCs w:val="21"/>
                      <w:highlight w:val="none"/>
                    </w:rPr>
                  </w:pPr>
                  <w:r>
                    <w:rPr>
                      <w:b/>
                      <w:bCs/>
                      <w:color w:val="auto"/>
                      <w:kern w:val="0"/>
                      <w:szCs w:val="21"/>
                      <w:highlight w:val="none"/>
                      <w:lang w:bidi="ar"/>
                    </w:rPr>
                    <w:t>行性技术</w:t>
                  </w:r>
                </w:p>
              </w:tc>
            </w:tr>
            <w:tr w14:paraId="3B1BF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524" w:type="pct"/>
                  <w:vMerge w:val="restart"/>
                  <w:tcBorders>
                    <w:tl2br w:val="nil"/>
                    <w:tr2bl w:val="nil"/>
                  </w:tcBorders>
                  <w:noWrap w:val="0"/>
                  <w:vAlign w:val="center"/>
                </w:tcPr>
                <w:p w14:paraId="0B5562A6">
                  <w:pPr>
                    <w:widowControl/>
                    <w:jc w:val="center"/>
                    <w:rPr>
                      <w:color w:val="auto"/>
                      <w:szCs w:val="21"/>
                      <w:highlight w:val="none"/>
                    </w:rPr>
                  </w:pPr>
                  <w:r>
                    <w:rPr>
                      <w:rFonts w:hint="default"/>
                      <w:color w:val="auto"/>
                      <w:kern w:val="0"/>
                      <w:szCs w:val="21"/>
                      <w:highlight w:val="none"/>
                      <w:lang w:bidi="ar"/>
                    </w:rPr>
                    <w:t>研发、检测</w:t>
                  </w:r>
                </w:p>
              </w:tc>
              <w:tc>
                <w:tcPr>
                  <w:tcW w:w="710" w:type="pct"/>
                  <w:tcBorders>
                    <w:tl2br w:val="nil"/>
                    <w:tr2bl w:val="nil"/>
                  </w:tcBorders>
                  <w:noWrap w:val="0"/>
                  <w:vAlign w:val="center"/>
                </w:tcPr>
                <w:p w14:paraId="5901C1F2">
                  <w:pPr>
                    <w:pStyle w:val="106"/>
                    <w:spacing w:line="240" w:lineRule="auto"/>
                    <w:ind w:firstLine="0" w:firstLineChars="0"/>
                    <w:jc w:val="center"/>
                    <w:rPr>
                      <w:rFonts w:ascii="Times New Roman" w:eastAsia="宋体"/>
                      <w:color w:val="auto"/>
                      <w:kern w:val="2"/>
                      <w:sz w:val="21"/>
                      <w:szCs w:val="21"/>
                      <w:highlight w:val="none"/>
                    </w:rPr>
                  </w:pPr>
                  <w:r>
                    <w:rPr>
                      <w:rFonts w:ascii="Times New Roman" w:eastAsia="宋体"/>
                      <w:color w:val="auto"/>
                      <w:kern w:val="0"/>
                      <w:sz w:val="21"/>
                      <w:szCs w:val="21"/>
                      <w:highlight w:val="none"/>
                      <w:lang w:bidi="ar"/>
                    </w:rPr>
                    <w:t>非甲烷总烃</w:t>
                  </w:r>
                </w:p>
              </w:tc>
              <w:tc>
                <w:tcPr>
                  <w:tcW w:w="741" w:type="pct"/>
                  <w:tcBorders>
                    <w:tl2br w:val="nil"/>
                    <w:tr2bl w:val="nil"/>
                  </w:tcBorders>
                  <w:noWrap w:val="0"/>
                  <w:vAlign w:val="center"/>
                </w:tcPr>
                <w:p w14:paraId="474350CF">
                  <w:pPr>
                    <w:pStyle w:val="106"/>
                    <w:spacing w:line="240" w:lineRule="auto"/>
                    <w:ind w:firstLine="0" w:firstLineChars="0"/>
                    <w:jc w:val="center"/>
                    <w:rPr>
                      <w:rFonts w:ascii="Times New Roman" w:eastAsia="宋体"/>
                      <w:color w:val="auto"/>
                      <w:kern w:val="2"/>
                      <w:sz w:val="21"/>
                      <w:szCs w:val="21"/>
                      <w:highlight w:val="none"/>
                    </w:rPr>
                  </w:pPr>
                  <w:r>
                    <w:rPr>
                      <w:rFonts w:ascii="Times New Roman" w:eastAsia="宋体"/>
                      <w:color w:val="auto"/>
                      <w:kern w:val="0"/>
                      <w:sz w:val="21"/>
                      <w:szCs w:val="21"/>
                      <w:highlight w:val="none"/>
                      <w:lang w:bidi="ar"/>
                    </w:rPr>
                    <w:t>有组织</w:t>
                  </w:r>
                </w:p>
              </w:tc>
              <w:tc>
                <w:tcPr>
                  <w:tcW w:w="424" w:type="pct"/>
                  <w:vMerge w:val="restart"/>
                  <w:tcBorders>
                    <w:tl2br w:val="nil"/>
                    <w:tr2bl w:val="nil"/>
                  </w:tcBorders>
                  <w:noWrap w:val="0"/>
                  <w:vAlign w:val="center"/>
                </w:tcPr>
                <w:p w14:paraId="10E9CCC1">
                  <w:pPr>
                    <w:pStyle w:val="106"/>
                    <w:spacing w:line="240" w:lineRule="auto"/>
                    <w:ind w:firstLine="0" w:firstLineChars="0"/>
                    <w:jc w:val="center"/>
                    <w:rPr>
                      <w:rFonts w:hint="default" w:ascii="Times New Roman" w:eastAsia="宋体"/>
                      <w:color w:val="auto"/>
                      <w:kern w:val="2"/>
                      <w:sz w:val="21"/>
                      <w:szCs w:val="21"/>
                      <w:highlight w:val="none"/>
                    </w:rPr>
                  </w:pPr>
                  <w:r>
                    <w:rPr>
                      <w:rFonts w:hint="eastAsia" w:ascii="Times New Roman" w:hAnsi="Times New Roman" w:eastAsia="宋体" w:cs="Times New Roman"/>
                      <w:color w:val="auto"/>
                      <w:kern w:val="2"/>
                      <w:sz w:val="21"/>
                      <w:szCs w:val="21"/>
                      <w:highlight w:val="none"/>
                      <w:lang w:val="en-US" w:eastAsia="zh-CN"/>
                    </w:rPr>
                    <w:t>80%</w:t>
                  </w:r>
                </w:p>
              </w:tc>
              <w:tc>
                <w:tcPr>
                  <w:tcW w:w="632" w:type="pct"/>
                  <w:tcBorders>
                    <w:tl2br w:val="nil"/>
                    <w:tr2bl w:val="nil"/>
                  </w:tcBorders>
                  <w:noWrap w:val="0"/>
                  <w:vAlign w:val="center"/>
                </w:tcPr>
                <w:p w14:paraId="68F306C3">
                  <w:pPr>
                    <w:pStyle w:val="106"/>
                    <w:spacing w:line="240" w:lineRule="auto"/>
                    <w:ind w:firstLine="0" w:firstLineChars="0"/>
                    <w:jc w:val="center"/>
                    <w:rPr>
                      <w:rFonts w:ascii="Times New Roman" w:eastAsia="宋体"/>
                      <w:color w:val="auto"/>
                      <w:kern w:val="2"/>
                      <w:sz w:val="21"/>
                      <w:szCs w:val="21"/>
                      <w:highlight w:val="none"/>
                    </w:rPr>
                  </w:pPr>
                  <w:r>
                    <w:rPr>
                      <w:rFonts w:hint="eastAsia" w:ascii="Times New Roman" w:hAnsi="Times New Roman" w:eastAsia="宋体" w:cs="Times New Roman"/>
                      <w:color w:val="auto"/>
                      <w:kern w:val="2"/>
                      <w:sz w:val="21"/>
                      <w:szCs w:val="21"/>
                      <w:highlight w:val="none"/>
                      <w:lang w:eastAsia="zh-CN"/>
                    </w:rPr>
                    <w:t>4</w:t>
                  </w:r>
                  <w:r>
                    <w:rPr>
                      <w:rFonts w:hint="eastAsia" w:ascii="Times New Roman" w:hAnsi="Times New Roman" w:eastAsia="宋体" w:cs="Times New Roman"/>
                      <w:color w:val="auto"/>
                      <w:kern w:val="2"/>
                      <w:sz w:val="21"/>
                      <w:szCs w:val="21"/>
                      <w:highlight w:val="none"/>
                      <w:lang w:val="en-US" w:eastAsia="zh-CN"/>
                    </w:rPr>
                    <w:t>6.71</w:t>
                  </w:r>
                  <w:r>
                    <w:rPr>
                      <w:rFonts w:ascii="Times New Roman" w:eastAsia="宋体"/>
                      <w:color w:val="auto"/>
                      <w:kern w:val="2"/>
                      <w:sz w:val="21"/>
                      <w:szCs w:val="21"/>
                      <w:highlight w:val="none"/>
                    </w:rPr>
                    <w:t>%</w:t>
                  </w:r>
                </w:p>
              </w:tc>
              <w:tc>
                <w:tcPr>
                  <w:tcW w:w="1157" w:type="pct"/>
                  <w:tcBorders>
                    <w:tl2br w:val="nil"/>
                    <w:tr2bl w:val="nil"/>
                  </w:tcBorders>
                  <w:noWrap w:val="0"/>
                  <w:vAlign w:val="center"/>
                </w:tcPr>
                <w:p w14:paraId="531A0B13">
                  <w:pPr>
                    <w:pStyle w:val="106"/>
                    <w:spacing w:line="240" w:lineRule="auto"/>
                    <w:ind w:firstLine="0" w:firstLineChars="0"/>
                    <w:jc w:val="center"/>
                    <w:rPr>
                      <w:rFonts w:ascii="Times New Roman" w:eastAsia="宋体"/>
                      <w:color w:val="auto"/>
                      <w:kern w:val="2"/>
                      <w:sz w:val="21"/>
                      <w:szCs w:val="21"/>
                      <w:highlight w:val="none"/>
                    </w:rPr>
                  </w:pPr>
                  <w:r>
                    <w:rPr>
                      <w:rFonts w:hint="default" w:ascii="Times New Roman" w:hAnsi="Times New Roman" w:eastAsia="宋体" w:cs="Times New Roman"/>
                      <w:color w:val="auto"/>
                      <w:kern w:val="2"/>
                      <w:sz w:val="21"/>
                      <w:szCs w:val="21"/>
                      <w:highlight w:val="none"/>
                    </w:rPr>
                    <w:t>通风</w:t>
                  </w:r>
                  <w:r>
                    <w:rPr>
                      <w:rFonts w:hint="eastAsia" w:ascii="Times New Roman" w:hAnsi="Times New Roman" w:eastAsia="宋体" w:cs="Times New Roman"/>
                      <w:color w:val="auto"/>
                      <w:kern w:val="2"/>
                      <w:sz w:val="21"/>
                      <w:szCs w:val="21"/>
                      <w:highlight w:val="none"/>
                      <w:lang w:val="en-US" w:eastAsia="zh-CN"/>
                    </w:rPr>
                    <w:t>柜</w:t>
                  </w:r>
                  <w:r>
                    <w:rPr>
                      <w:rFonts w:hint="default" w:ascii="Times New Roman" w:hAnsi="Times New Roman" w:eastAsia="宋体" w:cs="Times New Roman"/>
                      <w:color w:val="auto"/>
                      <w:kern w:val="2"/>
                      <w:sz w:val="21"/>
                      <w:szCs w:val="21"/>
                      <w:highlight w:val="none"/>
                    </w:rPr>
                    <w:t>+</w:t>
                  </w:r>
                  <w:r>
                    <w:rPr>
                      <w:rFonts w:hint="eastAsia" w:ascii="Times New Roman" w:hAnsi="Times New Roman" w:eastAsia="宋体" w:cs="Times New Roman"/>
                      <w:color w:val="auto"/>
                      <w:kern w:val="2"/>
                      <w:sz w:val="21"/>
                      <w:szCs w:val="21"/>
                      <w:highlight w:val="none"/>
                      <w:lang w:val="en-US" w:eastAsia="zh-CN"/>
                    </w:rPr>
                    <w:t>6套SDG+活性炭吸附装置+3</w:t>
                  </w:r>
                  <w:r>
                    <w:rPr>
                      <w:rFonts w:hint="default" w:ascii="Times New Roman" w:hAnsi="Times New Roman" w:eastAsia="宋体" w:cs="Times New Roman"/>
                      <w:color w:val="auto"/>
                      <w:kern w:val="2"/>
                      <w:sz w:val="21"/>
                      <w:szCs w:val="21"/>
                      <w:highlight w:val="none"/>
                    </w:rPr>
                    <w:t>根2</w:t>
                  </w:r>
                  <w:r>
                    <w:rPr>
                      <w:rFonts w:hint="eastAsia" w:ascii="Times New Roman" w:hAnsi="Times New Roman" w:eastAsia="宋体" w:cs="Times New Roman"/>
                      <w:color w:val="auto"/>
                      <w:kern w:val="2"/>
                      <w:sz w:val="21"/>
                      <w:szCs w:val="21"/>
                      <w:highlight w:val="none"/>
                      <w:lang w:eastAsia="zh-CN"/>
                    </w:rPr>
                    <w:t>8</w:t>
                  </w:r>
                  <w:r>
                    <w:rPr>
                      <w:rFonts w:hint="default" w:ascii="Times New Roman" w:hAnsi="Times New Roman" w:eastAsia="宋体" w:cs="Times New Roman"/>
                      <w:color w:val="auto"/>
                      <w:kern w:val="2"/>
                      <w:sz w:val="21"/>
                      <w:szCs w:val="21"/>
                      <w:highlight w:val="none"/>
                    </w:rPr>
                    <w:t>m排气筒（DA001</w:t>
                  </w:r>
                  <w:r>
                    <w:rPr>
                      <w:rFonts w:hint="eastAsia"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DA00</w:t>
                  </w:r>
                  <w:r>
                    <w:rPr>
                      <w:rFonts w:hint="eastAsia" w:eastAsia="宋体" w:cs="Times New Roman"/>
                      <w:color w:val="auto"/>
                      <w:kern w:val="2"/>
                      <w:sz w:val="21"/>
                      <w:szCs w:val="21"/>
                      <w:highlight w:val="none"/>
                      <w:lang w:val="en-US" w:eastAsia="zh-CN"/>
                    </w:rPr>
                    <w:t>2、</w:t>
                  </w:r>
                  <w:r>
                    <w:rPr>
                      <w:rFonts w:hint="default" w:ascii="Times New Roman" w:hAnsi="Times New Roman" w:eastAsia="宋体" w:cs="Times New Roman"/>
                      <w:color w:val="auto"/>
                      <w:kern w:val="2"/>
                      <w:sz w:val="21"/>
                      <w:szCs w:val="21"/>
                      <w:highlight w:val="none"/>
                    </w:rPr>
                    <w:t>DA00</w:t>
                  </w:r>
                  <w:r>
                    <w:rPr>
                      <w:rFonts w:hint="eastAsia" w:eastAsia="宋体" w:cs="Times New Roman"/>
                      <w:color w:val="auto"/>
                      <w:kern w:val="2"/>
                      <w:sz w:val="21"/>
                      <w:szCs w:val="21"/>
                      <w:highlight w:val="none"/>
                      <w:lang w:val="en-US" w:eastAsia="zh-CN"/>
                    </w:rPr>
                    <w:t>3</w:t>
                  </w:r>
                  <w:r>
                    <w:rPr>
                      <w:rFonts w:hint="default" w:ascii="Times New Roman" w:hAnsi="Times New Roman" w:eastAsia="宋体" w:cs="Times New Roman"/>
                      <w:color w:val="auto"/>
                      <w:kern w:val="2"/>
                      <w:sz w:val="21"/>
                      <w:szCs w:val="21"/>
                      <w:highlight w:val="none"/>
                    </w:rPr>
                    <w:t>）</w:t>
                  </w:r>
                </w:p>
              </w:tc>
              <w:tc>
                <w:tcPr>
                  <w:tcW w:w="809" w:type="pct"/>
                  <w:tcBorders>
                    <w:tl2br w:val="nil"/>
                    <w:tr2bl w:val="nil"/>
                  </w:tcBorders>
                  <w:noWrap w:val="0"/>
                  <w:vAlign w:val="center"/>
                </w:tcPr>
                <w:p w14:paraId="39E62B49">
                  <w:pPr>
                    <w:pStyle w:val="106"/>
                    <w:spacing w:line="240" w:lineRule="auto"/>
                    <w:ind w:firstLine="0" w:firstLineChars="0"/>
                    <w:jc w:val="center"/>
                    <w:rPr>
                      <w:rFonts w:ascii="Times New Roman" w:eastAsia="宋体"/>
                      <w:color w:val="auto"/>
                      <w:kern w:val="2"/>
                      <w:sz w:val="21"/>
                      <w:szCs w:val="21"/>
                      <w:highlight w:val="none"/>
                    </w:rPr>
                  </w:pPr>
                  <w:r>
                    <w:rPr>
                      <w:rFonts w:hint="default" w:ascii="Times New Roman" w:eastAsia="宋体"/>
                      <w:color w:val="auto"/>
                      <w:kern w:val="2"/>
                      <w:sz w:val="21"/>
                      <w:szCs w:val="21"/>
                      <w:highlight w:val="none"/>
                    </w:rPr>
                    <w:t>是</w:t>
                  </w:r>
                </w:p>
              </w:tc>
            </w:tr>
            <w:tr w14:paraId="0972FA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4" w:type="pct"/>
                  <w:vMerge w:val="continue"/>
                  <w:tcBorders>
                    <w:tl2br w:val="nil"/>
                    <w:tr2bl w:val="nil"/>
                  </w:tcBorders>
                  <w:noWrap w:val="0"/>
                  <w:vAlign w:val="center"/>
                </w:tcPr>
                <w:p w14:paraId="15C58665">
                  <w:pPr>
                    <w:widowControl/>
                    <w:jc w:val="center"/>
                    <w:rPr>
                      <w:color w:val="auto"/>
                      <w:szCs w:val="21"/>
                      <w:highlight w:val="none"/>
                    </w:rPr>
                  </w:pPr>
                </w:p>
              </w:tc>
              <w:tc>
                <w:tcPr>
                  <w:tcW w:w="710" w:type="pct"/>
                  <w:tcBorders>
                    <w:tl2br w:val="nil"/>
                    <w:tr2bl w:val="nil"/>
                  </w:tcBorders>
                  <w:noWrap w:val="0"/>
                  <w:vAlign w:val="center"/>
                </w:tcPr>
                <w:p w14:paraId="6677C26D">
                  <w:pPr>
                    <w:pStyle w:val="106"/>
                    <w:spacing w:line="240" w:lineRule="auto"/>
                    <w:ind w:firstLine="0" w:firstLineChars="0"/>
                    <w:jc w:val="center"/>
                    <w:rPr>
                      <w:rFonts w:hint="default" w:ascii="Times New Roman" w:eastAsia="宋体"/>
                      <w:color w:val="auto"/>
                      <w:kern w:val="2"/>
                      <w:sz w:val="21"/>
                      <w:szCs w:val="21"/>
                      <w:highlight w:val="none"/>
                    </w:rPr>
                  </w:pPr>
                  <w:r>
                    <w:rPr>
                      <w:rFonts w:ascii="Times New Roman" w:eastAsia="宋体"/>
                      <w:color w:val="auto"/>
                      <w:kern w:val="0"/>
                      <w:sz w:val="21"/>
                      <w:szCs w:val="21"/>
                      <w:highlight w:val="none"/>
                      <w:lang w:bidi="ar"/>
                    </w:rPr>
                    <w:t>HCl</w:t>
                  </w:r>
                  <w:r>
                    <w:rPr>
                      <w:rFonts w:hint="default" w:ascii="Times New Roman" w:eastAsia="宋体"/>
                      <w:color w:val="auto"/>
                      <w:kern w:val="0"/>
                      <w:sz w:val="21"/>
                      <w:szCs w:val="21"/>
                      <w:highlight w:val="none"/>
                      <w:lang w:bidi="ar"/>
                    </w:rPr>
                    <w:t>、</w:t>
                  </w:r>
                  <w:r>
                    <w:rPr>
                      <w:rFonts w:ascii="Times New Roman" w:eastAsia="宋体"/>
                      <w:color w:val="auto"/>
                      <w:kern w:val="0"/>
                      <w:sz w:val="21"/>
                      <w:szCs w:val="21"/>
                      <w:highlight w:val="none"/>
                      <w:lang w:bidi="ar"/>
                    </w:rPr>
                    <w:t>NOx</w:t>
                  </w:r>
                </w:p>
              </w:tc>
              <w:tc>
                <w:tcPr>
                  <w:tcW w:w="741" w:type="pct"/>
                  <w:tcBorders>
                    <w:tl2br w:val="nil"/>
                    <w:tr2bl w:val="nil"/>
                  </w:tcBorders>
                  <w:noWrap w:val="0"/>
                  <w:vAlign w:val="center"/>
                </w:tcPr>
                <w:p w14:paraId="5F3305B1">
                  <w:pPr>
                    <w:pStyle w:val="106"/>
                    <w:spacing w:line="240" w:lineRule="auto"/>
                    <w:ind w:firstLine="0" w:firstLineChars="0"/>
                    <w:jc w:val="center"/>
                    <w:rPr>
                      <w:rFonts w:hint="default" w:ascii="Times New Roman" w:eastAsia="宋体"/>
                      <w:color w:val="auto"/>
                      <w:kern w:val="0"/>
                      <w:sz w:val="21"/>
                      <w:szCs w:val="21"/>
                      <w:highlight w:val="none"/>
                      <w:lang w:bidi="ar"/>
                    </w:rPr>
                  </w:pPr>
                  <w:r>
                    <w:rPr>
                      <w:rFonts w:hint="default" w:ascii="Times New Roman" w:eastAsia="宋体"/>
                      <w:color w:val="auto"/>
                      <w:kern w:val="0"/>
                      <w:sz w:val="21"/>
                      <w:szCs w:val="21"/>
                      <w:highlight w:val="none"/>
                      <w:lang w:bidi="ar"/>
                    </w:rPr>
                    <w:t>有组织</w:t>
                  </w:r>
                </w:p>
              </w:tc>
              <w:tc>
                <w:tcPr>
                  <w:tcW w:w="424" w:type="pct"/>
                  <w:vMerge w:val="continue"/>
                  <w:tcBorders>
                    <w:tl2br w:val="nil"/>
                    <w:tr2bl w:val="nil"/>
                  </w:tcBorders>
                  <w:noWrap w:val="0"/>
                  <w:vAlign w:val="center"/>
                </w:tcPr>
                <w:p w14:paraId="281ED168">
                  <w:pPr>
                    <w:pStyle w:val="106"/>
                    <w:spacing w:line="240" w:lineRule="auto"/>
                    <w:ind w:firstLine="0" w:firstLineChars="0"/>
                    <w:jc w:val="center"/>
                    <w:rPr>
                      <w:rFonts w:hint="default" w:ascii="Times New Roman" w:eastAsia="宋体"/>
                      <w:color w:val="auto"/>
                      <w:kern w:val="2"/>
                      <w:sz w:val="21"/>
                      <w:szCs w:val="21"/>
                      <w:highlight w:val="none"/>
                      <w:lang w:val="en-US" w:eastAsia="zh-CN"/>
                    </w:rPr>
                  </w:pPr>
                </w:p>
              </w:tc>
              <w:tc>
                <w:tcPr>
                  <w:tcW w:w="632" w:type="pct"/>
                  <w:tcBorders>
                    <w:tl2br w:val="nil"/>
                    <w:tr2bl w:val="nil"/>
                  </w:tcBorders>
                  <w:noWrap w:val="0"/>
                  <w:vAlign w:val="center"/>
                </w:tcPr>
                <w:p w14:paraId="393C0521">
                  <w:pPr>
                    <w:pStyle w:val="106"/>
                    <w:spacing w:line="240" w:lineRule="auto"/>
                    <w:ind w:firstLine="0" w:firstLineChars="0"/>
                    <w:jc w:val="center"/>
                    <w:rPr>
                      <w:rFonts w:hint="default" w:ascii="Times New Roman" w:eastAsia="宋体"/>
                      <w:color w:val="auto"/>
                      <w:kern w:val="2"/>
                      <w:sz w:val="21"/>
                      <w:szCs w:val="21"/>
                      <w:highlight w:val="none"/>
                    </w:rPr>
                  </w:pPr>
                  <w:r>
                    <w:rPr>
                      <w:rFonts w:hint="default" w:ascii="Times New Roman" w:eastAsia="宋体"/>
                      <w:color w:val="auto"/>
                      <w:kern w:val="2"/>
                      <w:sz w:val="21"/>
                      <w:szCs w:val="21"/>
                      <w:highlight w:val="none"/>
                      <w:lang w:val="en-US" w:eastAsia="zh-CN"/>
                    </w:rPr>
                    <w:t>80%</w:t>
                  </w:r>
                </w:p>
              </w:tc>
              <w:tc>
                <w:tcPr>
                  <w:tcW w:w="1157" w:type="pct"/>
                  <w:tcBorders>
                    <w:tl2br w:val="nil"/>
                    <w:tr2bl w:val="nil"/>
                  </w:tcBorders>
                  <w:noWrap w:val="0"/>
                  <w:vAlign w:val="center"/>
                </w:tcPr>
                <w:p w14:paraId="478558F5">
                  <w:pPr>
                    <w:pStyle w:val="106"/>
                    <w:spacing w:line="240" w:lineRule="auto"/>
                    <w:ind w:firstLine="0" w:firstLineChars="0"/>
                    <w:jc w:val="center"/>
                    <w:rPr>
                      <w:rFonts w:ascii="Times New Roman" w:eastAsia="宋体"/>
                      <w:color w:val="auto"/>
                      <w:kern w:val="2"/>
                      <w:sz w:val="21"/>
                      <w:szCs w:val="21"/>
                      <w:highlight w:val="none"/>
                    </w:rPr>
                  </w:pPr>
                  <w:r>
                    <w:rPr>
                      <w:rFonts w:hint="default" w:ascii="Times New Roman" w:eastAsia="宋体"/>
                      <w:color w:val="auto"/>
                      <w:kern w:val="2"/>
                      <w:sz w:val="21"/>
                      <w:szCs w:val="21"/>
                      <w:highlight w:val="none"/>
                    </w:rPr>
                    <w:t>通风</w:t>
                  </w:r>
                  <w:r>
                    <w:rPr>
                      <w:rFonts w:hint="eastAsia" w:ascii="Times New Roman" w:hAnsi="Times New Roman" w:eastAsia="宋体" w:cs="Times New Roman"/>
                      <w:color w:val="auto"/>
                      <w:kern w:val="2"/>
                      <w:sz w:val="21"/>
                      <w:szCs w:val="21"/>
                      <w:highlight w:val="none"/>
                      <w:lang w:val="en-US" w:eastAsia="zh-CN"/>
                    </w:rPr>
                    <w:t>柜</w:t>
                  </w:r>
                  <w:r>
                    <w:rPr>
                      <w:rFonts w:hint="default" w:ascii="Times New Roman" w:eastAsia="宋体"/>
                      <w:color w:val="auto"/>
                      <w:kern w:val="2"/>
                      <w:sz w:val="21"/>
                      <w:szCs w:val="21"/>
                      <w:highlight w:val="none"/>
                    </w:rPr>
                    <w:t>+</w:t>
                  </w:r>
                  <w:r>
                    <w:rPr>
                      <w:rFonts w:hint="eastAsia" w:ascii="Times New Roman" w:hAnsi="Times New Roman" w:eastAsia="宋体" w:cs="Times New Roman"/>
                      <w:color w:val="auto"/>
                      <w:kern w:val="2"/>
                      <w:sz w:val="21"/>
                      <w:szCs w:val="21"/>
                      <w:highlight w:val="none"/>
                      <w:lang w:val="en-US" w:eastAsia="zh-CN"/>
                    </w:rPr>
                    <w:t>6套SDG+活性炭吸附装置+3</w:t>
                  </w:r>
                  <w:r>
                    <w:rPr>
                      <w:rFonts w:hint="default" w:ascii="Times New Roman" w:eastAsia="宋体"/>
                      <w:color w:val="auto"/>
                      <w:kern w:val="2"/>
                      <w:sz w:val="21"/>
                      <w:szCs w:val="21"/>
                      <w:highlight w:val="none"/>
                    </w:rPr>
                    <w:t>根2</w:t>
                  </w:r>
                  <w:r>
                    <w:rPr>
                      <w:rFonts w:hint="eastAsia" w:ascii="Times New Roman" w:hAnsi="Times New Roman" w:eastAsia="宋体" w:cs="Times New Roman"/>
                      <w:color w:val="auto"/>
                      <w:kern w:val="2"/>
                      <w:sz w:val="21"/>
                      <w:szCs w:val="21"/>
                      <w:highlight w:val="none"/>
                      <w:lang w:eastAsia="zh-CN"/>
                    </w:rPr>
                    <w:t>8</w:t>
                  </w:r>
                  <w:r>
                    <w:rPr>
                      <w:rFonts w:hint="default" w:ascii="Times New Roman" w:eastAsia="宋体"/>
                      <w:color w:val="auto"/>
                      <w:kern w:val="2"/>
                      <w:sz w:val="21"/>
                      <w:szCs w:val="21"/>
                      <w:highlight w:val="none"/>
                    </w:rPr>
                    <w:t>m排气筒（DA001</w:t>
                  </w:r>
                  <w:r>
                    <w:rPr>
                      <w:rFonts w:hint="eastAsia" w:ascii="Times New Roman" w:hAnsi="Times New Roman" w:eastAsia="宋体" w:cs="Times New Roman"/>
                      <w:color w:val="auto"/>
                      <w:kern w:val="2"/>
                      <w:sz w:val="21"/>
                      <w:szCs w:val="21"/>
                      <w:highlight w:val="none"/>
                      <w:lang w:eastAsia="zh-CN"/>
                    </w:rPr>
                    <w:t>、</w:t>
                  </w:r>
                  <w:r>
                    <w:rPr>
                      <w:rFonts w:hint="default" w:ascii="Times New Roman" w:hAnsi="Times New Roman" w:eastAsia="宋体" w:cs="Times New Roman"/>
                      <w:color w:val="auto"/>
                      <w:kern w:val="2"/>
                      <w:sz w:val="21"/>
                      <w:szCs w:val="21"/>
                      <w:highlight w:val="none"/>
                    </w:rPr>
                    <w:t>DA00</w:t>
                  </w:r>
                  <w:r>
                    <w:rPr>
                      <w:rFonts w:hint="eastAsia" w:eastAsia="宋体" w:cs="Times New Roman"/>
                      <w:color w:val="auto"/>
                      <w:kern w:val="2"/>
                      <w:sz w:val="21"/>
                      <w:szCs w:val="21"/>
                      <w:highlight w:val="none"/>
                      <w:lang w:val="en-US" w:eastAsia="zh-CN"/>
                    </w:rPr>
                    <w:t>2、</w:t>
                  </w:r>
                  <w:r>
                    <w:rPr>
                      <w:rFonts w:hint="default" w:ascii="Times New Roman" w:hAnsi="Times New Roman" w:eastAsia="宋体" w:cs="Times New Roman"/>
                      <w:color w:val="auto"/>
                      <w:kern w:val="2"/>
                      <w:sz w:val="21"/>
                      <w:szCs w:val="21"/>
                      <w:highlight w:val="none"/>
                    </w:rPr>
                    <w:t>DA00</w:t>
                  </w:r>
                  <w:r>
                    <w:rPr>
                      <w:rFonts w:hint="eastAsia" w:eastAsia="宋体" w:cs="Times New Roman"/>
                      <w:color w:val="auto"/>
                      <w:kern w:val="2"/>
                      <w:sz w:val="21"/>
                      <w:szCs w:val="21"/>
                      <w:highlight w:val="none"/>
                      <w:lang w:val="en-US" w:eastAsia="zh-CN"/>
                    </w:rPr>
                    <w:t>3</w:t>
                  </w:r>
                  <w:r>
                    <w:rPr>
                      <w:rFonts w:hint="default" w:ascii="Times New Roman" w:eastAsia="宋体"/>
                      <w:color w:val="auto"/>
                      <w:kern w:val="2"/>
                      <w:sz w:val="21"/>
                      <w:szCs w:val="21"/>
                      <w:highlight w:val="none"/>
                    </w:rPr>
                    <w:t>）</w:t>
                  </w:r>
                </w:p>
              </w:tc>
              <w:tc>
                <w:tcPr>
                  <w:tcW w:w="809" w:type="pct"/>
                  <w:tcBorders>
                    <w:tl2br w:val="nil"/>
                    <w:tr2bl w:val="nil"/>
                  </w:tcBorders>
                  <w:noWrap w:val="0"/>
                  <w:vAlign w:val="center"/>
                </w:tcPr>
                <w:p w14:paraId="6A764C7D">
                  <w:pPr>
                    <w:widowControl/>
                    <w:adjustRightInd w:val="0"/>
                    <w:jc w:val="center"/>
                    <w:rPr>
                      <w:rFonts w:hint="default"/>
                      <w:color w:val="auto"/>
                      <w:szCs w:val="21"/>
                      <w:highlight w:val="none"/>
                    </w:rPr>
                  </w:pPr>
                  <w:r>
                    <w:rPr>
                      <w:rFonts w:hint="default"/>
                      <w:color w:val="auto"/>
                      <w:szCs w:val="21"/>
                      <w:highlight w:val="none"/>
                    </w:rPr>
                    <w:t>是</w:t>
                  </w:r>
                </w:p>
              </w:tc>
            </w:tr>
          </w:tbl>
          <w:p w14:paraId="2FCC5E1A">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排气筒设置情况</w:t>
            </w:r>
          </w:p>
          <w:p w14:paraId="49604206">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w:t>
            </w:r>
            <w:r>
              <w:rPr>
                <w:rFonts w:hint="eastAsia" w:cs="Times New Roman"/>
                <w:b w:val="0"/>
                <w:bCs w:val="0"/>
                <w:color w:val="auto"/>
                <w:kern w:val="2"/>
                <w:sz w:val="24"/>
                <w:szCs w:val="24"/>
                <w:highlight w:val="none"/>
                <w:lang w:val="en-US" w:eastAsia="zh-CN" w:bidi="ar-SA"/>
              </w:rPr>
              <w:t>现有</w:t>
            </w:r>
            <w:r>
              <w:rPr>
                <w:rFonts w:hint="eastAsia" w:ascii="Times New Roman" w:hAnsi="Times New Roman" w:eastAsia="宋体" w:cs="Times New Roman"/>
                <w:b w:val="0"/>
                <w:bCs w:val="0"/>
                <w:color w:val="auto"/>
                <w:kern w:val="2"/>
                <w:sz w:val="24"/>
                <w:szCs w:val="24"/>
                <w:highlight w:val="none"/>
                <w:lang w:val="en-US" w:eastAsia="zh-CN" w:bidi="ar-SA"/>
              </w:rPr>
              <w:t>3个排放口（DA001、DA002、DA003），具体情况见表4-</w:t>
            </w:r>
            <w:r>
              <w:rPr>
                <w:rFonts w:hint="eastAsia" w:cs="Times New Roman"/>
                <w:b w:val="0"/>
                <w:bCs w:val="0"/>
                <w:color w:val="auto"/>
                <w:kern w:val="2"/>
                <w:sz w:val="24"/>
                <w:szCs w:val="24"/>
                <w:highlight w:val="none"/>
                <w:lang w:val="en-US" w:eastAsia="zh-CN" w:bidi="ar-SA"/>
              </w:rPr>
              <w:t>5</w:t>
            </w:r>
            <w:r>
              <w:rPr>
                <w:rFonts w:hint="eastAsia" w:ascii="Times New Roman" w:hAnsi="Times New Roman" w:eastAsia="宋体" w:cs="Times New Roman"/>
                <w:b w:val="0"/>
                <w:bCs w:val="0"/>
                <w:color w:val="auto"/>
                <w:kern w:val="2"/>
                <w:sz w:val="24"/>
                <w:szCs w:val="24"/>
                <w:highlight w:val="none"/>
                <w:lang w:val="en-US" w:eastAsia="zh-CN" w:bidi="ar-SA"/>
              </w:rPr>
              <w:t>。</w:t>
            </w:r>
          </w:p>
          <w:p w14:paraId="7B60DAB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422" w:firstLineChars="175"/>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表4-</w:t>
            </w:r>
            <w:r>
              <w:rPr>
                <w:rFonts w:hint="eastAsia" w:cs="Times New Roman"/>
                <w:b/>
                <w:bCs/>
                <w:color w:val="auto"/>
                <w:kern w:val="2"/>
                <w:sz w:val="24"/>
                <w:szCs w:val="24"/>
                <w:highlight w:val="none"/>
                <w:lang w:val="en-US" w:eastAsia="zh-CN" w:bidi="ar-SA"/>
              </w:rPr>
              <w:t>5</w:t>
            </w:r>
            <w:r>
              <w:rPr>
                <w:rFonts w:hint="eastAsia" w:ascii="Times New Roman" w:hAnsi="Times New Roman" w:eastAsia="宋体" w:cs="Times New Roman"/>
                <w:b/>
                <w:bCs/>
                <w:color w:val="auto"/>
                <w:kern w:val="2"/>
                <w:sz w:val="24"/>
                <w:szCs w:val="24"/>
                <w:highlight w:val="none"/>
                <w:lang w:val="en-US" w:eastAsia="zh-CN" w:bidi="ar-SA"/>
              </w:rPr>
              <w:t xml:space="preserve">  项目废气排放口设置情况</w:t>
            </w:r>
          </w:p>
          <w:tbl>
            <w:tblPr>
              <w:tblStyle w:val="31"/>
              <w:tblW w:w="822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052"/>
              <w:gridCol w:w="574"/>
              <w:gridCol w:w="592"/>
              <w:gridCol w:w="666"/>
              <w:gridCol w:w="649"/>
              <w:gridCol w:w="1032"/>
              <w:gridCol w:w="2543"/>
            </w:tblGrid>
            <w:tr w14:paraId="3542B3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tcBorders>
                    <w:tl2br w:val="nil"/>
                    <w:tr2bl w:val="nil"/>
                  </w:tcBorders>
                  <w:noWrap w:val="0"/>
                  <w:vAlign w:val="center"/>
                </w:tcPr>
                <w:p w14:paraId="7777F4B6">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排放口名称</w:t>
                  </w:r>
                </w:p>
              </w:tc>
              <w:tc>
                <w:tcPr>
                  <w:tcW w:w="1052" w:type="dxa"/>
                  <w:tcBorders>
                    <w:tl2br w:val="nil"/>
                    <w:tr2bl w:val="nil"/>
                  </w:tcBorders>
                  <w:noWrap w:val="0"/>
                  <w:vAlign w:val="center"/>
                </w:tcPr>
                <w:p w14:paraId="4716AF65">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排放口编号</w:t>
                  </w:r>
                </w:p>
              </w:tc>
              <w:tc>
                <w:tcPr>
                  <w:tcW w:w="574" w:type="dxa"/>
                  <w:tcBorders>
                    <w:tl2br w:val="nil"/>
                    <w:tr2bl w:val="nil"/>
                  </w:tcBorders>
                  <w:noWrap w:val="0"/>
                  <w:vAlign w:val="center"/>
                </w:tcPr>
                <w:p w14:paraId="30B059FA">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污染物</w:t>
                  </w:r>
                </w:p>
              </w:tc>
              <w:tc>
                <w:tcPr>
                  <w:tcW w:w="592" w:type="dxa"/>
                  <w:tcBorders>
                    <w:tl2br w:val="nil"/>
                    <w:tr2bl w:val="nil"/>
                  </w:tcBorders>
                  <w:noWrap w:val="0"/>
                  <w:vAlign w:val="center"/>
                </w:tcPr>
                <w:p w14:paraId="58D838B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高度/m</w:t>
                  </w:r>
                </w:p>
              </w:tc>
              <w:tc>
                <w:tcPr>
                  <w:tcW w:w="666" w:type="dxa"/>
                  <w:tcBorders>
                    <w:tl2br w:val="nil"/>
                    <w:tr2bl w:val="nil"/>
                  </w:tcBorders>
                  <w:noWrap w:val="0"/>
                  <w:vAlign w:val="center"/>
                </w:tcPr>
                <w:p w14:paraId="4E34A430">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内径/m</w:t>
                  </w:r>
                </w:p>
              </w:tc>
              <w:tc>
                <w:tcPr>
                  <w:tcW w:w="649" w:type="dxa"/>
                  <w:tcBorders>
                    <w:tl2br w:val="nil"/>
                    <w:tr2bl w:val="nil"/>
                  </w:tcBorders>
                  <w:noWrap w:val="0"/>
                  <w:vAlign w:val="center"/>
                </w:tcPr>
                <w:p w14:paraId="14B4B6D8">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温度/</w:t>
                  </w:r>
                  <w:r>
                    <w:rPr>
                      <w:rFonts w:hint="default" w:ascii="Times New Roman" w:hAnsi="Times New Roman" w:eastAsia="宋体" w:cs="Times New Roman"/>
                      <w:b/>
                      <w:bCs/>
                      <w:color w:val="auto"/>
                      <w:kern w:val="2"/>
                      <w:sz w:val="21"/>
                      <w:szCs w:val="21"/>
                      <w:highlight w:val="none"/>
                      <w:vertAlign w:val="baseline"/>
                      <w:lang w:val="en-US" w:eastAsia="zh-CN" w:bidi="ar-SA"/>
                    </w:rPr>
                    <w:t>℃</w:t>
                  </w:r>
                </w:p>
              </w:tc>
              <w:tc>
                <w:tcPr>
                  <w:tcW w:w="1032" w:type="dxa"/>
                  <w:tcBorders>
                    <w:tl2br w:val="nil"/>
                    <w:tr2bl w:val="nil"/>
                  </w:tcBorders>
                  <w:noWrap w:val="0"/>
                  <w:vAlign w:val="center"/>
                </w:tcPr>
                <w:p w14:paraId="47094ACD">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类型</w:t>
                  </w:r>
                </w:p>
              </w:tc>
              <w:tc>
                <w:tcPr>
                  <w:tcW w:w="2543" w:type="dxa"/>
                  <w:tcBorders>
                    <w:tl2br w:val="nil"/>
                    <w:tr2bl w:val="nil"/>
                  </w:tcBorders>
                  <w:noWrap w:val="0"/>
                  <w:vAlign w:val="center"/>
                </w:tcPr>
                <w:p w14:paraId="55FE6B85">
                  <w:pPr>
                    <w:keepNext w:val="0"/>
                    <w:keepLines w:val="0"/>
                    <w:pageBreakBefore w:val="0"/>
                    <w:widowControl/>
                    <w:suppressLineNumbers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坐标</w:t>
                  </w:r>
                </w:p>
              </w:tc>
            </w:tr>
            <w:tr w14:paraId="6E6D70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tcBorders>
                    <w:tl2br w:val="nil"/>
                    <w:tr2bl w:val="nil"/>
                  </w:tcBorders>
                  <w:noWrap w:val="0"/>
                  <w:vAlign w:val="center"/>
                </w:tcPr>
                <w:p w14:paraId="566F6F4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r>
                    <w:rPr>
                      <w:rFonts w:hint="eastAsia" w:cs="Times New Roman"/>
                      <w:b w:val="0"/>
                      <w:bCs w:val="0"/>
                      <w:color w:val="auto"/>
                      <w:kern w:val="2"/>
                      <w:sz w:val="21"/>
                      <w:szCs w:val="21"/>
                      <w:highlight w:val="none"/>
                      <w:lang w:val="en-US" w:eastAsia="zh-CN" w:bidi="ar-SA"/>
                    </w:rPr>
                    <w:t>小试</w:t>
                  </w:r>
                  <w:r>
                    <w:rPr>
                      <w:rFonts w:hint="eastAsia" w:ascii="Times New Roman" w:hAnsi="Times New Roman" w:eastAsia="宋体" w:cs="Times New Roman"/>
                      <w:b w:val="0"/>
                      <w:bCs w:val="0"/>
                      <w:color w:val="auto"/>
                      <w:kern w:val="2"/>
                      <w:sz w:val="21"/>
                      <w:szCs w:val="21"/>
                      <w:highlight w:val="none"/>
                      <w:lang w:val="en-US" w:eastAsia="zh-CN" w:bidi="ar-SA"/>
                    </w:rPr>
                    <w:t>实验室废气</w:t>
                  </w:r>
                </w:p>
              </w:tc>
              <w:tc>
                <w:tcPr>
                  <w:tcW w:w="1052" w:type="dxa"/>
                  <w:tcBorders>
                    <w:tl2br w:val="nil"/>
                    <w:tr2bl w:val="nil"/>
                  </w:tcBorders>
                  <w:noWrap w:val="0"/>
                  <w:vAlign w:val="center"/>
                </w:tcPr>
                <w:p w14:paraId="17A4CC0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DA00</w:t>
                  </w:r>
                  <w:r>
                    <w:rPr>
                      <w:rFonts w:hint="eastAsia" w:cs="Times New Roman"/>
                      <w:b w:val="0"/>
                      <w:bCs w:val="0"/>
                      <w:color w:val="auto"/>
                      <w:kern w:val="2"/>
                      <w:sz w:val="21"/>
                      <w:szCs w:val="21"/>
                      <w:highlight w:val="none"/>
                      <w:vertAlign w:val="baseline"/>
                      <w:lang w:val="en-US" w:eastAsia="zh-CN" w:bidi="ar-SA"/>
                    </w:rPr>
                    <w:t>1</w:t>
                  </w:r>
                </w:p>
              </w:tc>
              <w:tc>
                <w:tcPr>
                  <w:tcW w:w="574" w:type="dxa"/>
                  <w:vMerge w:val="restart"/>
                  <w:tcBorders>
                    <w:tl2br w:val="nil"/>
                    <w:tr2bl w:val="nil"/>
                  </w:tcBorders>
                  <w:noWrap w:val="0"/>
                  <w:vAlign w:val="center"/>
                </w:tcPr>
                <w:p w14:paraId="48F4AF8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r>
                    <w:rPr>
                      <w:rFonts w:ascii="Times New Roman" w:eastAsia="宋体"/>
                      <w:color w:val="auto"/>
                      <w:kern w:val="0"/>
                      <w:sz w:val="21"/>
                      <w:szCs w:val="21"/>
                      <w:highlight w:val="none"/>
                      <w:lang w:bidi="ar"/>
                    </w:rPr>
                    <w:t>非甲烷总烃</w:t>
                  </w:r>
                  <w:r>
                    <w:rPr>
                      <w:rFonts w:hint="eastAsia"/>
                      <w:color w:val="auto"/>
                      <w:kern w:val="0"/>
                      <w:sz w:val="21"/>
                      <w:szCs w:val="21"/>
                      <w:highlight w:val="none"/>
                      <w:lang w:eastAsia="zh-CN" w:bidi="ar"/>
                    </w:rPr>
                    <w:t>、</w:t>
                  </w:r>
                  <w:r>
                    <w:rPr>
                      <w:rFonts w:ascii="Times New Roman" w:eastAsia="宋体"/>
                      <w:color w:val="auto"/>
                      <w:kern w:val="0"/>
                      <w:sz w:val="21"/>
                      <w:szCs w:val="21"/>
                      <w:highlight w:val="none"/>
                      <w:lang w:bidi="ar"/>
                    </w:rPr>
                    <w:t>HCl</w:t>
                  </w:r>
                  <w:r>
                    <w:rPr>
                      <w:rFonts w:hint="default" w:ascii="Times New Roman" w:eastAsia="宋体"/>
                      <w:color w:val="auto"/>
                      <w:kern w:val="0"/>
                      <w:sz w:val="21"/>
                      <w:szCs w:val="21"/>
                      <w:highlight w:val="none"/>
                      <w:lang w:bidi="ar"/>
                    </w:rPr>
                    <w:t>、</w:t>
                  </w:r>
                  <w:r>
                    <w:rPr>
                      <w:rFonts w:ascii="Times New Roman" w:eastAsia="宋体"/>
                      <w:color w:val="auto"/>
                      <w:kern w:val="0"/>
                      <w:sz w:val="21"/>
                      <w:szCs w:val="21"/>
                      <w:highlight w:val="none"/>
                      <w:lang w:bidi="ar"/>
                    </w:rPr>
                    <w:t>NOx</w:t>
                  </w:r>
                </w:p>
                <w:p w14:paraId="27874C1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p>
              </w:tc>
              <w:tc>
                <w:tcPr>
                  <w:tcW w:w="592" w:type="dxa"/>
                  <w:tcBorders>
                    <w:tl2br w:val="nil"/>
                    <w:tr2bl w:val="nil"/>
                  </w:tcBorders>
                  <w:noWrap w:val="0"/>
                  <w:vAlign w:val="center"/>
                </w:tcPr>
                <w:p w14:paraId="1085E6EB">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28</w:t>
                  </w:r>
                </w:p>
              </w:tc>
              <w:tc>
                <w:tcPr>
                  <w:tcW w:w="666" w:type="dxa"/>
                  <w:tcBorders>
                    <w:tl2br w:val="nil"/>
                    <w:tr2bl w:val="nil"/>
                  </w:tcBorders>
                  <w:noWrap w:val="0"/>
                  <w:vAlign w:val="center"/>
                </w:tcPr>
                <w:p w14:paraId="418D896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0.6</w:t>
                  </w:r>
                </w:p>
              </w:tc>
              <w:tc>
                <w:tcPr>
                  <w:tcW w:w="649" w:type="dxa"/>
                  <w:tcBorders>
                    <w:tl2br w:val="nil"/>
                    <w:tr2bl w:val="nil"/>
                  </w:tcBorders>
                  <w:noWrap w:val="0"/>
                  <w:vAlign w:val="center"/>
                </w:tcPr>
                <w:p w14:paraId="339A8DE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20.0</w:t>
                  </w:r>
                </w:p>
              </w:tc>
              <w:tc>
                <w:tcPr>
                  <w:tcW w:w="1032" w:type="dxa"/>
                  <w:vMerge w:val="restart"/>
                  <w:tcBorders>
                    <w:tl2br w:val="nil"/>
                    <w:tr2bl w:val="nil"/>
                  </w:tcBorders>
                  <w:noWrap w:val="0"/>
                  <w:vAlign w:val="center"/>
                </w:tcPr>
                <w:p w14:paraId="010FBCF8">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一般排放口</w:t>
                  </w:r>
                </w:p>
              </w:tc>
              <w:tc>
                <w:tcPr>
                  <w:tcW w:w="2543" w:type="dxa"/>
                  <w:tcBorders>
                    <w:tl2br w:val="nil"/>
                    <w:tr2bl w:val="nil"/>
                  </w:tcBorders>
                  <w:noWrap w:val="0"/>
                  <w:vAlign w:val="center"/>
                </w:tcPr>
                <w:p w14:paraId="2B9959AB">
                  <w:pPr>
                    <w:bidi w:val="0"/>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E</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108°48′22.610″N</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34°19′28.410″</w:t>
                  </w:r>
                </w:p>
              </w:tc>
            </w:tr>
            <w:tr w14:paraId="1593BB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tcBorders>
                    <w:tl2br w:val="nil"/>
                    <w:tr2bl w:val="nil"/>
                  </w:tcBorders>
                  <w:noWrap w:val="0"/>
                  <w:vAlign w:val="center"/>
                </w:tcPr>
                <w:p w14:paraId="027CFA1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r>
                    <w:rPr>
                      <w:rFonts w:hint="eastAsia" w:cs="Times New Roman"/>
                      <w:b w:val="0"/>
                      <w:bCs w:val="0"/>
                      <w:color w:val="auto"/>
                      <w:kern w:val="2"/>
                      <w:sz w:val="21"/>
                      <w:szCs w:val="21"/>
                      <w:highlight w:val="none"/>
                      <w:lang w:val="en-US" w:eastAsia="zh-CN" w:bidi="ar-SA"/>
                    </w:rPr>
                    <w:t>探试</w:t>
                  </w:r>
                  <w:r>
                    <w:rPr>
                      <w:rFonts w:hint="eastAsia" w:ascii="Times New Roman" w:hAnsi="Times New Roman" w:eastAsia="宋体" w:cs="Times New Roman"/>
                      <w:b w:val="0"/>
                      <w:bCs w:val="0"/>
                      <w:color w:val="auto"/>
                      <w:kern w:val="2"/>
                      <w:sz w:val="21"/>
                      <w:szCs w:val="21"/>
                      <w:highlight w:val="none"/>
                      <w:lang w:val="en-US" w:eastAsia="zh-CN" w:bidi="ar-SA"/>
                    </w:rPr>
                    <w:t>实验室废气</w:t>
                  </w:r>
                </w:p>
              </w:tc>
              <w:tc>
                <w:tcPr>
                  <w:tcW w:w="1052" w:type="dxa"/>
                  <w:tcBorders>
                    <w:tl2br w:val="nil"/>
                    <w:tr2bl w:val="nil"/>
                  </w:tcBorders>
                  <w:noWrap w:val="0"/>
                  <w:vAlign w:val="center"/>
                </w:tcPr>
                <w:p w14:paraId="53331706">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DA00</w:t>
                  </w:r>
                  <w:r>
                    <w:rPr>
                      <w:rFonts w:hint="eastAsia" w:cs="Times New Roman"/>
                      <w:b w:val="0"/>
                      <w:bCs w:val="0"/>
                      <w:color w:val="auto"/>
                      <w:kern w:val="2"/>
                      <w:sz w:val="21"/>
                      <w:szCs w:val="21"/>
                      <w:highlight w:val="none"/>
                      <w:vertAlign w:val="baseline"/>
                      <w:lang w:val="en-US" w:eastAsia="zh-CN" w:bidi="ar-SA"/>
                    </w:rPr>
                    <w:t>2</w:t>
                  </w:r>
                </w:p>
              </w:tc>
              <w:tc>
                <w:tcPr>
                  <w:tcW w:w="574" w:type="dxa"/>
                  <w:vMerge w:val="continue"/>
                  <w:tcBorders>
                    <w:tl2br w:val="nil"/>
                    <w:tr2bl w:val="nil"/>
                  </w:tcBorders>
                  <w:noWrap w:val="0"/>
                  <w:vAlign w:val="center"/>
                </w:tcPr>
                <w:p w14:paraId="425E424F">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p>
              </w:tc>
              <w:tc>
                <w:tcPr>
                  <w:tcW w:w="592" w:type="dxa"/>
                  <w:tcBorders>
                    <w:tl2br w:val="nil"/>
                    <w:tr2bl w:val="nil"/>
                  </w:tcBorders>
                  <w:noWrap w:val="0"/>
                  <w:vAlign w:val="center"/>
                </w:tcPr>
                <w:p w14:paraId="6F3CA01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28</w:t>
                  </w:r>
                </w:p>
              </w:tc>
              <w:tc>
                <w:tcPr>
                  <w:tcW w:w="666" w:type="dxa"/>
                  <w:tcBorders>
                    <w:tl2br w:val="nil"/>
                    <w:tr2bl w:val="nil"/>
                  </w:tcBorders>
                  <w:noWrap w:val="0"/>
                  <w:vAlign w:val="center"/>
                </w:tcPr>
                <w:p w14:paraId="489D2F60">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0.6</w:t>
                  </w:r>
                </w:p>
              </w:tc>
              <w:tc>
                <w:tcPr>
                  <w:tcW w:w="649" w:type="dxa"/>
                  <w:tcBorders>
                    <w:tl2br w:val="nil"/>
                    <w:tr2bl w:val="nil"/>
                  </w:tcBorders>
                  <w:noWrap w:val="0"/>
                  <w:vAlign w:val="center"/>
                </w:tcPr>
                <w:p w14:paraId="20575B5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20</w:t>
                  </w:r>
                  <w:r>
                    <w:rPr>
                      <w:rFonts w:hint="eastAsia" w:ascii="Times New Roman" w:hAnsi="Times New Roman" w:eastAsia="宋体" w:cs="Times New Roman"/>
                      <w:b w:val="0"/>
                      <w:bCs w:val="0"/>
                      <w:color w:val="auto"/>
                      <w:kern w:val="2"/>
                      <w:sz w:val="21"/>
                      <w:szCs w:val="21"/>
                      <w:highlight w:val="none"/>
                      <w:vertAlign w:val="baseline"/>
                      <w:lang w:val="en-US" w:eastAsia="zh-CN" w:bidi="ar-SA"/>
                    </w:rPr>
                    <w:t>.0</w:t>
                  </w:r>
                </w:p>
              </w:tc>
              <w:tc>
                <w:tcPr>
                  <w:tcW w:w="1032" w:type="dxa"/>
                  <w:vMerge w:val="continue"/>
                  <w:tcBorders>
                    <w:tl2br w:val="nil"/>
                    <w:tr2bl w:val="nil"/>
                  </w:tcBorders>
                  <w:noWrap w:val="0"/>
                  <w:vAlign w:val="center"/>
                </w:tcPr>
                <w:p w14:paraId="2649FD34">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p>
              </w:tc>
              <w:tc>
                <w:tcPr>
                  <w:tcW w:w="2543" w:type="dxa"/>
                  <w:tcBorders>
                    <w:tl2br w:val="nil"/>
                    <w:tr2bl w:val="nil"/>
                  </w:tcBorders>
                  <w:shd w:val="clear" w:color="auto" w:fill="auto"/>
                  <w:noWrap w:val="0"/>
                  <w:vAlign w:val="center"/>
                </w:tcPr>
                <w:p w14:paraId="0F591CD8">
                  <w:pPr>
                    <w:bidi w:val="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E</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108°48′22.6</w:t>
                  </w:r>
                  <w:r>
                    <w:rPr>
                      <w:rFonts w:hint="eastAsia" w:cs="Times New Roman"/>
                      <w:color w:val="auto"/>
                      <w:highlight w:val="none"/>
                      <w:lang w:val="en-US" w:eastAsia="zh-CN"/>
                    </w:rPr>
                    <w:t>12</w:t>
                  </w:r>
                  <w:r>
                    <w:rPr>
                      <w:rFonts w:hint="default" w:ascii="Times New Roman" w:hAnsi="Times New Roman" w:eastAsia="宋体" w:cs="Times New Roman"/>
                      <w:color w:val="auto"/>
                      <w:highlight w:val="none"/>
                      <w:lang w:val="en-US" w:eastAsia="zh-CN"/>
                    </w:rPr>
                    <w:t>″N</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34°19′28.41</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w:t>
                  </w:r>
                </w:p>
              </w:tc>
            </w:tr>
            <w:tr w14:paraId="13F093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15" w:type="dxa"/>
                  <w:tcBorders>
                    <w:tl2br w:val="nil"/>
                    <w:tr2bl w:val="nil"/>
                  </w:tcBorders>
                  <w:noWrap w:val="0"/>
                  <w:vAlign w:val="center"/>
                </w:tcPr>
                <w:p w14:paraId="566B690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分析测试实验室废气</w:t>
                  </w:r>
                </w:p>
              </w:tc>
              <w:tc>
                <w:tcPr>
                  <w:tcW w:w="1052" w:type="dxa"/>
                  <w:tcBorders>
                    <w:tl2br w:val="nil"/>
                    <w:tr2bl w:val="nil"/>
                  </w:tcBorders>
                  <w:noWrap w:val="0"/>
                  <w:vAlign w:val="center"/>
                </w:tcPr>
                <w:p w14:paraId="676F509C">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DA00</w:t>
                  </w:r>
                  <w:r>
                    <w:rPr>
                      <w:rFonts w:hint="eastAsia" w:cs="Times New Roman"/>
                      <w:b w:val="0"/>
                      <w:bCs w:val="0"/>
                      <w:color w:val="auto"/>
                      <w:kern w:val="2"/>
                      <w:sz w:val="21"/>
                      <w:szCs w:val="21"/>
                      <w:highlight w:val="none"/>
                      <w:vertAlign w:val="baseline"/>
                      <w:lang w:val="en-US" w:eastAsia="zh-CN" w:bidi="ar-SA"/>
                    </w:rPr>
                    <w:t>3</w:t>
                  </w:r>
                </w:p>
              </w:tc>
              <w:tc>
                <w:tcPr>
                  <w:tcW w:w="574" w:type="dxa"/>
                  <w:vMerge w:val="continue"/>
                  <w:tcBorders>
                    <w:tl2br w:val="nil"/>
                    <w:tr2bl w:val="nil"/>
                  </w:tcBorders>
                  <w:noWrap w:val="0"/>
                  <w:vAlign w:val="center"/>
                </w:tcPr>
                <w:p w14:paraId="79B0B131">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p>
              </w:tc>
              <w:tc>
                <w:tcPr>
                  <w:tcW w:w="592" w:type="dxa"/>
                  <w:tcBorders>
                    <w:tl2br w:val="nil"/>
                    <w:tr2bl w:val="nil"/>
                  </w:tcBorders>
                  <w:noWrap w:val="0"/>
                  <w:vAlign w:val="center"/>
                </w:tcPr>
                <w:p w14:paraId="67252F79">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28</w:t>
                  </w:r>
                </w:p>
              </w:tc>
              <w:tc>
                <w:tcPr>
                  <w:tcW w:w="666" w:type="dxa"/>
                  <w:tcBorders>
                    <w:tl2br w:val="nil"/>
                    <w:tr2bl w:val="nil"/>
                  </w:tcBorders>
                  <w:noWrap w:val="0"/>
                  <w:vAlign w:val="center"/>
                </w:tcPr>
                <w:p w14:paraId="61A4427E">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0.75</w:t>
                  </w:r>
                </w:p>
              </w:tc>
              <w:tc>
                <w:tcPr>
                  <w:tcW w:w="649" w:type="dxa"/>
                  <w:tcBorders>
                    <w:tl2br w:val="nil"/>
                    <w:tr2bl w:val="nil"/>
                  </w:tcBorders>
                  <w:noWrap w:val="0"/>
                  <w:vAlign w:val="center"/>
                </w:tcPr>
                <w:p w14:paraId="3A327B07">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20.0</w:t>
                  </w:r>
                </w:p>
              </w:tc>
              <w:tc>
                <w:tcPr>
                  <w:tcW w:w="1032" w:type="dxa"/>
                  <w:vMerge w:val="continue"/>
                  <w:tcBorders>
                    <w:tl2br w:val="nil"/>
                    <w:tr2bl w:val="nil"/>
                  </w:tcBorders>
                  <w:noWrap w:val="0"/>
                  <w:vAlign w:val="center"/>
                </w:tcPr>
                <w:p w14:paraId="2B580D23">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p>
              </w:tc>
              <w:tc>
                <w:tcPr>
                  <w:tcW w:w="2543" w:type="dxa"/>
                  <w:tcBorders>
                    <w:tl2br w:val="nil"/>
                    <w:tr2bl w:val="nil"/>
                  </w:tcBorders>
                  <w:shd w:val="clear" w:color="auto" w:fill="auto"/>
                  <w:noWrap w:val="0"/>
                  <w:vAlign w:val="center"/>
                </w:tcPr>
                <w:p w14:paraId="2A0B0887">
                  <w:pPr>
                    <w:bidi w:val="0"/>
                    <w:rPr>
                      <w:rFonts w:hint="eastAsia"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E</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108°48′22.61</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″N</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34°19′28.41</w:t>
                  </w:r>
                  <w:r>
                    <w:rPr>
                      <w:rFonts w:hint="eastAsia" w:cs="Times New Roman"/>
                      <w:color w:val="auto"/>
                      <w:highlight w:val="none"/>
                      <w:lang w:val="en-US" w:eastAsia="zh-CN"/>
                    </w:rPr>
                    <w:t>1</w:t>
                  </w:r>
                  <w:r>
                    <w:rPr>
                      <w:rFonts w:hint="default" w:ascii="Times New Roman" w:hAnsi="Times New Roman" w:eastAsia="宋体" w:cs="Times New Roman"/>
                      <w:color w:val="auto"/>
                      <w:highlight w:val="none"/>
                      <w:lang w:val="en-US" w:eastAsia="zh-CN"/>
                    </w:rPr>
                    <w:t>″</w:t>
                  </w:r>
                </w:p>
              </w:tc>
            </w:tr>
          </w:tbl>
          <w:p w14:paraId="7C7D4D2C">
            <w:pPr>
              <w:pStyle w:val="25"/>
              <w:keepNext w:val="0"/>
              <w:keepLines w:val="0"/>
              <w:pageBreakBefore w:val="0"/>
              <w:widowControl w:val="0"/>
              <w:numPr>
                <w:ilvl w:val="0"/>
                <w:numId w:val="0"/>
              </w:numPr>
              <w:kinsoku/>
              <w:wordWrap/>
              <w:overflowPunct/>
              <w:topLinePunct w:val="0"/>
              <w:autoSpaceDE/>
              <w:autoSpaceDN/>
              <w:bidi w:val="0"/>
              <w:adjustRightInd/>
              <w:snapToGrid w:val="0"/>
              <w:spacing w:before="157" w:beforeLines="50"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4</w:t>
            </w:r>
            <w:r>
              <w:rPr>
                <w:rFonts w:hint="eastAsia" w:ascii="Times New Roman" w:hAnsi="Times New Roman" w:eastAsia="宋体" w:cs="Times New Roman"/>
                <w:b/>
                <w:bCs/>
                <w:color w:val="auto"/>
                <w:kern w:val="2"/>
                <w:sz w:val="24"/>
                <w:szCs w:val="24"/>
                <w:highlight w:val="none"/>
                <w:lang w:val="en-US" w:eastAsia="zh-CN" w:bidi="ar-SA"/>
              </w:rPr>
              <w:t xml:space="preserve"> </w:t>
            </w:r>
            <w:r>
              <w:rPr>
                <w:rFonts w:hint="eastAsia" w:cs="Times New Roman"/>
                <w:b/>
                <w:bCs/>
                <w:color w:val="auto"/>
                <w:kern w:val="2"/>
                <w:sz w:val="24"/>
                <w:szCs w:val="24"/>
                <w:highlight w:val="none"/>
                <w:lang w:val="en-US" w:eastAsia="zh-CN" w:bidi="ar-SA"/>
              </w:rPr>
              <w:t>依托</w:t>
            </w:r>
            <w:r>
              <w:rPr>
                <w:rFonts w:hint="eastAsia" w:ascii="Times New Roman" w:hAnsi="Times New Roman" w:eastAsia="宋体" w:cs="Times New Roman"/>
                <w:b/>
                <w:bCs/>
                <w:color w:val="auto"/>
                <w:kern w:val="2"/>
                <w:sz w:val="24"/>
                <w:szCs w:val="24"/>
                <w:highlight w:val="none"/>
                <w:lang w:val="en-US" w:eastAsia="zh-CN" w:bidi="ar-SA"/>
              </w:rPr>
              <w:t>排气筒合理性分析</w:t>
            </w:r>
          </w:p>
          <w:p w14:paraId="36B55F2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highlight w:val="none"/>
              </w:rPr>
            </w:pPr>
            <w:r>
              <w:rPr>
                <w:rFonts w:hint="eastAsia" w:cs="Times New Roman"/>
                <w:b w:val="0"/>
                <w:bCs w:val="0"/>
                <w:color w:val="auto"/>
                <w:kern w:val="2"/>
                <w:sz w:val="24"/>
                <w:szCs w:val="24"/>
                <w:highlight w:val="none"/>
                <w:lang w:val="en-US" w:eastAsia="zh-CN" w:bidi="ar-SA"/>
              </w:rPr>
              <w:t>本次扩建项目</w:t>
            </w:r>
            <w:r>
              <w:rPr>
                <w:rFonts w:hint="eastAsia"/>
                <w:color w:val="auto"/>
                <w:sz w:val="24"/>
                <w:highlight w:val="none"/>
              </w:rPr>
              <w:t>有机废气</w:t>
            </w:r>
            <w:r>
              <w:rPr>
                <w:rFonts w:hint="eastAsia"/>
                <w:color w:val="auto"/>
                <w:sz w:val="24"/>
                <w:highlight w:val="none"/>
                <w:lang w:val="en-US" w:eastAsia="zh-CN"/>
              </w:rPr>
              <w:t>依托现有管</w:t>
            </w:r>
            <w:r>
              <w:rPr>
                <w:rFonts w:hint="eastAsia"/>
                <w:color w:val="auto"/>
                <w:sz w:val="24"/>
                <w:highlight w:val="none"/>
              </w:rPr>
              <w:t>道引至楼顶，</w:t>
            </w:r>
            <w:r>
              <w:rPr>
                <w:rFonts w:hint="eastAsia"/>
                <w:color w:val="auto"/>
                <w:sz w:val="24"/>
                <w:highlight w:val="none"/>
                <w:lang w:val="en-US" w:eastAsia="zh-CN"/>
              </w:rPr>
              <w:t>通过现有的6套废气处理装置</w:t>
            </w:r>
            <w:r>
              <w:rPr>
                <w:rFonts w:hint="eastAsia"/>
                <w:color w:val="auto"/>
                <w:sz w:val="24"/>
                <w:highlight w:val="none"/>
              </w:rPr>
              <w:t>设备</w:t>
            </w:r>
            <w:r>
              <w:rPr>
                <w:rFonts w:hint="eastAsia"/>
                <w:color w:val="auto"/>
                <w:sz w:val="24"/>
                <w:highlight w:val="none"/>
                <w:lang w:eastAsia="zh-CN"/>
              </w:rPr>
              <w:t>（</w:t>
            </w:r>
            <w:r>
              <w:rPr>
                <w:rFonts w:hint="eastAsia"/>
                <w:color w:val="auto"/>
                <w:sz w:val="24"/>
                <w:highlight w:val="none"/>
                <w:lang w:val="en-US" w:eastAsia="zh-CN"/>
              </w:rPr>
              <w:t>在现有废气处理装置增加SDG试剂</w:t>
            </w:r>
            <w:r>
              <w:rPr>
                <w:rFonts w:hint="eastAsia"/>
                <w:color w:val="auto"/>
                <w:sz w:val="24"/>
                <w:highlight w:val="none"/>
                <w:lang w:eastAsia="zh-CN"/>
              </w:rPr>
              <w:t>）</w:t>
            </w:r>
            <w:r>
              <w:rPr>
                <w:rFonts w:hint="eastAsia"/>
                <w:color w:val="auto"/>
                <w:sz w:val="24"/>
                <w:highlight w:val="none"/>
              </w:rPr>
              <w:t>处理后经</w:t>
            </w:r>
            <w:r>
              <w:rPr>
                <w:rFonts w:hint="eastAsia"/>
                <w:color w:val="auto"/>
                <w:sz w:val="24"/>
                <w:highlight w:val="none"/>
                <w:lang w:val="en-US" w:eastAsia="zh-CN"/>
              </w:rPr>
              <w:t>现有</w:t>
            </w:r>
            <w:r>
              <w:rPr>
                <w:rFonts w:hint="eastAsia"/>
                <w:color w:val="auto"/>
                <w:sz w:val="24"/>
                <w:highlight w:val="none"/>
              </w:rPr>
              <w:t>3个排气筒排放（DA001、DA002、DA003），项目所在楼体</w:t>
            </w:r>
            <w:r>
              <w:rPr>
                <w:rFonts w:hint="eastAsia"/>
                <w:color w:val="auto"/>
                <w:sz w:val="24"/>
                <w:highlight w:val="none"/>
                <w:lang w:val="en-US" w:eastAsia="zh-CN"/>
              </w:rPr>
              <w:t>高约27</w:t>
            </w:r>
            <w:r>
              <w:rPr>
                <w:rFonts w:hint="eastAsia"/>
                <w:color w:val="auto"/>
                <w:sz w:val="24"/>
                <w:highlight w:val="none"/>
              </w:rPr>
              <w:t>m，</w:t>
            </w:r>
            <w:r>
              <w:rPr>
                <w:rFonts w:hint="eastAsia"/>
                <w:color w:val="auto"/>
                <w:sz w:val="24"/>
                <w:highlight w:val="none"/>
                <w:lang w:val="en-US" w:eastAsia="zh-CN"/>
              </w:rPr>
              <w:t>废气处理</w:t>
            </w:r>
            <w:r>
              <w:rPr>
                <w:rFonts w:hint="eastAsia"/>
                <w:color w:val="auto"/>
                <w:sz w:val="24"/>
                <w:highlight w:val="none"/>
              </w:rPr>
              <w:t>装置</w:t>
            </w:r>
            <w:r>
              <w:rPr>
                <w:rFonts w:hint="eastAsia"/>
                <w:color w:val="auto"/>
                <w:sz w:val="24"/>
                <w:highlight w:val="none"/>
                <w:lang w:eastAsia="zh-CN"/>
              </w:rPr>
              <w:t>（</w:t>
            </w:r>
            <w:r>
              <w:rPr>
                <w:rFonts w:hint="eastAsia"/>
                <w:color w:val="auto"/>
                <w:sz w:val="24"/>
                <w:highlight w:val="none"/>
                <w:lang w:val="en-US" w:eastAsia="zh-CN"/>
              </w:rPr>
              <w:t>SDG+活性炭吸附</w:t>
            </w:r>
            <w:r>
              <w:rPr>
                <w:rFonts w:hint="eastAsia"/>
                <w:color w:val="auto"/>
                <w:sz w:val="24"/>
                <w:highlight w:val="none"/>
                <w:lang w:eastAsia="zh-CN"/>
              </w:rPr>
              <w:t>）</w:t>
            </w:r>
            <w:r>
              <w:rPr>
                <w:rFonts w:hint="eastAsia"/>
                <w:color w:val="auto"/>
                <w:sz w:val="24"/>
                <w:highlight w:val="none"/>
              </w:rPr>
              <w:t>位于</w:t>
            </w:r>
            <w:r>
              <w:rPr>
                <w:rFonts w:hint="eastAsia"/>
                <w:color w:val="auto"/>
                <w:sz w:val="24"/>
                <w:highlight w:val="none"/>
                <w:lang w:eastAsia="zh-CN"/>
              </w:rPr>
              <w:t>6</w:t>
            </w:r>
            <w:r>
              <w:rPr>
                <w:rFonts w:hint="eastAsia"/>
                <w:color w:val="auto"/>
                <w:sz w:val="24"/>
                <w:highlight w:val="none"/>
              </w:rPr>
              <w:t>层楼顶，且排风立管高出</w:t>
            </w:r>
            <w:r>
              <w:rPr>
                <w:rFonts w:hint="eastAsia"/>
                <w:color w:val="auto"/>
                <w:sz w:val="24"/>
                <w:highlight w:val="none"/>
                <w:lang w:val="en-US" w:eastAsia="zh-CN"/>
              </w:rPr>
              <w:t>楼顶底</w:t>
            </w:r>
            <w:r>
              <w:rPr>
                <w:rFonts w:hint="eastAsia"/>
                <w:color w:val="auto"/>
                <w:sz w:val="24"/>
                <w:highlight w:val="none"/>
              </w:rPr>
              <w:t>面1m，</w:t>
            </w:r>
            <w:r>
              <w:rPr>
                <w:rFonts w:hint="eastAsia"/>
                <w:color w:val="auto"/>
                <w:sz w:val="24"/>
                <w:highlight w:val="none"/>
                <w:lang w:val="en-US" w:eastAsia="zh-CN"/>
              </w:rPr>
              <w:t>故</w:t>
            </w:r>
            <w:r>
              <w:rPr>
                <w:rFonts w:hint="eastAsia"/>
                <w:color w:val="auto"/>
                <w:sz w:val="24"/>
                <w:highlight w:val="none"/>
              </w:rPr>
              <w:t>排气筒高度为</w:t>
            </w:r>
            <w:r>
              <w:rPr>
                <w:rFonts w:hint="eastAsia"/>
                <w:color w:val="auto"/>
                <w:sz w:val="24"/>
                <w:highlight w:val="none"/>
                <w:lang w:eastAsia="zh-CN"/>
              </w:rPr>
              <w:t>2</w:t>
            </w:r>
            <w:r>
              <w:rPr>
                <w:rFonts w:hint="eastAsia"/>
                <w:color w:val="auto"/>
                <w:sz w:val="24"/>
                <w:highlight w:val="none"/>
                <w:lang w:val="en-US" w:eastAsia="zh-CN"/>
              </w:rPr>
              <w:t>8</w:t>
            </w:r>
            <w:r>
              <w:rPr>
                <w:rFonts w:hint="eastAsia"/>
                <w:color w:val="auto"/>
                <w:sz w:val="24"/>
                <w:highlight w:val="none"/>
              </w:rPr>
              <w:t>m。根据《制药工业大气污染物排放标准》（GB 37823-2019）中“4.7 排放光气、氰化氢和氯气的排气筒高度不低于25m，其他排气筒高度不低于15m（因安全考虑或有特殊工艺要求的除外），具体高度以及与周围建筑物的相对高度关系应根据环境影响评价文件确定。”本项目不</w:t>
            </w:r>
            <w:r>
              <w:rPr>
                <w:rFonts w:hint="eastAsia"/>
                <w:color w:val="auto"/>
                <w:sz w:val="24"/>
                <w:highlight w:val="none"/>
                <w:lang w:val="en-US" w:eastAsia="zh-CN"/>
              </w:rPr>
              <w:t>涉及</w:t>
            </w:r>
            <w:r>
              <w:rPr>
                <w:rFonts w:hint="eastAsia"/>
                <w:color w:val="auto"/>
                <w:sz w:val="24"/>
                <w:highlight w:val="none"/>
              </w:rPr>
              <w:t>光气、氰化氢和氯气排放，因此排气筒满足不低于15m的要求即可。因此</w:t>
            </w:r>
            <w:r>
              <w:rPr>
                <w:rFonts w:hint="eastAsia" w:cs="Times New Roman"/>
                <w:b w:val="0"/>
                <w:bCs w:val="0"/>
                <w:color w:val="auto"/>
                <w:kern w:val="2"/>
                <w:sz w:val="24"/>
                <w:szCs w:val="24"/>
                <w:highlight w:val="none"/>
                <w:lang w:val="en-US" w:eastAsia="zh-CN" w:bidi="ar-SA"/>
              </w:rPr>
              <w:t>本次扩建项目依托</w:t>
            </w:r>
            <w:r>
              <w:rPr>
                <w:rFonts w:hint="eastAsia"/>
                <w:color w:val="auto"/>
                <w:sz w:val="24"/>
                <w:highlight w:val="none"/>
              </w:rPr>
              <w:t>排气筒高度为2</w:t>
            </w:r>
            <w:r>
              <w:rPr>
                <w:rFonts w:hint="eastAsia"/>
                <w:color w:val="auto"/>
                <w:sz w:val="24"/>
                <w:highlight w:val="none"/>
                <w:lang w:eastAsia="zh-CN"/>
              </w:rPr>
              <w:t>8</w:t>
            </w:r>
            <w:r>
              <w:rPr>
                <w:rFonts w:hint="eastAsia"/>
                <w:color w:val="auto"/>
                <w:sz w:val="24"/>
                <w:highlight w:val="none"/>
              </w:rPr>
              <w:t>m是合理的。</w:t>
            </w:r>
            <w:r>
              <w:rPr>
                <w:rFonts w:hint="eastAsia"/>
                <w:color w:val="auto"/>
                <w:sz w:val="24"/>
                <w:highlight w:val="none"/>
                <w:lang w:val="en-US" w:eastAsia="zh-CN"/>
              </w:rPr>
              <w:t>又</w:t>
            </w:r>
            <w:r>
              <w:rPr>
                <w:rFonts w:hint="eastAsia"/>
                <w:color w:val="auto"/>
                <w:sz w:val="24"/>
                <w:highlight w:val="none"/>
              </w:rPr>
              <w:t>根据《大气污染物综合排放标准》（GB16297-1996）要求，排气筒高度除需遵守表列排放速率标准值外，还应高出周围200m半径范围的建筑5m以上，不能达到该要求的排气筒，应按其高度对应的表列排放速率标准值严格50％执行。本项目周边200m范围内最高建筑物高度约为</w:t>
            </w:r>
            <w:r>
              <w:rPr>
                <w:rFonts w:hint="eastAsia"/>
                <w:color w:val="auto"/>
                <w:sz w:val="24"/>
                <w:highlight w:val="none"/>
                <w:lang w:eastAsia="zh-CN"/>
              </w:rPr>
              <w:t>3</w:t>
            </w:r>
            <w:r>
              <w:rPr>
                <w:rFonts w:hint="eastAsia"/>
                <w:color w:val="auto"/>
                <w:sz w:val="24"/>
                <w:highlight w:val="none"/>
                <w:lang w:val="en-US" w:eastAsia="zh-CN"/>
              </w:rPr>
              <w:t>0</w:t>
            </w:r>
            <w:r>
              <w:rPr>
                <w:rFonts w:hint="eastAsia"/>
                <w:color w:val="auto"/>
                <w:sz w:val="24"/>
                <w:highlight w:val="none"/>
              </w:rPr>
              <w:t>m，排气筒高度难以达到要求，因此本项目</w:t>
            </w:r>
            <w:r>
              <w:rPr>
                <w:rFonts w:hint="eastAsia"/>
                <w:color w:val="auto"/>
                <w:sz w:val="24"/>
                <w:highlight w:val="none"/>
                <w:lang w:val="en-US" w:eastAsia="zh-CN"/>
              </w:rPr>
              <w:t>污染物有组织</w:t>
            </w:r>
            <w:r>
              <w:rPr>
                <w:rFonts w:hint="eastAsia"/>
                <w:color w:val="auto"/>
                <w:sz w:val="24"/>
                <w:highlight w:val="none"/>
              </w:rPr>
              <w:t>排放速率标准值严格50％执行。</w:t>
            </w:r>
          </w:p>
          <w:p w14:paraId="1C889044">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b/>
                <w:bCs/>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val="en-US" w:eastAsia="zh-CN"/>
              </w:rPr>
              <w:t>1.</w:t>
            </w:r>
            <w:r>
              <w:rPr>
                <w:rFonts w:hint="eastAsia" w:cs="Times New Roman"/>
                <w:b/>
                <w:bCs/>
                <w:color w:val="auto"/>
                <w:sz w:val="24"/>
                <w:szCs w:val="32"/>
                <w:highlight w:val="none"/>
                <w:lang w:val="en-US" w:eastAsia="zh-CN"/>
              </w:rPr>
              <w:t>5</w:t>
            </w:r>
            <w:r>
              <w:rPr>
                <w:rFonts w:hint="default" w:ascii="Times New Roman" w:hAnsi="Times New Roman" w:eastAsia="宋体" w:cs="Times New Roman"/>
                <w:b/>
                <w:bCs/>
                <w:color w:val="auto"/>
                <w:sz w:val="24"/>
                <w:szCs w:val="32"/>
                <w:highlight w:val="none"/>
                <w:lang w:val="en-US" w:eastAsia="zh-CN"/>
              </w:rPr>
              <w:t>环保措施可行性分析</w:t>
            </w:r>
          </w:p>
          <w:p w14:paraId="52421F66">
            <w:pPr>
              <w:adjustRightInd w:val="0"/>
              <w:snapToGrid w:val="0"/>
              <w:spacing w:line="360" w:lineRule="auto"/>
              <w:ind w:firstLine="422" w:firstLineChars="200"/>
              <w:rPr>
                <w:b/>
                <w:bCs w:val="0"/>
                <w:color w:val="auto"/>
                <w:sz w:val="24"/>
                <w:szCs w:val="20"/>
                <w:lang w:bidi="ar"/>
              </w:rPr>
            </w:pPr>
            <w:r>
              <w:rPr>
                <w:rFonts w:hint="eastAsia" w:cs="Times New Roman"/>
                <w:b/>
                <w:bCs/>
                <w:color w:val="auto"/>
                <w:szCs w:val="24"/>
                <w:highlight w:val="none"/>
                <w:lang w:val="en-US" w:eastAsia="zh-CN"/>
              </w:rPr>
              <w:t>（1）</w:t>
            </w:r>
            <w:r>
              <w:rPr>
                <w:rFonts w:hint="eastAsia" w:cs="Times New Roman"/>
                <w:b/>
                <w:bCs/>
                <w:color w:val="auto"/>
                <w:sz w:val="24"/>
                <w:szCs w:val="32"/>
                <w:highlight w:val="none"/>
                <w:lang w:val="en-US" w:eastAsia="zh-CN"/>
              </w:rPr>
              <w:t>有</w:t>
            </w:r>
            <w:r>
              <w:rPr>
                <w:b/>
                <w:bCs w:val="0"/>
                <w:color w:val="auto"/>
                <w:sz w:val="24"/>
                <w:szCs w:val="20"/>
                <w:lang w:bidi="ar"/>
              </w:rPr>
              <w:t>组织废气防治措施</w:t>
            </w:r>
            <w:r>
              <w:rPr>
                <w:rFonts w:hint="eastAsia"/>
                <w:b/>
                <w:bCs w:val="0"/>
                <w:color w:val="auto"/>
                <w:sz w:val="24"/>
                <w:szCs w:val="20"/>
                <w:lang w:val="en-US" w:eastAsia="zh-CN" w:bidi="ar"/>
              </w:rPr>
              <w:t>及</w:t>
            </w:r>
            <w:r>
              <w:rPr>
                <w:b/>
                <w:bCs w:val="0"/>
                <w:color w:val="auto"/>
                <w:sz w:val="24"/>
                <w:szCs w:val="20"/>
                <w:lang w:bidi="ar"/>
              </w:rPr>
              <w:t>其可行性分析</w:t>
            </w:r>
          </w:p>
          <w:p w14:paraId="727AFF2A">
            <w:pPr>
              <w:adjustRightInd w:val="0"/>
              <w:snapToGrid w:val="0"/>
              <w:spacing w:line="360" w:lineRule="auto"/>
              <w:ind w:firstLine="482" w:firstLineChars="200"/>
              <w:rPr>
                <w:rFonts w:hint="default" w:eastAsia="宋体"/>
                <w:b/>
                <w:bCs w:val="0"/>
                <w:color w:val="auto"/>
                <w:sz w:val="24"/>
                <w:szCs w:val="20"/>
                <w:lang w:val="en-US" w:eastAsia="zh-CN" w:bidi="ar"/>
              </w:rPr>
            </w:pPr>
            <w:r>
              <w:rPr>
                <w:rFonts w:hint="eastAsia"/>
                <w:b/>
                <w:bCs w:val="0"/>
                <w:color w:val="auto"/>
                <w:sz w:val="24"/>
                <w:szCs w:val="20"/>
                <w:lang w:val="en-US" w:eastAsia="zh-CN" w:bidi="ar"/>
              </w:rPr>
              <w:t>1.有机废气防治措施</w:t>
            </w:r>
          </w:p>
          <w:p w14:paraId="3F22879B">
            <w:pPr>
              <w:pStyle w:val="81"/>
              <w:ind w:firstLine="48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本次扩建项目依托现有废气处理装置（含SDG+活性炭，其中SDG为本次扩建项目新增），项目产生的有机废气主要利用活性炭吸附原理去除非甲烷总烃。</w:t>
            </w:r>
          </w:p>
          <w:p w14:paraId="404EA1CC">
            <w:pPr>
              <w:pStyle w:val="81"/>
              <w:ind w:firstLine="480"/>
              <w:jc w:val="both"/>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活性炭吸附法是最常用、最成熟的有机废气净化方法，其</w:t>
            </w:r>
            <w:r>
              <w:rPr>
                <w:rFonts w:hint="eastAsia" w:cs="Times New Roman"/>
                <w:b w:val="0"/>
                <w:bCs w:val="0"/>
                <w:color w:val="auto"/>
                <w:kern w:val="2"/>
                <w:sz w:val="24"/>
                <w:szCs w:val="24"/>
                <w:highlight w:val="none"/>
                <w:lang w:val="en-US" w:eastAsia="zh-CN" w:bidi="ar-SA"/>
              </w:rPr>
              <w:t>原理</w:t>
            </w:r>
            <w:r>
              <w:rPr>
                <w:rFonts w:hint="default" w:ascii="Times New Roman" w:hAnsi="Times New Roman" w:eastAsia="宋体" w:cs="Times New Roman"/>
                <w:b w:val="0"/>
                <w:bCs w:val="0"/>
                <w:color w:val="auto"/>
                <w:kern w:val="2"/>
                <w:sz w:val="24"/>
                <w:szCs w:val="24"/>
                <w:highlight w:val="none"/>
                <w:lang w:val="en-US" w:eastAsia="zh-CN" w:bidi="ar-SA"/>
              </w:rPr>
              <w:t>是利用活性炭吸附的特性把低浓度大风量废气中的有机溶剂和有机废气吸附到活性炭中并浓缩，经活性炭吸附净化后的气体直接排空，即一个吸附浓缩的过程。吸附过程具有可逆性，易于脱附再生。由于固体表面存在着不平衡和未饱和的分子引力或化学键力，当废气与大表面积的多孔性固体物质相接触时，废气中的污染物便被吸附在固体表面上，以使其与气体混合物分离而达到净化的目的。</w:t>
            </w:r>
          </w:p>
          <w:p w14:paraId="7A1614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根据《西安市挥发性有机物污染整治专项实施方案（2023-2027年）》要求，采用活性炭吸附技术的，其中颗粒碳碘吸附值不低于800mg/g或四氯化碳吸附率不低于60%，蜂窝活性炭碘吸附值不低于600mg/g或四氯化碳吸附率不低于30%，按设计要求足量添加、定期更换。</w:t>
            </w:r>
            <w:r>
              <w:rPr>
                <w:rFonts w:hint="default" w:ascii="Times New Roman" w:hAnsi="Times New Roman" w:eastAsia="宋体" w:cs="Times New Roman"/>
                <w:b w:val="0"/>
                <w:bCs w:val="0"/>
                <w:color w:val="auto"/>
                <w:kern w:val="2"/>
                <w:sz w:val="24"/>
                <w:szCs w:val="24"/>
                <w:highlight w:val="none"/>
                <w:lang w:val="en-US" w:eastAsia="zh-CN" w:bidi="ar-SA"/>
              </w:rPr>
              <w:t>项目</w:t>
            </w:r>
            <w:r>
              <w:rPr>
                <w:rFonts w:hint="eastAsia" w:cs="Times New Roman"/>
                <w:b w:val="0"/>
                <w:bCs w:val="0"/>
                <w:color w:val="auto"/>
                <w:kern w:val="2"/>
                <w:sz w:val="24"/>
                <w:szCs w:val="24"/>
                <w:highlight w:val="none"/>
                <w:lang w:val="en-US" w:eastAsia="zh-CN" w:bidi="ar-SA"/>
              </w:rPr>
              <w:t>选用的</w:t>
            </w:r>
            <w:r>
              <w:rPr>
                <w:rFonts w:hint="default" w:ascii="Times New Roman" w:hAnsi="Times New Roman" w:eastAsia="宋体" w:cs="Times New Roman"/>
                <w:b w:val="0"/>
                <w:bCs w:val="0"/>
                <w:color w:val="auto"/>
                <w:kern w:val="2"/>
                <w:sz w:val="24"/>
                <w:szCs w:val="24"/>
                <w:highlight w:val="none"/>
                <w:lang w:val="en-US" w:eastAsia="zh-CN" w:bidi="ar-SA"/>
              </w:rPr>
              <w:t>活性炭选择碘</w:t>
            </w:r>
            <w:r>
              <w:rPr>
                <w:rFonts w:hint="eastAsia" w:cs="Times New Roman"/>
                <w:b w:val="0"/>
                <w:bCs w:val="0"/>
                <w:color w:val="auto"/>
                <w:kern w:val="2"/>
                <w:sz w:val="24"/>
                <w:szCs w:val="24"/>
                <w:highlight w:val="none"/>
                <w:lang w:val="en-US" w:eastAsia="zh-CN" w:bidi="ar-SA"/>
              </w:rPr>
              <w:t>吸附值</w:t>
            </w:r>
            <w:r>
              <w:rPr>
                <w:rFonts w:hint="default" w:ascii="Times New Roman" w:hAnsi="Times New Roman" w:eastAsia="宋体" w:cs="Times New Roman"/>
                <w:b w:val="0"/>
                <w:bCs w:val="0"/>
                <w:color w:val="auto"/>
                <w:kern w:val="2"/>
                <w:sz w:val="24"/>
                <w:szCs w:val="24"/>
                <w:highlight w:val="none"/>
                <w:lang w:val="en-US" w:eastAsia="zh-CN" w:bidi="ar-SA"/>
              </w:rPr>
              <w:t>为8</w:t>
            </w:r>
            <w:r>
              <w:rPr>
                <w:rFonts w:hint="eastAsia" w:cs="Times New Roman"/>
                <w:b w:val="0"/>
                <w:bCs w:val="0"/>
                <w:color w:val="auto"/>
                <w:kern w:val="2"/>
                <w:sz w:val="24"/>
                <w:szCs w:val="24"/>
                <w:highlight w:val="none"/>
                <w:lang w:val="en-US" w:eastAsia="zh-CN" w:bidi="ar-SA"/>
              </w:rPr>
              <w:t>12</w:t>
            </w:r>
            <w:r>
              <w:rPr>
                <w:rFonts w:hint="default" w:ascii="Times New Roman" w:hAnsi="Times New Roman" w:eastAsia="宋体" w:cs="Times New Roman"/>
                <w:b w:val="0"/>
                <w:bCs w:val="0"/>
                <w:color w:val="auto"/>
                <w:kern w:val="2"/>
                <w:sz w:val="24"/>
                <w:szCs w:val="24"/>
                <w:highlight w:val="none"/>
                <w:lang w:val="en-US" w:eastAsia="zh-CN" w:bidi="ar-SA"/>
              </w:rPr>
              <w:t>mg/g的蜂窝状活性炭，根据《陕西省大气主要污染物许可排放量及实际排放量核定方法》中活性炭吸附法取值说明，</w:t>
            </w:r>
            <w:r>
              <w:rPr>
                <w:rFonts w:hint="default"/>
                <w:color w:val="auto"/>
                <w:sz w:val="24"/>
                <w:highlight w:val="none"/>
              </w:rPr>
              <w:t>蜂窝状</w:t>
            </w:r>
            <w:r>
              <w:rPr>
                <w:rFonts w:hint="default" w:ascii="Times New Roman" w:hAnsi="Times New Roman" w:eastAsia="宋体" w:cs="Times New Roman"/>
                <w:b w:val="0"/>
                <w:bCs w:val="0"/>
                <w:color w:val="auto"/>
                <w:kern w:val="2"/>
                <w:sz w:val="24"/>
                <w:szCs w:val="24"/>
                <w:highlight w:val="none"/>
                <w:lang w:val="en-US" w:eastAsia="zh-CN" w:bidi="ar-SA"/>
              </w:rPr>
              <w:t>活性炭吸附量按20%计，本项目</w:t>
            </w:r>
            <w:r>
              <w:rPr>
                <w:rFonts w:hint="eastAsia" w:cs="Times New Roman"/>
                <w:b w:val="0"/>
                <w:bCs w:val="0"/>
                <w:color w:val="auto"/>
                <w:kern w:val="2"/>
                <w:sz w:val="24"/>
                <w:szCs w:val="24"/>
                <w:highlight w:val="none"/>
                <w:lang w:val="en-US" w:eastAsia="zh-CN" w:bidi="ar-SA"/>
              </w:rPr>
              <w:t>扩建后</w:t>
            </w:r>
            <w:r>
              <w:rPr>
                <w:rFonts w:hint="default" w:ascii="Times New Roman" w:hAnsi="Times New Roman" w:eastAsia="宋体" w:cs="Times New Roman"/>
                <w:b w:val="0"/>
                <w:bCs w:val="0"/>
                <w:color w:val="auto"/>
                <w:kern w:val="2"/>
                <w:sz w:val="24"/>
                <w:szCs w:val="24"/>
                <w:highlight w:val="none"/>
                <w:lang w:val="en-US" w:eastAsia="zh-CN" w:bidi="ar-SA"/>
              </w:rPr>
              <w:t>需要吸附的有机废气量</w:t>
            </w:r>
            <w:r>
              <w:rPr>
                <w:rFonts w:hint="eastAsia" w:cs="Times New Roman"/>
                <w:b w:val="0"/>
                <w:bCs w:val="0"/>
                <w:color w:val="auto"/>
                <w:kern w:val="2"/>
                <w:sz w:val="24"/>
                <w:szCs w:val="24"/>
                <w:highlight w:val="none"/>
                <w:lang w:val="en-US" w:eastAsia="zh-CN" w:bidi="ar-SA"/>
              </w:rPr>
              <w:t>约</w:t>
            </w:r>
            <w:r>
              <w:rPr>
                <w:rFonts w:hint="default" w:ascii="Times New Roman" w:hAnsi="Times New Roman" w:eastAsia="宋体" w:cs="Times New Roman"/>
                <w:b w:val="0"/>
                <w:bCs w:val="0"/>
                <w:color w:val="auto"/>
                <w:kern w:val="2"/>
                <w:sz w:val="24"/>
                <w:szCs w:val="24"/>
                <w:highlight w:val="none"/>
                <w:lang w:val="en-US" w:eastAsia="zh-CN" w:bidi="ar-SA"/>
              </w:rPr>
              <w:t>为</w:t>
            </w:r>
            <w:r>
              <w:rPr>
                <w:rFonts w:hint="eastAsia" w:cs="Times New Roman"/>
                <w:b w:val="0"/>
                <w:bCs w:val="0"/>
                <w:color w:val="auto"/>
                <w:kern w:val="2"/>
                <w:sz w:val="24"/>
                <w:szCs w:val="24"/>
                <w:highlight w:val="none"/>
                <w:lang w:val="en-US" w:eastAsia="zh-CN" w:bidi="ar-SA"/>
              </w:rPr>
              <w:t>0.21t/a，则本项目改扩建后活性炭使用量约为1.05t/a，活性更换频率一年至少两次。现有6套废气处理装置活性炭可填充量为2.1t，按照现有活性炭更换周期为1年两次，可满足本次扩建项目，则确定废气处理设施最终6套装置年更换产生废活性炭的量约1.26t/a（含吸附的有机废气的量）。</w:t>
            </w:r>
          </w:p>
          <w:p w14:paraId="08F91053">
            <w:pPr>
              <w:keepNext w:val="0"/>
              <w:keepLines w:val="0"/>
              <w:pageBreakBefore w:val="0"/>
              <w:widowControl w:val="0"/>
              <w:kinsoku/>
              <w:wordWrap/>
              <w:overflowPunct/>
              <w:topLinePunct w:val="0"/>
              <w:autoSpaceDE/>
              <w:autoSpaceDN/>
              <w:bidi w:val="0"/>
              <w:adjustRightInd/>
              <w:snapToGrid/>
              <w:spacing w:before="0" w:beforeLines="-2147483648" w:line="360" w:lineRule="auto"/>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陕西省重点行业挥发性有机物排放控制标准》，目前已经应用在各类工业企业的VOCs处理技术有：热力燃烧、催化燃烧、吸附、生物处理（包括生物过滤、生物滴滤、生物洗涤等工艺）、等离子体氧化、吸收、冷凝、膜分离、光催化氧化等。本项目有机废气产生浓度较低，产生量较小，更适宜采用简单便捷的处理方法</w:t>
            </w:r>
            <w:r>
              <w:rPr>
                <w:rFonts w:hint="eastAsia" w:cs="Times New Roman"/>
                <w:b w:val="0"/>
                <w:bCs w:val="0"/>
                <w:color w:val="auto"/>
                <w:kern w:val="2"/>
                <w:sz w:val="24"/>
                <w:szCs w:val="24"/>
                <w:highlight w:val="none"/>
                <w:lang w:val="en-US" w:eastAsia="zh-CN" w:bidi="ar-SA"/>
              </w:rPr>
              <w:t>。实验</w:t>
            </w:r>
            <w:r>
              <w:rPr>
                <w:rFonts w:hint="default" w:ascii="Times New Roman" w:hAnsi="Times New Roman" w:eastAsia="宋体" w:cs="Times New Roman"/>
                <w:b w:val="0"/>
                <w:bCs w:val="0"/>
                <w:color w:val="auto"/>
                <w:kern w:val="2"/>
                <w:sz w:val="24"/>
                <w:szCs w:val="24"/>
                <w:highlight w:val="none"/>
                <w:lang w:val="en-US" w:eastAsia="zh-CN" w:bidi="ar-SA"/>
              </w:rPr>
              <w:t>研发过程产生的</w:t>
            </w:r>
            <w:r>
              <w:rPr>
                <w:rFonts w:hint="eastAsia" w:cs="Times New Roman"/>
                <w:b w:val="0"/>
                <w:bCs w:val="0"/>
                <w:color w:val="auto"/>
                <w:kern w:val="2"/>
                <w:sz w:val="24"/>
                <w:szCs w:val="24"/>
                <w:highlight w:val="none"/>
                <w:lang w:val="en-US" w:eastAsia="zh-CN" w:bidi="ar-SA"/>
              </w:rPr>
              <w:t>有机</w:t>
            </w:r>
            <w:r>
              <w:rPr>
                <w:rFonts w:hint="default" w:ascii="Times New Roman" w:hAnsi="Times New Roman" w:eastAsia="宋体" w:cs="Times New Roman"/>
                <w:b w:val="0"/>
                <w:bCs w:val="0"/>
                <w:color w:val="auto"/>
                <w:kern w:val="2"/>
                <w:sz w:val="24"/>
                <w:szCs w:val="24"/>
                <w:highlight w:val="none"/>
                <w:lang w:val="en-US" w:eastAsia="zh-CN" w:bidi="ar-SA"/>
              </w:rPr>
              <w:t>废气</w:t>
            </w:r>
            <w:r>
              <w:rPr>
                <w:rFonts w:hint="eastAsia" w:cs="Times New Roman"/>
                <w:b w:val="0"/>
                <w:bCs w:val="0"/>
                <w:color w:val="auto"/>
                <w:kern w:val="2"/>
                <w:sz w:val="24"/>
                <w:szCs w:val="24"/>
                <w:highlight w:val="none"/>
                <w:lang w:val="en-US" w:eastAsia="zh-CN" w:bidi="ar-SA"/>
              </w:rPr>
              <w:t>（以非甲烷总烃计）</w:t>
            </w:r>
            <w:r>
              <w:rPr>
                <w:rFonts w:hint="default" w:ascii="Times New Roman" w:hAnsi="Times New Roman" w:eastAsia="宋体" w:cs="Times New Roman"/>
                <w:b w:val="0"/>
                <w:bCs w:val="0"/>
                <w:color w:val="auto"/>
                <w:kern w:val="2"/>
                <w:sz w:val="24"/>
                <w:szCs w:val="24"/>
                <w:highlight w:val="none"/>
                <w:lang w:val="en-US" w:eastAsia="zh-CN" w:bidi="ar-SA"/>
              </w:rPr>
              <w:t>经有效收集后进入</w:t>
            </w:r>
            <w:r>
              <w:rPr>
                <w:rFonts w:hint="eastAsia" w:cs="Times New Roman"/>
                <w:b w:val="0"/>
                <w:bCs w:val="0"/>
                <w:color w:val="auto"/>
                <w:kern w:val="2"/>
                <w:sz w:val="24"/>
                <w:szCs w:val="24"/>
                <w:highlight w:val="none"/>
                <w:lang w:val="en-US" w:eastAsia="zh-CN" w:bidi="ar-SA"/>
              </w:rPr>
              <w:t>SDG+</w:t>
            </w:r>
            <w:r>
              <w:rPr>
                <w:rFonts w:hint="default" w:ascii="Times New Roman" w:hAnsi="Times New Roman" w:eastAsia="宋体" w:cs="Times New Roman"/>
                <w:b w:val="0"/>
                <w:bCs w:val="0"/>
                <w:color w:val="auto"/>
                <w:kern w:val="2"/>
                <w:sz w:val="24"/>
                <w:szCs w:val="24"/>
                <w:highlight w:val="none"/>
                <w:lang w:val="en-US" w:eastAsia="zh-CN" w:bidi="ar-SA"/>
              </w:rPr>
              <w:t>活性炭吸附装置处理</w:t>
            </w:r>
            <w:r>
              <w:rPr>
                <w:rFonts w:hint="eastAsia" w:cs="Times New Roman"/>
                <w:b w:val="0"/>
                <w:bCs w:val="0"/>
                <w:color w:val="auto"/>
                <w:kern w:val="2"/>
                <w:sz w:val="24"/>
                <w:szCs w:val="24"/>
                <w:highlight w:val="none"/>
                <w:lang w:val="en-US" w:eastAsia="zh-CN" w:bidi="ar-SA"/>
              </w:rPr>
              <w:t>（SDG吸附剂为本次扩建项目新增，可去除少量有机酸等）</w:t>
            </w:r>
            <w:r>
              <w:rPr>
                <w:rFonts w:hint="default" w:ascii="Times New Roman" w:hAnsi="Times New Roman" w:eastAsia="宋体" w:cs="Times New Roman"/>
                <w:b w:val="0"/>
                <w:bCs w:val="0"/>
                <w:color w:val="auto"/>
                <w:kern w:val="2"/>
                <w:sz w:val="24"/>
                <w:szCs w:val="24"/>
                <w:highlight w:val="none"/>
                <w:lang w:val="en-US" w:eastAsia="zh-CN" w:bidi="ar-SA"/>
              </w:rPr>
              <w:t>，尾气通过</w:t>
            </w:r>
            <w:r>
              <w:rPr>
                <w:rFonts w:hint="eastAsia" w:cs="Times New Roman"/>
                <w:b w:val="0"/>
                <w:bCs w:val="0"/>
                <w:color w:val="auto"/>
                <w:kern w:val="2"/>
                <w:sz w:val="24"/>
                <w:szCs w:val="24"/>
                <w:highlight w:val="none"/>
                <w:lang w:val="en-US" w:eastAsia="zh-CN" w:bidi="ar-SA"/>
              </w:rPr>
              <w:t>28</w:t>
            </w:r>
            <w:r>
              <w:rPr>
                <w:rFonts w:hint="default" w:ascii="Times New Roman" w:hAnsi="Times New Roman" w:eastAsia="宋体" w:cs="Times New Roman"/>
                <w:b w:val="0"/>
                <w:bCs w:val="0"/>
                <w:color w:val="auto"/>
                <w:kern w:val="2"/>
                <w:sz w:val="24"/>
                <w:szCs w:val="24"/>
                <w:highlight w:val="none"/>
                <w:lang w:val="en-US" w:eastAsia="zh-CN" w:bidi="ar-SA"/>
              </w:rPr>
              <w:t>m高的排气筒排放。废气收集方式为集气设备与废气收集管直连收集后引至废气处理设备，经活性炭吸附装置处理后引至排气筒排放（DA001，H=</w:t>
            </w:r>
            <w:r>
              <w:rPr>
                <w:rFonts w:hint="eastAsia" w:cs="Times New Roman"/>
                <w:b w:val="0"/>
                <w:bCs w:val="0"/>
                <w:color w:val="auto"/>
                <w:kern w:val="2"/>
                <w:sz w:val="24"/>
                <w:szCs w:val="24"/>
                <w:highlight w:val="none"/>
                <w:lang w:val="en-US" w:eastAsia="zh-CN" w:bidi="ar-SA"/>
              </w:rPr>
              <w:t>28</w:t>
            </w:r>
            <w:r>
              <w:rPr>
                <w:rFonts w:hint="default" w:ascii="Times New Roman" w:hAnsi="Times New Roman" w:eastAsia="宋体" w:cs="Times New Roman"/>
                <w:b w:val="0"/>
                <w:bCs w:val="0"/>
                <w:color w:val="auto"/>
                <w:kern w:val="2"/>
                <w:sz w:val="24"/>
                <w:szCs w:val="24"/>
                <w:highlight w:val="none"/>
                <w:lang w:val="en-US" w:eastAsia="zh-CN" w:bidi="ar-SA"/>
              </w:rPr>
              <w:t>m，Φ=0.</w:t>
            </w:r>
            <w:r>
              <w:rPr>
                <w:rFonts w:hint="eastAsia" w:ascii="Times New Roman" w:hAnsi="Times New Roman" w:eastAsia="宋体" w:cs="Times New Roman"/>
                <w:b w:val="0"/>
                <w:bCs w:val="0"/>
                <w:color w:val="auto"/>
                <w:kern w:val="2"/>
                <w:sz w:val="24"/>
                <w:szCs w:val="24"/>
                <w:highlight w:val="none"/>
                <w:lang w:val="en-US" w:eastAsia="zh-CN" w:bidi="ar-SA"/>
              </w:rPr>
              <w:t>6</w:t>
            </w:r>
            <w:r>
              <w:rPr>
                <w:rFonts w:hint="default" w:ascii="Times New Roman" w:hAnsi="Times New Roman" w:eastAsia="宋体" w:cs="Times New Roman"/>
                <w:b w:val="0"/>
                <w:bCs w:val="0"/>
                <w:color w:val="auto"/>
                <w:kern w:val="2"/>
                <w:sz w:val="24"/>
                <w:szCs w:val="24"/>
                <w:highlight w:val="none"/>
                <w:lang w:val="en-US" w:eastAsia="zh-CN" w:bidi="ar-SA"/>
              </w:rPr>
              <w:t>m；DA002，H=</w:t>
            </w:r>
            <w:r>
              <w:rPr>
                <w:rFonts w:hint="eastAsia" w:cs="Times New Roman"/>
                <w:b w:val="0"/>
                <w:bCs w:val="0"/>
                <w:color w:val="auto"/>
                <w:kern w:val="2"/>
                <w:sz w:val="24"/>
                <w:szCs w:val="24"/>
                <w:highlight w:val="none"/>
                <w:lang w:val="en-US" w:eastAsia="zh-CN" w:bidi="ar-SA"/>
              </w:rPr>
              <w:t>28</w:t>
            </w:r>
            <w:r>
              <w:rPr>
                <w:rFonts w:hint="default" w:ascii="Times New Roman" w:hAnsi="Times New Roman" w:eastAsia="宋体" w:cs="Times New Roman"/>
                <w:b w:val="0"/>
                <w:bCs w:val="0"/>
                <w:color w:val="auto"/>
                <w:kern w:val="2"/>
                <w:sz w:val="24"/>
                <w:szCs w:val="24"/>
                <w:highlight w:val="none"/>
                <w:lang w:val="en-US" w:eastAsia="zh-CN" w:bidi="ar-SA"/>
              </w:rPr>
              <w:t>m，Φ=0.</w:t>
            </w:r>
            <w:r>
              <w:rPr>
                <w:rFonts w:hint="eastAsia" w:ascii="Times New Roman" w:hAnsi="Times New Roman" w:eastAsia="宋体" w:cs="Times New Roman"/>
                <w:b w:val="0"/>
                <w:bCs w:val="0"/>
                <w:color w:val="auto"/>
                <w:kern w:val="2"/>
                <w:sz w:val="24"/>
                <w:szCs w:val="24"/>
                <w:highlight w:val="none"/>
                <w:lang w:val="en-US" w:eastAsia="zh-CN" w:bidi="ar-SA"/>
              </w:rPr>
              <w:t>6</w:t>
            </w:r>
            <w:r>
              <w:rPr>
                <w:rFonts w:hint="default" w:ascii="Times New Roman" w:hAnsi="Times New Roman" w:eastAsia="宋体" w:cs="Times New Roman"/>
                <w:b w:val="0"/>
                <w:bCs w:val="0"/>
                <w:color w:val="auto"/>
                <w:kern w:val="2"/>
                <w:sz w:val="24"/>
                <w:szCs w:val="24"/>
                <w:highlight w:val="none"/>
                <w:lang w:val="en-US" w:eastAsia="zh-CN" w:bidi="ar-SA"/>
              </w:rPr>
              <w:t>m；DA00</w:t>
            </w:r>
            <w:r>
              <w:rPr>
                <w:rFonts w:hint="eastAsia" w:ascii="Times New Roman" w:hAnsi="Times New Roman" w:eastAsia="宋体" w:cs="Times New Roman"/>
                <w:b w:val="0"/>
                <w:bCs w:val="0"/>
                <w:color w:val="auto"/>
                <w:kern w:val="2"/>
                <w:sz w:val="24"/>
                <w:szCs w:val="24"/>
                <w:highlight w:val="none"/>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H=</w:t>
            </w:r>
            <w:r>
              <w:rPr>
                <w:rFonts w:hint="eastAsia" w:cs="Times New Roman"/>
                <w:b w:val="0"/>
                <w:bCs w:val="0"/>
                <w:color w:val="auto"/>
                <w:kern w:val="2"/>
                <w:sz w:val="24"/>
                <w:szCs w:val="24"/>
                <w:highlight w:val="none"/>
                <w:lang w:val="en-US" w:eastAsia="zh-CN" w:bidi="ar-SA"/>
              </w:rPr>
              <w:t>28</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Φ=0.</w:t>
            </w:r>
            <w:r>
              <w:rPr>
                <w:rFonts w:hint="eastAsia" w:cs="Times New Roman"/>
                <w:b w:val="0"/>
                <w:bCs w:val="0"/>
                <w:color w:val="auto"/>
                <w:kern w:val="2"/>
                <w:sz w:val="24"/>
                <w:szCs w:val="24"/>
                <w:highlight w:val="none"/>
                <w:lang w:val="en-US" w:eastAsia="zh-CN" w:bidi="ar-SA"/>
              </w:rPr>
              <w:t>75</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eastAsia" w:cs="Times New Roman"/>
                <w:b w:val="0"/>
                <w:bCs w:val="0"/>
                <w:color w:val="auto"/>
                <w:kern w:val="2"/>
                <w:sz w:val="24"/>
                <w:szCs w:val="24"/>
                <w:highlight w:val="none"/>
                <w:lang w:val="en-US" w:eastAsia="zh-CN" w:bidi="ar-SA"/>
              </w:rPr>
              <w:t>，根据表4-1与表4-3，三个实验室非甲烷总烃有组织排放浓度排放速率满足</w:t>
            </w:r>
            <w:r>
              <w:rPr>
                <w:rFonts w:hint="eastAsia" w:ascii="Times New Roman" w:hAnsi="Times New Roman" w:eastAsia="宋体" w:cs="Times New Roman"/>
                <w:color w:val="auto"/>
                <w:kern w:val="2"/>
                <w:sz w:val="24"/>
                <w:szCs w:val="24"/>
                <w:highlight w:val="none"/>
                <w:lang w:val="en-US" w:eastAsia="zh-CN" w:bidi="ar-SA"/>
              </w:rPr>
              <w:t>《制药工业大气污染物排放标准》（GB37823-2019）表2</w:t>
            </w:r>
            <w:r>
              <w:rPr>
                <w:rFonts w:hint="eastAsia" w:cs="Times New Roman"/>
                <w:color w:val="auto"/>
                <w:kern w:val="2"/>
                <w:sz w:val="24"/>
                <w:szCs w:val="24"/>
                <w:highlight w:val="none"/>
                <w:lang w:val="en-US" w:eastAsia="zh-CN" w:bidi="ar-SA"/>
              </w:rPr>
              <w:t>中排放</w:t>
            </w:r>
            <w:r>
              <w:rPr>
                <w:rFonts w:hint="eastAsia" w:cs="Times New Roman"/>
                <w:b w:val="0"/>
                <w:bCs w:val="0"/>
                <w:color w:val="auto"/>
                <w:kern w:val="2"/>
                <w:sz w:val="24"/>
                <w:szCs w:val="24"/>
                <w:highlight w:val="none"/>
                <w:u w:val="none"/>
                <w:vertAlign w:val="baseline"/>
                <w:lang w:val="en-US" w:eastAsia="zh-CN" w:bidi="ar-SA"/>
              </w:rPr>
              <w:t>限值</w:t>
            </w:r>
            <w:r>
              <w:rPr>
                <w:rFonts w:hint="default" w:ascii="Times New Roman" w:hAnsi="Times New Roman" w:eastAsia="宋体" w:cs="Times New Roman"/>
                <w:b w:val="0"/>
                <w:bCs w:val="0"/>
                <w:color w:val="auto"/>
                <w:kern w:val="2"/>
                <w:sz w:val="24"/>
                <w:szCs w:val="24"/>
                <w:highlight w:val="none"/>
                <w:lang w:val="en-US" w:eastAsia="zh-CN" w:bidi="ar-SA"/>
              </w:rPr>
              <w:t>。</w:t>
            </w:r>
          </w:p>
          <w:p w14:paraId="6BBE3586">
            <w:pPr>
              <w:spacing w:line="480" w:lineRule="exact"/>
              <w:ind w:firstLine="482" w:firstLineChars="200"/>
              <w:rPr>
                <w:rFonts w:hint="default"/>
                <w:b/>
                <w:bCs/>
                <w:color w:val="auto"/>
                <w:sz w:val="24"/>
                <w:highlight w:val="none"/>
                <w:lang w:val="en-US" w:eastAsia="zh-CN"/>
              </w:rPr>
            </w:pPr>
            <w:r>
              <w:rPr>
                <w:rFonts w:hint="eastAsia"/>
                <w:b/>
                <w:bCs/>
                <w:color w:val="auto"/>
                <w:sz w:val="24"/>
                <w:highlight w:val="none"/>
                <w:lang w:val="en-US" w:eastAsia="zh-CN"/>
              </w:rPr>
              <w:t>（2）无机废气防治措施</w:t>
            </w:r>
          </w:p>
          <w:p w14:paraId="242D3326">
            <w:pPr>
              <w:spacing w:line="480" w:lineRule="exact"/>
              <w:ind w:firstLine="480" w:firstLineChars="200"/>
              <w:rPr>
                <w:rFonts w:hint="eastAsia"/>
                <w:color w:val="auto"/>
                <w:sz w:val="24"/>
                <w:highlight w:val="none"/>
                <w:lang w:eastAsia="zh-CN"/>
              </w:rPr>
            </w:pPr>
            <w:r>
              <w:rPr>
                <w:rFonts w:hint="eastAsia"/>
                <w:color w:val="auto"/>
                <w:sz w:val="24"/>
                <w:highlight w:val="none"/>
                <w:lang w:val="en-US" w:eastAsia="zh-CN"/>
              </w:rPr>
              <w:t>本项目探试实验室和小试实验室以及分析检测实验室反应、检测过程产生的无机废气HCl与NO</w:t>
            </w:r>
            <w:r>
              <w:rPr>
                <w:rFonts w:hint="eastAsia"/>
                <w:color w:val="auto"/>
                <w:sz w:val="24"/>
                <w:highlight w:val="none"/>
                <w:vertAlign w:val="subscript"/>
                <w:lang w:val="en-US" w:eastAsia="zh-CN"/>
              </w:rPr>
              <w:t>X</w:t>
            </w:r>
            <w:r>
              <w:rPr>
                <w:rFonts w:hint="eastAsia"/>
                <w:color w:val="auto"/>
                <w:sz w:val="24"/>
                <w:highlight w:val="none"/>
                <w:vertAlign w:val="baseline"/>
                <w:lang w:val="en-US" w:eastAsia="zh-CN"/>
              </w:rPr>
              <w:t>主要利用SDG吸附处理</w:t>
            </w:r>
            <w:r>
              <w:rPr>
                <w:rFonts w:hint="eastAsia"/>
                <w:color w:val="auto"/>
                <w:sz w:val="24"/>
                <w:highlight w:val="none"/>
                <w:lang w:eastAsia="zh-CN"/>
              </w:rPr>
              <w:t>，</w:t>
            </w:r>
            <w:r>
              <w:rPr>
                <w:rFonts w:hint="eastAsia"/>
                <w:color w:val="auto"/>
                <w:sz w:val="24"/>
                <w:highlight w:val="none"/>
                <w:lang w:val="en-US" w:eastAsia="zh-CN"/>
              </w:rPr>
              <w:t>在现有活性炭吸附装置增加SDG吸附剂，即无机废气先经过SDG吸附剂吸附</w:t>
            </w:r>
            <w:r>
              <w:rPr>
                <w:rFonts w:hint="eastAsia"/>
                <w:color w:val="auto"/>
                <w:sz w:val="24"/>
                <w:highlight w:val="none"/>
              </w:rPr>
              <w:t>处理后</w:t>
            </w:r>
            <w:r>
              <w:rPr>
                <w:rFonts w:hint="eastAsia"/>
                <w:color w:val="auto"/>
                <w:sz w:val="24"/>
                <w:highlight w:val="none"/>
                <w:lang w:val="en-US" w:eastAsia="zh-CN"/>
              </w:rPr>
              <w:t>再通过活性炭吸附处理，最后分别</w:t>
            </w:r>
            <w:r>
              <w:rPr>
                <w:rFonts w:hint="eastAsia"/>
                <w:color w:val="auto"/>
                <w:sz w:val="24"/>
                <w:highlight w:val="none"/>
              </w:rPr>
              <w:t>通过</w:t>
            </w:r>
            <w:r>
              <w:rPr>
                <w:rFonts w:hint="eastAsia"/>
                <w:color w:val="auto"/>
                <w:sz w:val="24"/>
                <w:highlight w:val="none"/>
                <w:lang w:val="en-US" w:eastAsia="zh-CN"/>
              </w:rPr>
              <w:t>高度28</w:t>
            </w:r>
            <w:r>
              <w:rPr>
                <w:rFonts w:hint="eastAsia"/>
                <w:color w:val="auto"/>
                <w:sz w:val="24"/>
                <w:highlight w:val="none"/>
              </w:rPr>
              <w:t>m排气筒DA001</w:t>
            </w:r>
            <w:r>
              <w:rPr>
                <w:rFonts w:hint="eastAsia"/>
                <w:color w:val="auto"/>
                <w:sz w:val="24"/>
                <w:highlight w:val="none"/>
                <w:lang w:eastAsia="zh-CN"/>
              </w:rPr>
              <w:t>、</w:t>
            </w:r>
            <w:r>
              <w:rPr>
                <w:rFonts w:hint="eastAsia"/>
                <w:color w:val="auto"/>
                <w:sz w:val="24"/>
                <w:highlight w:val="none"/>
                <w:lang w:val="en-US" w:eastAsia="zh-CN"/>
              </w:rPr>
              <w:t>DA002、DA003</w:t>
            </w:r>
            <w:r>
              <w:rPr>
                <w:rFonts w:hint="eastAsia"/>
                <w:color w:val="auto"/>
                <w:sz w:val="24"/>
                <w:highlight w:val="none"/>
              </w:rPr>
              <w:t>直接排放</w:t>
            </w:r>
            <w:r>
              <w:rPr>
                <w:rFonts w:hint="eastAsia"/>
                <w:color w:val="auto"/>
                <w:sz w:val="24"/>
                <w:highlight w:val="none"/>
                <w:lang w:eastAsia="zh-CN"/>
              </w:rPr>
              <w:t>。</w:t>
            </w:r>
          </w:p>
          <w:p w14:paraId="42DB275C">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rPr>
                <w:rFonts w:hint="eastAsia"/>
                <w:color w:val="auto"/>
                <w:sz w:val="24"/>
              </w:rPr>
            </w:pPr>
            <w:r>
              <w:rPr>
                <w:rFonts w:hint="eastAsia"/>
                <w:color w:val="auto"/>
                <w:sz w:val="24"/>
                <w:highlight w:val="none"/>
              </w:rPr>
              <w:t>SDG 吸附剂俗称干式酸雾吸附剂，是一种比表面积较大的固体颗粒状无机物，当被净化气体中的酸气扩散运动到达SDG吸附剂表面吸附力场时，便被固定在其表面上,然后与其中活性成分发生化学反应，生成一种新的中性盐物质而存储于SDG吸附剂结构中。SDG吸附剂对酸气</w:t>
            </w:r>
            <w:r>
              <w:rPr>
                <w:rFonts w:hint="eastAsia"/>
                <w:color w:val="auto"/>
                <w:sz w:val="24"/>
              </w:rPr>
              <w:t>的净化是一个多功能的综合作用，除了一般的物理吸附外，还有化学吸附，粒子吸附，催化作用，化学反应等。该吸附剂已在多个行业中得到成功的应用，它可以净化硫酸、硝酸、盐酸、氢氟酸、醋酸等各种酸雾，根据工程实例</w:t>
            </w:r>
            <w:r>
              <w:rPr>
                <w:rFonts w:hint="eastAsia"/>
                <w:color w:val="auto"/>
                <w:sz w:val="24"/>
                <w:lang w:eastAsia="zh-CN"/>
              </w:rPr>
              <w:t>：</w:t>
            </w:r>
            <w:r>
              <w:rPr>
                <w:rFonts w:hint="eastAsia"/>
                <w:color w:val="auto"/>
                <w:sz w:val="24"/>
              </w:rPr>
              <w:t>《治理多种酸气的 SDG 吸附剂》（北京工业大学环境与能源工程学院）表明 SDG 吸附剂对 HCl、H</w:t>
            </w:r>
            <w:r>
              <w:rPr>
                <w:rFonts w:hint="eastAsia"/>
                <w:color w:val="auto"/>
                <w:sz w:val="24"/>
                <w:vertAlign w:val="subscript"/>
              </w:rPr>
              <w:t>2</w:t>
            </w:r>
            <w:r>
              <w:rPr>
                <w:rFonts w:hint="eastAsia"/>
                <w:color w:val="auto"/>
                <w:sz w:val="24"/>
              </w:rPr>
              <w:t>SO4、NOx、HF 等酸气的净化率为95～99.5%；对多种酸气可同时净化，并且均可达到 95%以上的净化率。故本项目利用SDG</w:t>
            </w:r>
            <w:r>
              <w:rPr>
                <w:rFonts w:hint="eastAsia"/>
                <w:color w:val="auto"/>
                <w:sz w:val="24"/>
                <w:lang w:val="en-US" w:eastAsia="zh-CN"/>
              </w:rPr>
              <w:t>吸附剂</w:t>
            </w:r>
            <w:r>
              <w:rPr>
                <w:rFonts w:hint="eastAsia"/>
                <w:color w:val="auto"/>
                <w:sz w:val="24"/>
              </w:rPr>
              <w:t>对</w:t>
            </w:r>
            <w:r>
              <w:rPr>
                <w:rFonts w:hint="eastAsia"/>
                <w:color w:val="auto"/>
                <w:sz w:val="24"/>
                <w:lang w:val="en-US" w:eastAsia="zh-CN"/>
              </w:rPr>
              <w:t>项目</w:t>
            </w:r>
            <w:r>
              <w:rPr>
                <w:rFonts w:hint="eastAsia"/>
                <w:color w:val="auto"/>
                <w:sz w:val="24"/>
              </w:rPr>
              <w:t>酸雾废气进行处理是可行的。</w:t>
            </w:r>
          </w:p>
          <w:p w14:paraId="1EEF39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auto"/>
                <w:sz w:val="24"/>
                <w:highlight w:val="none"/>
                <w:lang w:val="en-US" w:eastAsia="zh-CN"/>
              </w:rPr>
            </w:pPr>
            <w:r>
              <w:rPr>
                <w:rFonts w:hint="eastAsia" w:cs="Times New Roman"/>
                <w:b w:val="0"/>
                <w:bCs w:val="0"/>
                <w:color w:val="auto"/>
                <w:kern w:val="2"/>
                <w:sz w:val="24"/>
                <w:szCs w:val="24"/>
                <w:highlight w:val="none"/>
                <w:lang w:val="en-US" w:eastAsia="zh-CN" w:bidi="ar-SA"/>
              </w:rPr>
              <w:t>类比已取得环评批复</w:t>
            </w:r>
            <w:r>
              <w:rPr>
                <w:rFonts w:hint="eastAsia"/>
                <w:color w:val="auto"/>
                <w:sz w:val="24"/>
                <w:highlight w:val="none"/>
              </w:rPr>
              <w:t>绵阳市涪城生态环境监测站实验室建设项目</w:t>
            </w:r>
            <w:r>
              <w:rPr>
                <w:rFonts w:hint="eastAsia" w:cs="Times New Roman"/>
                <w:b w:val="0"/>
                <w:bCs w:val="0"/>
                <w:color w:val="auto"/>
                <w:kern w:val="2"/>
                <w:sz w:val="24"/>
                <w:szCs w:val="24"/>
                <w:highlight w:val="none"/>
                <w:lang w:val="en-US" w:eastAsia="zh-CN" w:bidi="ar-SA"/>
              </w:rPr>
              <w:t>，SDG吸附装置+活性炭对酸性废气处理效率取80%计算</w:t>
            </w:r>
            <w:r>
              <w:rPr>
                <w:rFonts w:hint="eastAsia"/>
                <w:color w:val="auto"/>
                <w:sz w:val="24"/>
              </w:rPr>
              <w:t>。采取上述措施后，根据表4-</w:t>
            </w:r>
            <w:r>
              <w:rPr>
                <w:rFonts w:hint="eastAsia"/>
                <w:color w:val="auto"/>
                <w:sz w:val="24"/>
                <w:lang w:eastAsia="zh-CN"/>
              </w:rPr>
              <w:t>2</w:t>
            </w:r>
            <w:r>
              <w:rPr>
                <w:rFonts w:hint="eastAsia"/>
                <w:color w:val="auto"/>
                <w:sz w:val="24"/>
              </w:rPr>
              <w:t>结果可知，本项目</w:t>
            </w:r>
            <w:r>
              <w:rPr>
                <w:rFonts w:hint="eastAsia"/>
                <w:color w:val="auto"/>
                <w:sz w:val="24"/>
                <w:lang w:val="en-US" w:eastAsia="zh-CN"/>
              </w:rPr>
              <w:t>HCl</w:t>
            </w:r>
            <w:r>
              <w:rPr>
                <w:rFonts w:hint="eastAsia"/>
                <w:color w:val="auto"/>
                <w:sz w:val="24"/>
              </w:rPr>
              <w:t>排放可以满足</w:t>
            </w:r>
            <w:r>
              <w:rPr>
                <w:rFonts w:hint="eastAsia"/>
                <w:color w:val="auto"/>
                <w:sz w:val="24"/>
                <w:highlight w:val="none"/>
              </w:rPr>
              <w:t>《制药工业大气污染物排放标准》（GB 37823-2019）表2大气污染物特别排放限值及表4企业边界大气污染物浓度限值</w:t>
            </w:r>
            <w:r>
              <w:rPr>
                <w:rFonts w:hint="eastAsia"/>
                <w:color w:val="auto"/>
                <w:sz w:val="24"/>
              </w:rPr>
              <w:t>。</w:t>
            </w:r>
            <w:r>
              <w:rPr>
                <w:rFonts w:hint="eastAsia"/>
                <w:color w:val="auto"/>
                <w:sz w:val="24"/>
                <w:lang w:val="en-US" w:eastAsia="zh-CN"/>
              </w:rPr>
              <w:t>NOx排放满足</w:t>
            </w:r>
            <w:r>
              <w:rPr>
                <w:rFonts w:hint="eastAsia"/>
                <w:color w:val="auto"/>
                <w:sz w:val="24"/>
                <w:highlight w:val="none"/>
              </w:rPr>
              <w:t>《大气污染物综合排放标准》（GB16297-1996）表2有组织及无组织标准限值</w:t>
            </w:r>
            <w:r>
              <w:rPr>
                <w:rFonts w:hint="eastAsia"/>
                <w:color w:val="auto"/>
                <w:sz w:val="24"/>
                <w:highlight w:val="none"/>
                <w:lang w:eastAsia="zh-CN"/>
              </w:rPr>
              <w:t>，</w:t>
            </w:r>
            <w:r>
              <w:rPr>
                <w:rFonts w:hint="eastAsia"/>
                <w:color w:val="auto"/>
                <w:sz w:val="24"/>
                <w:highlight w:val="none"/>
                <w:lang w:val="en-US" w:eastAsia="zh-CN"/>
              </w:rPr>
              <w:t>其中排放速率满足</w:t>
            </w:r>
            <w:r>
              <w:rPr>
                <w:rFonts w:hint="eastAsia"/>
                <w:color w:val="auto"/>
                <w:sz w:val="24"/>
                <w:szCs w:val="24"/>
                <w:highlight w:val="none"/>
                <w:lang w:val="en-US" w:eastAsia="zh-CN"/>
              </w:rPr>
              <w:t>28m排放高度对应最高允许排放速率按50%</w:t>
            </w:r>
            <w:r>
              <w:rPr>
                <w:rFonts w:hint="eastAsia"/>
                <w:color w:val="auto"/>
                <w:sz w:val="24"/>
                <w:highlight w:val="none"/>
                <w:lang w:val="en-US" w:eastAsia="zh-CN"/>
              </w:rPr>
              <w:t>执行</w:t>
            </w:r>
            <w:r>
              <w:rPr>
                <w:rFonts w:hint="eastAsia"/>
                <w:color w:val="auto"/>
                <w:sz w:val="24"/>
                <w:highlight w:val="none"/>
                <w:lang w:eastAsia="zh-CN"/>
              </w:rPr>
              <w:t>。</w:t>
            </w:r>
          </w:p>
          <w:p w14:paraId="27BEE3F1">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综上所述，本次扩建项目产生有机废气与无机废气依托SDG+活性炭吸附装置</w:t>
            </w:r>
            <w:r>
              <w:rPr>
                <w:rFonts w:hint="default" w:ascii="Times New Roman" w:hAnsi="Times New Roman" w:eastAsia="宋体" w:cs="Times New Roman"/>
                <w:b w:val="0"/>
                <w:bCs w:val="0"/>
                <w:color w:val="auto"/>
                <w:kern w:val="2"/>
                <w:sz w:val="24"/>
                <w:szCs w:val="24"/>
                <w:highlight w:val="none"/>
                <w:lang w:val="en-US" w:eastAsia="zh-CN" w:bidi="ar-SA"/>
              </w:rPr>
              <w:t>处理后，废气可</w:t>
            </w:r>
            <w:r>
              <w:rPr>
                <w:rFonts w:hint="eastAsia" w:cs="Times New Roman"/>
                <w:b w:val="0"/>
                <w:bCs w:val="0"/>
                <w:color w:val="auto"/>
                <w:kern w:val="2"/>
                <w:sz w:val="24"/>
                <w:szCs w:val="24"/>
                <w:highlight w:val="none"/>
                <w:lang w:val="en-US" w:eastAsia="zh-CN" w:bidi="ar-SA"/>
              </w:rPr>
              <w:t>稳定</w:t>
            </w:r>
            <w:r>
              <w:rPr>
                <w:rFonts w:hint="default" w:ascii="Times New Roman" w:hAnsi="Times New Roman" w:eastAsia="宋体" w:cs="Times New Roman"/>
                <w:b w:val="0"/>
                <w:bCs w:val="0"/>
                <w:color w:val="auto"/>
                <w:kern w:val="2"/>
                <w:sz w:val="24"/>
                <w:szCs w:val="24"/>
                <w:highlight w:val="none"/>
                <w:lang w:val="en-US" w:eastAsia="zh-CN" w:bidi="ar-SA"/>
              </w:rPr>
              <w:t>达标排放，并且对周围环境影响较小。</w:t>
            </w:r>
          </w:p>
          <w:p w14:paraId="08AA8114">
            <w:pPr>
              <w:adjustRightInd w:val="0"/>
              <w:snapToGrid w:val="0"/>
              <w:spacing w:line="360" w:lineRule="auto"/>
              <w:ind w:firstLine="442" w:firstLineChars="200"/>
              <w:rPr>
                <w:b/>
                <w:bCs w:val="0"/>
                <w:color w:val="auto"/>
                <w:sz w:val="24"/>
                <w:szCs w:val="20"/>
                <w:lang w:bidi="ar"/>
              </w:rPr>
            </w:pPr>
            <w:r>
              <w:rPr>
                <w:b/>
                <w:bCs w:val="0"/>
                <w:color w:val="auto"/>
                <w:spacing w:val="-10"/>
                <w:sz w:val="24"/>
              </w:rPr>
              <w:t>（</w:t>
            </w:r>
            <w:r>
              <w:rPr>
                <w:rFonts w:hint="eastAsia"/>
                <w:b/>
                <w:bCs w:val="0"/>
                <w:color w:val="auto"/>
                <w:sz w:val="24"/>
                <w:szCs w:val="20"/>
                <w:lang w:val="en-US" w:eastAsia="zh-CN" w:bidi="ar"/>
              </w:rPr>
              <w:t>2</w:t>
            </w:r>
            <w:r>
              <w:rPr>
                <w:b/>
                <w:bCs w:val="0"/>
                <w:color w:val="auto"/>
                <w:sz w:val="24"/>
                <w:szCs w:val="20"/>
                <w:lang w:bidi="ar"/>
              </w:rPr>
              <w:t>）无组织废气防治措施及其可行性分析</w:t>
            </w:r>
          </w:p>
          <w:p w14:paraId="27AA62B7">
            <w:pPr>
              <w:adjustRightInd w:val="0"/>
              <w:snapToGrid w:val="0"/>
              <w:spacing w:line="360" w:lineRule="auto"/>
              <w:ind w:firstLine="480" w:firstLineChars="200"/>
              <w:rPr>
                <w:color w:val="auto"/>
                <w:sz w:val="24"/>
                <w:szCs w:val="20"/>
                <w:lang w:bidi="ar"/>
              </w:rPr>
            </w:pPr>
            <w:r>
              <w:rPr>
                <w:color w:val="auto"/>
                <w:sz w:val="24"/>
                <w:szCs w:val="20"/>
                <w:lang w:bidi="ar"/>
              </w:rPr>
              <w:t>项目建成后，其大气无组织污染物主要</w:t>
            </w:r>
            <w:r>
              <w:rPr>
                <w:rFonts w:hint="default" w:ascii="Times New Roman" w:hAnsi="Times New Roman" w:cs="Times New Roman"/>
                <w:color w:val="auto"/>
                <w:sz w:val="24"/>
                <w:szCs w:val="20"/>
                <w:lang w:bidi="ar"/>
              </w:rPr>
              <w:t>是</w:t>
            </w:r>
            <w:r>
              <w:rPr>
                <w:rFonts w:hint="eastAsia" w:ascii="Times New Roman" w:hAnsi="Times New Roman" w:cs="Times New Roman"/>
                <w:color w:val="auto"/>
                <w:sz w:val="24"/>
                <w:szCs w:val="20"/>
                <w:lang w:val="en-US" w:eastAsia="zh-CN" w:bidi="ar"/>
              </w:rPr>
              <w:t>非甲烷总烃</w:t>
            </w:r>
            <w:r>
              <w:rPr>
                <w:rFonts w:hint="eastAsia" w:cs="Times New Roman"/>
                <w:color w:val="auto"/>
                <w:sz w:val="24"/>
                <w:szCs w:val="20"/>
                <w:lang w:val="en-US" w:eastAsia="zh-CN" w:bidi="ar"/>
              </w:rPr>
              <w:t>、HCl、NO</w:t>
            </w:r>
            <w:r>
              <w:rPr>
                <w:rFonts w:hint="eastAsia" w:cs="Times New Roman"/>
                <w:color w:val="auto"/>
                <w:sz w:val="24"/>
                <w:szCs w:val="20"/>
                <w:vertAlign w:val="subscript"/>
                <w:lang w:val="en-US" w:eastAsia="zh-CN" w:bidi="ar"/>
              </w:rPr>
              <w:t>X</w:t>
            </w:r>
            <w:r>
              <w:rPr>
                <w:rFonts w:hint="default" w:ascii="Times New Roman" w:hAnsi="Times New Roman" w:cs="Times New Roman"/>
                <w:color w:val="auto"/>
                <w:sz w:val="24"/>
                <w:szCs w:val="20"/>
                <w:lang w:bidi="ar"/>
              </w:rPr>
              <w:t>。</w:t>
            </w:r>
            <w:r>
              <w:rPr>
                <w:color w:val="auto"/>
                <w:sz w:val="24"/>
                <w:szCs w:val="20"/>
                <w:lang w:bidi="ar"/>
              </w:rPr>
              <w:t>根据建设项目的特点，拟采取如下防治措施与建议：</w:t>
            </w:r>
          </w:p>
          <w:p w14:paraId="62AFC72E">
            <w:pPr>
              <w:adjustRightInd w:val="0"/>
              <w:snapToGrid w:val="0"/>
              <w:spacing w:line="360" w:lineRule="auto"/>
              <w:ind w:firstLine="480" w:firstLineChars="200"/>
              <w:rPr>
                <w:color w:val="auto"/>
                <w:sz w:val="24"/>
                <w:szCs w:val="20"/>
                <w:lang w:bidi="ar"/>
              </w:rPr>
            </w:pPr>
            <w:r>
              <w:rPr>
                <w:color w:val="auto"/>
                <w:sz w:val="24"/>
                <w:szCs w:val="20"/>
                <w:lang w:bidi="ar"/>
              </w:rPr>
              <w:t>①生产过程中保证</w:t>
            </w:r>
            <w:r>
              <w:rPr>
                <w:rFonts w:hint="eastAsia"/>
                <w:color w:val="auto"/>
                <w:sz w:val="24"/>
                <w:szCs w:val="20"/>
                <w:lang w:val="en-US" w:eastAsia="zh-CN" w:bidi="ar"/>
              </w:rPr>
              <w:t>通风柜</w:t>
            </w:r>
            <w:r>
              <w:rPr>
                <w:color w:val="auto"/>
                <w:sz w:val="24"/>
                <w:szCs w:val="20"/>
                <w:lang w:bidi="ar"/>
              </w:rPr>
              <w:t>、排气管道等密封性完好，若有破损应及时养护修理，保证无废气泄</w:t>
            </w:r>
            <w:r>
              <w:rPr>
                <w:rFonts w:hint="eastAsia"/>
                <w:color w:val="auto"/>
                <w:sz w:val="24"/>
                <w:szCs w:val="20"/>
                <w:lang w:bidi="ar"/>
              </w:rPr>
              <w:t>漏</w:t>
            </w:r>
            <w:r>
              <w:rPr>
                <w:color w:val="auto"/>
                <w:sz w:val="24"/>
                <w:szCs w:val="20"/>
                <w:lang w:bidi="ar"/>
              </w:rPr>
              <w:t>，从而减少无组织废气产生量；</w:t>
            </w:r>
          </w:p>
          <w:p w14:paraId="403E5089">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color w:val="auto"/>
                <w:sz w:val="24"/>
                <w:szCs w:val="20"/>
                <w:lang w:bidi="ar"/>
              </w:rPr>
              <w:t>②运营时，应加强环保管理，确保废气治理措施相关的风机等正常运行，最大程度减少非正常排放</w:t>
            </w:r>
            <w:r>
              <w:rPr>
                <w:rFonts w:hint="eastAsia"/>
                <w:color w:val="auto"/>
                <w:sz w:val="24"/>
                <w:szCs w:val="20"/>
                <w:lang w:eastAsia="zh-CN" w:bidi="ar"/>
              </w:rPr>
              <w:t>。</w:t>
            </w:r>
            <w:r>
              <w:rPr>
                <w:rFonts w:hint="eastAsia" w:cs="Times New Roman"/>
                <w:b w:val="0"/>
                <w:bCs w:val="0"/>
                <w:color w:val="auto"/>
                <w:kern w:val="2"/>
                <w:sz w:val="24"/>
                <w:szCs w:val="24"/>
                <w:highlight w:val="none"/>
                <w:lang w:val="en-US" w:eastAsia="zh-CN" w:bidi="ar-SA"/>
              </w:rPr>
              <w:t xml:space="preserve">  </w:t>
            </w:r>
          </w:p>
          <w:p w14:paraId="0A59E26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6</w:t>
            </w:r>
            <w:r>
              <w:rPr>
                <w:rFonts w:hint="eastAsia" w:ascii="Times New Roman" w:hAnsi="Times New Roman" w:eastAsia="宋体" w:cs="Times New Roman"/>
                <w:b/>
                <w:bCs/>
                <w:color w:val="auto"/>
                <w:kern w:val="2"/>
                <w:sz w:val="24"/>
                <w:szCs w:val="24"/>
                <w:highlight w:val="none"/>
                <w:lang w:val="en-US" w:eastAsia="zh-CN" w:bidi="ar-SA"/>
              </w:rPr>
              <w:t xml:space="preserve"> 废气监测计划</w:t>
            </w:r>
          </w:p>
          <w:p w14:paraId="08254672">
            <w:pPr>
              <w:adjustRightInd w:val="0"/>
              <w:snapToGrid w:val="0"/>
              <w:spacing w:line="360" w:lineRule="auto"/>
              <w:ind w:firstLine="480" w:firstLineChars="200"/>
              <w:rPr>
                <w:rFonts w:ascii="Times New Roman" w:hAnsi="Times New Roman" w:eastAsia="宋体" w:cs="Times New Roman"/>
                <w:color w:val="auto"/>
                <w:sz w:val="24"/>
                <w:szCs w:val="20"/>
                <w:lang w:bidi="ar"/>
              </w:rPr>
            </w:pPr>
            <w:r>
              <w:rPr>
                <w:rFonts w:hint="default" w:ascii="Times New Roman" w:hAnsi="Times New Roman" w:eastAsia="宋体" w:cs="Times New Roman"/>
                <w:b w:val="0"/>
                <w:bCs w:val="0"/>
                <w:color w:val="auto"/>
                <w:kern w:val="2"/>
                <w:sz w:val="24"/>
                <w:szCs w:val="20"/>
                <w:lang w:val="en-US" w:eastAsia="zh-CN" w:bidi="ar"/>
              </w:rPr>
              <w:t>根据本项目运营期各项污染物的污染特点及《排污单位自行监测技术指南总则》（HJ819-2017）中的相关监测要求，制定了本项目废气运营期污染源与环境监测计划表，见表4-</w:t>
            </w:r>
            <w:r>
              <w:rPr>
                <w:rFonts w:hint="eastAsia" w:cs="Times New Roman"/>
                <w:b w:val="0"/>
                <w:bCs w:val="0"/>
                <w:color w:val="auto"/>
                <w:kern w:val="2"/>
                <w:sz w:val="24"/>
                <w:szCs w:val="20"/>
                <w:lang w:val="en-US" w:eastAsia="zh-CN" w:bidi="ar"/>
              </w:rPr>
              <w:t>6</w:t>
            </w:r>
            <w:r>
              <w:rPr>
                <w:rFonts w:hint="default" w:ascii="Times New Roman" w:hAnsi="Times New Roman" w:eastAsia="宋体" w:cs="Times New Roman"/>
                <w:b w:val="0"/>
                <w:bCs w:val="0"/>
                <w:color w:val="auto"/>
                <w:kern w:val="2"/>
                <w:sz w:val="24"/>
                <w:szCs w:val="20"/>
                <w:lang w:val="en-US" w:eastAsia="zh-CN" w:bidi="ar"/>
              </w:rPr>
              <w:t>。</w:t>
            </w:r>
          </w:p>
          <w:p w14:paraId="655727B1"/>
          <w:p w14:paraId="6F005C40">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表4-</w:t>
            </w:r>
            <w:r>
              <w:rPr>
                <w:rFonts w:hint="eastAsia" w:cs="Times New Roman"/>
                <w:b/>
                <w:bCs/>
                <w:color w:val="auto"/>
                <w:kern w:val="2"/>
                <w:sz w:val="24"/>
                <w:szCs w:val="24"/>
                <w:highlight w:val="none"/>
                <w:lang w:val="en-US" w:eastAsia="zh-CN" w:bidi="ar-SA"/>
              </w:rPr>
              <w:t>6</w:t>
            </w:r>
            <w:r>
              <w:rPr>
                <w:rFonts w:hint="eastAsia" w:ascii="Times New Roman" w:hAnsi="Times New Roman" w:eastAsia="宋体" w:cs="Times New Roman"/>
                <w:b/>
                <w:bCs/>
                <w:color w:val="auto"/>
                <w:kern w:val="2"/>
                <w:sz w:val="24"/>
                <w:szCs w:val="24"/>
                <w:highlight w:val="none"/>
                <w:lang w:val="en-US" w:eastAsia="zh-CN" w:bidi="ar-SA"/>
              </w:rPr>
              <w:t xml:space="preserve"> 运营期废气污染源环境监测计划</w:t>
            </w:r>
          </w:p>
          <w:tbl>
            <w:tblPr>
              <w:tblStyle w:val="31"/>
              <w:tblW w:w="81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5"/>
              <w:gridCol w:w="825"/>
              <w:gridCol w:w="887"/>
              <w:gridCol w:w="2063"/>
              <w:gridCol w:w="787"/>
              <w:gridCol w:w="2692"/>
            </w:tblGrid>
            <w:tr w14:paraId="53C371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tcBorders>
                    <w:tl2br w:val="nil"/>
                    <w:tr2bl w:val="nil"/>
                  </w:tcBorders>
                  <w:noWrap w:val="0"/>
                  <w:vAlign w:val="center"/>
                </w:tcPr>
                <w:p w14:paraId="42A0549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污染源</w:t>
                  </w:r>
                </w:p>
              </w:tc>
              <w:tc>
                <w:tcPr>
                  <w:tcW w:w="1712" w:type="dxa"/>
                  <w:gridSpan w:val="2"/>
                  <w:tcBorders>
                    <w:tl2br w:val="nil"/>
                    <w:tr2bl w:val="nil"/>
                  </w:tcBorders>
                  <w:noWrap w:val="0"/>
                  <w:vAlign w:val="center"/>
                </w:tcPr>
                <w:p w14:paraId="77624F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监测项目</w:t>
                  </w:r>
                </w:p>
              </w:tc>
              <w:tc>
                <w:tcPr>
                  <w:tcW w:w="2063" w:type="dxa"/>
                  <w:tcBorders>
                    <w:tl2br w:val="nil"/>
                    <w:tr2bl w:val="nil"/>
                  </w:tcBorders>
                  <w:noWrap w:val="0"/>
                  <w:vAlign w:val="center"/>
                </w:tcPr>
                <w:p w14:paraId="72D3AC3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监测点</w:t>
                  </w:r>
                </w:p>
              </w:tc>
              <w:tc>
                <w:tcPr>
                  <w:tcW w:w="787" w:type="dxa"/>
                  <w:tcBorders>
                    <w:tl2br w:val="nil"/>
                    <w:tr2bl w:val="nil"/>
                  </w:tcBorders>
                  <w:noWrap w:val="0"/>
                  <w:vAlign w:val="center"/>
                </w:tcPr>
                <w:p w14:paraId="516B6A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监测频率</w:t>
                  </w:r>
                </w:p>
              </w:tc>
              <w:tc>
                <w:tcPr>
                  <w:tcW w:w="2692" w:type="dxa"/>
                  <w:tcBorders>
                    <w:tl2br w:val="nil"/>
                    <w:tr2bl w:val="nil"/>
                  </w:tcBorders>
                  <w:noWrap w:val="0"/>
                  <w:vAlign w:val="center"/>
                </w:tcPr>
                <w:p w14:paraId="2696AC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标准</w:t>
                  </w:r>
                </w:p>
              </w:tc>
            </w:tr>
            <w:tr w14:paraId="759D9C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restart"/>
                  <w:tcBorders>
                    <w:tl2br w:val="nil"/>
                    <w:tr2bl w:val="nil"/>
                  </w:tcBorders>
                  <w:noWrap w:val="0"/>
                  <w:vAlign w:val="center"/>
                </w:tcPr>
                <w:p w14:paraId="0D01FB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废气</w:t>
                  </w:r>
                </w:p>
              </w:tc>
              <w:tc>
                <w:tcPr>
                  <w:tcW w:w="825" w:type="dxa"/>
                  <w:vMerge w:val="restart"/>
                  <w:tcBorders>
                    <w:tl2br w:val="nil"/>
                    <w:tr2bl w:val="nil"/>
                  </w:tcBorders>
                  <w:noWrap w:val="0"/>
                  <w:vAlign w:val="center"/>
                </w:tcPr>
                <w:p w14:paraId="4E5130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非甲烷总烃</w:t>
                  </w:r>
                </w:p>
              </w:tc>
              <w:tc>
                <w:tcPr>
                  <w:tcW w:w="887" w:type="dxa"/>
                  <w:tcBorders>
                    <w:tl2br w:val="nil"/>
                    <w:tr2bl w:val="nil"/>
                  </w:tcBorders>
                  <w:noWrap w:val="0"/>
                  <w:vAlign w:val="center"/>
                </w:tcPr>
                <w:p w14:paraId="1DC697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有组织</w:t>
                  </w:r>
                </w:p>
              </w:tc>
              <w:tc>
                <w:tcPr>
                  <w:tcW w:w="2063" w:type="dxa"/>
                  <w:tcBorders>
                    <w:tl2br w:val="nil"/>
                    <w:tr2bl w:val="nil"/>
                  </w:tcBorders>
                  <w:noWrap w:val="0"/>
                  <w:vAlign w:val="center"/>
                </w:tcPr>
                <w:p w14:paraId="63C4AC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DA001、DA002、DA003废气进、出口</w:t>
                  </w:r>
                </w:p>
              </w:tc>
              <w:tc>
                <w:tcPr>
                  <w:tcW w:w="787" w:type="dxa"/>
                  <w:vMerge w:val="restart"/>
                  <w:tcBorders>
                    <w:tl2br w:val="nil"/>
                    <w:tr2bl w:val="nil"/>
                  </w:tcBorders>
                  <w:noWrap w:val="0"/>
                  <w:vAlign w:val="center"/>
                </w:tcPr>
                <w:p w14:paraId="33EABA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1次/年</w:t>
                  </w:r>
                </w:p>
              </w:tc>
              <w:tc>
                <w:tcPr>
                  <w:tcW w:w="2692" w:type="dxa"/>
                  <w:tcBorders>
                    <w:tl2br w:val="nil"/>
                    <w:tr2bl w:val="nil"/>
                  </w:tcBorders>
                  <w:noWrap w:val="0"/>
                  <w:vAlign w:val="center"/>
                </w:tcPr>
                <w:p w14:paraId="119952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highlight w:val="none"/>
                      <w:lang w:val="en-US" w:eastAsia="zh-CN"/>
                    </w:rPr>
                    <w:t>《制药工业大气污染物排放标准》（GB37823-2019）表2限值</w:t>
                  </w:r>
                </w:p>
                <w:p w14:paraId="7E85DE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p>
              </w:tc>
            </w:tr>
            <w:tr w14:paraId="07136B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continue"/>
                  <w:tcBorders>
                    <w:tl2br w:val="nil"/>
                    <w:tr2bl w:val="nil"/>
                  </w:tcBorders>
                  <w:noWrap w:val="0"/>
                  <w:vAlign w:val="center"/>
                </w:tcPr>
                <w:p w14:paraId="3C2899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p>
              </w:tc>
              <w:tc>
                <w:tcPr>
                  <w:tcW w:w="825" w:type="dxa"/>
                  <w:vMerge w:val="continue"/>
                  <w:tcBorders>
                    <w:tl2br w:val="nil"/>
                    <w:tr2bl w:val="nil"/>
                  </w:tcBorders>
                  <w:noWrap w:val="0"/>
                  <w:vAlign w:val="center"/>
                </w:tcPr>
                <w:p w14:paraId="5B31D6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p>
              </w:tc>
              <w:tc>
                <w:tcPr>
                  <w:tcW w:w="887" w:type="dxa"/>
                  <w:tcBorders>
                    <w:tl2br w:val="nil"/>
                    <w:tr2bl w:val="nil"/>
                  </w:tcBorders>
                  <w:noWrap w:val="0"/>
                  <w:vAlign w:val="center"/>
                </w:tcPr>
                <w:p w14:paraId="120E1F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无组织</w:t>
                  </w:r>
                </w:p>
              </w:tc>
              <w:tc>
                <w:tcPr>
                  <w:tcW w:w="2063" w:type="dxa"/>
                  <w:tcBorders>
                    <w:tl2br w:val="nil"/>
                    <w:tr2bl w:val="nil"/>
                  </w:tcBorders>
                  <w:noWrap w:val="0"/>
                  <w:vAlign w:val="center"/>
                </w:tcPr>
                <w:p w14:paraId="335D47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厂界上风向1个点、下风向10m范围内3个点</w:t>
                  </w:r>
                </w:p>
              </w:tc>
              <w:tc>
                <w:tcPr>
                  <w:tcW w:w="787" w:type="dxa"/>
                  <w:vMerge w:val="continue"/>
                  <w:tcBorders>
                    <w:tl2br w:val="nil"/>
                    <w:tr2bl w:val="nil"/>
                  </w:tcBorders>
                  <w:noWrap w:val="0"/>
                  <w:vAlign w:val="center"/>
                </w:tcPr>
                <w:p w14:paraId="1C7BA4A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p>
              </w:tc>
              <w:tc>
                <w:tcPr>
                  <w:tcW w:w="2692" w:type="dxa"/>
                  <w:tcBorders>
                    <w:tl2br w:val="nil"/>
                    <w:tr2bl w:val="nil"/>
                  </w:tcBorders>
                  <w:noWrap w:val="0"/>
                  <w:vAlign w:val="center"/>
                </w:tcPr>
                <w:p w14:paraId="18C86A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《挥发性有机物排放控制标准》（DB61/T1061-2017）</w:t>
                  </w:r>
                </w:p>
              </w:tc>
            </w:tr>
            <w:tr w14:paraId="26D0DE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continue"/>
                  <w:tcBorders>
                    <w:tl2br w:val="nil"/>
                    <w:tr2bl w:val="nil"/>
                  </w:tcBorders>
                  <w:noWrap w:val="0"/>
                  <w:vAlign w:val="center"/>
                </w:tcPr>
                <w:p w14:paraId="67DD36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p>
              </w:tc>
              <w:tc>
                <w:tcPr>
                  <w:tcW w:w="825" w:type="dxa"/>
                  <w:vMerge w:val="restart"/>
                  <w:tcBorders>
                    <w:tl2br w:val="nil"/>
                    <w:tr2bl w:val="nil"/>
                  </w:tcBorders>
                  <w:noWrap w:val="0"/>
                  <w:vAlign w:val="center"/>
                </w:tcPr>
                <w:p w14:paraId="60E491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r>
                    <w:rPr>
                      <w:rFonts w:ascii="Times New Roman" w:eastAsia="宋体"/>
                      <w:color w:val="auto"/>
                      <w:kern w:val="0"/>
                      <w:szCs w:val="21"/>
                      <w:highlight w:val="none"/>
                      <w:lang w:bidi="ar"/>
                    </w:rPr>
                    <w:t>HCl</w:t>
                  </w:r>
                </w:p>
              </w:tc>
              <w:tc>
                <w:tcPr>
                  <w:tcW w:w="887" w:type="dxa"/>
                  <w:tcBorders>
                    <w:tl2br w:val="nil"/>
                    <w:tr2bl w:val="nil"/>
                  </w:tcBorders>
                  <w:shd w:val="clear" w:color="auto" w:fill="auto"/>
                  <w:noWrap w:val="0"/>
                  <w:vAlign w:val="center"/>
                </w:tcPr>
                <w:p w14:paraId="13B4B1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有组织</w:t>
                  </w:r>
                </w:p>
              </w:tc>
              <w:tc>
                <w:tcPr>
                  <w:tcW w:w="2063" w:type="dxa"/>
                  <w:tcBorders>
                    <w:tl2br w:val="nil"/>
                    <w:tr2bl w:val="nil"/>
                  </w:tcBorders>
                  <w:noWrap w:val="0"/>
                  <w:vAlign w:val="center"/>
                </w:tcPr>
                <w:p w14:paraId="3FDE5F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highlight w:val="none"/>
                      <w:lang w:val="en-US" w:eastAsia="zh-CN"/>
                    </w:rPr>
                    <w:t>DA001、DA002、DA003废气进、出口</w:t>
                  </w:r>
                </w:p>
              </w:tc>
              <w:tc>
                <w:tcPr>
                  <w:tcW w:w="787" w:type="dxa"/>
                  <w:vMerge w:val="restart"/>
                  <w:tcBorders>
                    <w:tl2br w:val="nil"/>
                    <w:tr2bl w:val="nil"/>
                  </w:tcBorders>
                  <w:noWrap w:val="0"/>
                  <w:vAlign w:val="center"/>
                </w:tcPr>
                <w:p w14:paraId="17B5F6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1次/年</w:t>
                  </w:r>
                </w:p>
              </w:tc>
              <w:tc>
                <w:tcPr>
                  <w:tcW w:w="2692" w:type="dxa"/>
                  <w:tcBorders>
                    <w:tl2br w:val="nil"/>
                    <w:tr2bl w:val="nil"/>
                  </w:tcBorders>
                  <w:noWrap w:val="0"/>
                  <w:vAlign w:val="center"/>
                </w:tcPr>
                <w:p w14:paraId="263F13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szCs w:val="21"/>
                      <w:highlight w:val="none"/>
                    </w:rPr>
                    <w:t>《制药工业大气污染物排放标准》（GB 37823-2019）</w:t>
                  </w:r>
                  <w:r>
                    <w:rPr>
                      <w:rFonts w:hint="eastAsia" w:cs="Times New Roman"/>
                      <w:b w:val="0"/>
                      <w:color w:val="auto"/>
                      <w:szCs w:val="21"/>
                      <w:highlight w:val="none"/>
                      <w:lang w:val="en-US" w:eastAsia="zh-CN"/>
                    </w:rPr>
                    <w:t>表2大气污染物特别排放限值</w:t>
                  </w:r>
                </w:p>
              </w:tc>
            </w:tr>
            <w:tr w14:paraId="17DBB6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continue"/>
                  <w:tcBorders>
                    <w:tl2br w:val="nil"/>
                    <w:tr2bl w:val="nil"/>
                  </w:tcBorders>
                  <w:noWrap w:val="0"/>
                  <w:vAlign w:val="center"/>
                </w:tcPr>
                <w:p w14:paraId="73053E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p>
              </w:tc>
              <w:tc>
                <w:tcPr>
                  <w:tcW w:w="825" w:type="dxa"/>
                  <w:vMerge w:val="continue"/>
                  <w:tcBorders>
                    <w:tl2br w:val="nil"/>
                    <w:tr2bl w:val="nil"/>
                  </w:tcBorders>
                  <w:noWrap w:val="0"/>
                  <w:vAlign w:val="center"/>
                </w:tcPr>
                <w:p w14:paraId="4AD22D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eastAsia="宋体"/>
                      <w:color w:val="auto"/>
                      <w:kern w:val="0"/>
                      <w:szCs w:val="21"/>
                      <w:highlight w:val="none"/>
                      <w:lang w:bidi="ar"/>
                    </w:rPr>
                  </w:pPr>
                </w:p>
              </w:tc>
              <w:tc>
                <w:tcPr>
                  <w:tcW w:w="887" w:type="dxa"/>
                  <w:tcBorders>
                    <w:tl2br w:val="nil"/>
                    <w:tr2bl w:val="nil"/>
                  </w:tcBorders>
                  <w:shd w:val="clear" w:color="auto" w:fill="auto"/>
                  <w:noWrap w:val="0"/>
                  <w:vAlign w:val="center"/>
                </w:tcPr>
                <w:p w14:paraId="5A24E7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无组织</w:t>
                  </w:r>
                </w:p>
              </w:tc>
              <w:tc>
                <w:tcPr>
                  <w:tcW w:w="2063" w:type="dxa"/>
                  <w:tcBorders>
                    <w:tl2br w:val="nil"/>
                    <w:tr2bl w:val="nil"/>
                  </w:tcBorders>
                  <w:noWrap w:val="0"/>
                  <w:vAlign w:val="center"/>
                </w:tcPr>
                <w:p w14:paraId="21A965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highlight w:val="none"/>
                      <w:lang w:val="en-US" w:eastAsia="zh-CN"/>
                    </w:rPr>
                    <w:t>厂界上风向1个点、下风向10m范围内3个点</w:t>
                  </w:r>
                </w:p>
              </w:tc>
              <w:tc>
                <w:tcPr>
                  <w:tcW w:w="787" w:type="dxa"/>
                  <w:vMerge w:val="continue"/>
                  <w:tcBorders>
                    <w:tl2br w:val="nil"/>
                    <w:tr2bl w:val="nil"/>
                  </w:tcBorders>
                  <w:noWrap w:val="0"/>
                  <w:vAlign w:val="center"/>
                </w:tcPr>
                <w:p w14:paraId="24EB1C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p>
              </w:tc>
              <w:tc>
                <w:tcPr>
                  <w:tcW w:w="2692" w:type="dxa"/>
                  <w:tcBorders>
                    <w:tl2br w:val="nil"/>
                    <w:tr2bl w:val="nil"/>
                  </w:tcBorders>
                  <w:noWrap w:val="0"/>
                  <w:vAlign w:val="center"/>
                </w:tcPr>
                <w:p w14:paraId="78490C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szCs w:val="21"/>
                      <w:highlight w:val="none"/>
                    </w:rPr>
                    <w:t>《制药工业大气污染物排放标准》（GB 37823-2019）表4企业边界大气污染物浓度限值</w:t>
                  </w:r>
                </w:p>
              </w:tc>
            </w:tr>
            <w:tr w14:paraId="5312C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continue"/>
                  <w:tcBorders>
                    <w:tl2br w:val="nil"/>
                    <w:tr2bl w:val="nil"/>
                  </w:tcBorders>
                  <w:noWrap w:val="0"/>
                  <w:vAlign w:val="center"/>
                </w:tcPr>
                <w:p w14:paraId="0F5B847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p>
              </w:tc>
              <w:tc>
                <w:tcPr>
                  <w:tcW w:w="825" w:type="dxa"/>
                  <w:vMerge w:val="restart"/>
                  <w:tcBorders>
                    <w:tl2br w:val="nil"/>
                    <w:tr2bl w:val="nil"/>
                  </w:tcBorders>
                  <w:noWrap w:val="0"/>
                  <w:vAlign w:val="center"/>
                </w:tcPr>
                <w:p w14:paraId="222818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eastAsia="宋体"/>
                      <w:color w:val="auto"/>
                      <w:kern w:val="0"/>
                      <w:szCs w:val="21"/>
                      <w:highlight w:val="none"/>
                      <w:lang w:bidi="ar"/>
                    </w:rPr>
                  </w:pPr>
                  <w:r>
                    <w:rPr>
                      <w:rFonts w:ascii="Times New Roman" w:eastAsia="宋体"/>
                      <w:color w:val="auto"/>
                      <w:kern w:val="0"/>
                      <w:szCs w:val="21"/>
                      <w:highlight w:val="none"/>
                      <w:lang w:bidi="ar"/>
                    </w:rPr>
                    <w:t>NOx</w:t>
                  </w:r>
                </w:p>
              </w:tc>
              <w:tc>
                <w:tcPr>
                  <w:tcW w:w="887" w:type="dxa"/>
                  <w:tcBorders>
                    <w:tl2br w:val="nil"/>
                    <w:tr2bl w:val="nil"/>
                  </w:tcBorders>
                  <w:shd w:val="clear" w:color="auto" w:fill="auto"/>
                  <w:noWrap w:val="0"/>
                  <w:vAlign w:val="center"/>
                </w:tcPr>
                <w:p w14:paraId="293B5E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有组织</w:t>
                  </w:r>
                </w:p>
              </w:tc>
              <w:tc>
                <w:tcPr>
                  <w:tcW w:w="2063" w:type="dxa"/>
                  <w:tcBorders>
                    <w:tl2br w:val="nil"/>
                    <w:tr2bl w:val="nil"/>
                  </w:tcBorders>
                  <w:noWrap w:val="0"/>
                  <w:vAlign w:val="center"/>
                </w:tcPr>
                <w:p w14:paraId="78912A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highlight w:val="none"/>
                      <w:lang w:val="en-US" w:eastAsia="zh-CN"/>
                    </w:rPr>
                    <w:t>DA001、DA002、DA003废气进、出口</w:t>
                  </w:r>
                </w:p>
              </w:tc>
              <w:tc>
                <w:tcPr>
                  <w:tcW w:w="787" w:type="dxa"/>
                  <w:vMerge w:val="restart"/>
                  <w:tcBorders>
                    <w:tl2br w:val="nil"/>
                    <w:tr2bl w:val="nil"/>
                  </w:tcBorders>
                  <w:noWrap w:val="0"/>
                  <w:vAlign w:val="center"/>
                </w:tcPr>
                <w:p w14:paraId="4829DF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r>
                    <w:rPr>
                      <w:rFonts w:hint="eastAsia"/>
                      <w:color w:val="auto"/>
                      <w:highlight w:val="none"/>
                      <w:lang w:val="en-US" w:eastAsia="zh-CN"/>
                    </w:rPr>
                    <w:t>1次/年</w:t>
                  </w:r>
                </w:p>
              </w:tc>
              <w:tc>
                <w:tcPr>
                  <w:tcW w:w="2692" w:type="dxa"/>
                  <w:tcBorders>
                    <w:tl2br w:val="nil"/>
                    <w:tr2bl w:val="nil"/>
                  </w:tcBorders>
                  <w:noWrap w:val="0"/>
                  <w:vAlign w:val="center"/>
                </w:tcPr>
                <w:p w14:paraId="35FBF516">
                  <w:pPr>
                    <w:adjustRightInd w:val="0"/>
                    <w:snapToGrid w:val="0"/>
                    <w:jc w:val="center"/>
                    <w:rPr>
                      <w:rFonts w:hint="eastAsia"/>
                      <w:color w:val="auto"/>
                      <w:szCs w:val="21"/>
                      <w:highlight w:val="none"/>
                    </w:rPr>
                  </w:pPr>
                  <w:r>
                    <w:rPr>
                      <w:rFonts w:hint="eastAsia"/>
                      <w:color w:val="auto"/>
                      <w:szCs w:val="21"/>
                      <w:highlight w:val="none"/>
                    </w:rPr>
                    <w:t>《大气污染物综合排放标准》（GB16297-1996）</w:t>
                  </w:r>
                  <w:r>
                    <w:rPr>
                      <w:rFonts w:hint="eastAsia"/>
                      <w:color w:val="auto"/>
                      <w:szCs w:val="21"/>
                      <w:highlight w:val="none"/>
                      <w:lang w:val="en-US" w:eastAsia="zh-CN"/>
                    </w:rPr>
                    <w:t>表2有组织（注：此处最高允许排放速率按50%</w:t>
                  </w:r>
                  <w:r>
                    <w:rPr>
                      <w:rFonts w:hint="eastAsia"/>
                      <w:color w:val="auto"/>
                      <w:lang w:val="en-US" w:eastAsia="zh-CN"/>
                    </w:rPr>
                    <w:t>执行</w:t>
                  </w:r>
                  <w:r>
                    <w:rPr>
                      <w:rFonts w:hint="eastAsia"/>
                      <w:color w:val="auto"/>
                      <w:szCs w:val="21"/>
                      <w:highlight w:val="none"/>
                      <w:lang w:val="en-US" w:eastAsia="zh-CN"/>
                    </w:rPr>
                    <w:t>。）</w:t>
                  </w:r>
                  <w:r>
                    <w:rPr>
                      <w:rFonts w:hint="eastAsia"/>
                      <w:color w:val="auto"/>
                      <w:szCs w:val="21"/>
                      <w:highlight w:val="none"/>
                    </w:rPr>
                    <w:t>标准限值</w:t>
                  </w:r>
                </w:p>
                <w:p w14:paraId="3971298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p>
              </w:tc>
            </w:tr>
            <w:tr w14:paraId="558003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5" w:type="dxa"/>
                  <w:vMerge w:val="continue"/>
                  <w:tcBorders>
                    <w:tl2br w:val="nil"/>
                    <w:tr2bl w:val="nil"/>
                  </w:tcBorders>
                  <w:noWrap w:val="0"/>
                  <w:vAlign w:val="center"/>
                </w:tcPr>
                <w:p w14:paraId="11D8085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color w:val="auto"/>
                      <w:highlight w:val="none"/>
                    </w:rPr>
                  </w:pPr>
                </w:p>
              </w:tc>
              <w:tc>
                <w:tcPr>
                  <w:tcW w:w="825" w:type="dxa"/>
                  <w:vMerge w:val="continue"/>
                  <w:tcBorders>
                    <w:tl2br w:val="nil"/>
                    <w:tr2bl w:val="nil"/>
                  </w:tcBorders>
                  <w:noWrap w:val="0"/>
                  <w:vAlign w:val="center"/>
                </w:tcPr>
                <w:p w14:paraId="7C8DBB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eastAsia="宋体"/>
                      <w:color w:val="auto"/>
                      <w:kern w:val="0"/>
                      <w:szCs w:val="21"/>
                      <w:highlight w:val="none"/>
                      <w:lang w:bidi="ar"/>
                    </w:rPr>
                  </w:pPr>
                </w:p>
              </w:tc>
              <w:tc>
                <w:tcPr>
                  <w:tcW w:w="887" w:type="dxa"/>
                  <w:tcBorders>
                    <w:tl2br w:val="nil"/>
                    <w:tr2bl w:val="nil"/>
                  </w:tcBorders>
                  <w:shd w:val="clear" w:color="auto" w:fill="auto"/>
                  <w:noWrap w:val="0"/>
                  <w:vAlign w:val="center"/>
                </w:tcPr>
                <w:p w14:paraId="65F9092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无组织</w:t>
                  </w:r>
                </w:p>
              </w:tc>
              <w:tc>
                <w:tcPr>
                  <w:tcW w:w="2063" w:type="dxa"/>
                  <w:tcBorders>
                    <w:tl2br w:val="nil"/>
                    <w:tr2bl w:val="nil"/>
                  </w:tcBorders>
                  <w:noWrap w:val="0"/>
                  <w:vAlign w:val="center"/>
                </w:tcPr>
                <w:p w14:paraId="64D93D2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highlight w:val="none"/>
                      <w:lang w:val="en-US" w:eastAsia="zh-CN"/>
                    </w:rPr>
                    <w:t>厂界上风向1个点、下风向10m范围内3个点</w:t>
                  </w:r>
                </w:p>
              </w:tc>
              <w:tc>
                <w:tcPr>
                  <w:tcW w:w="787" w:type="dxa"/>
                  <w:vMerge w:val="continue"/>
                  <w:tcBorders>
                    <w:tl2br w:val="nil"/>
                    <w:tr2bl w:val="nil"/>
                  </w:tcBorders>
                  <w:noWrap w:val="0"/>
                  <w:vAlign w:val="center"/>
                </w:tcPr>
                <w:p w14:paraId="773C54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highlight w:val="none"/>
                      <w:lang w:val="en-US" w:eastAsia="zh-CN"/>
                    </w:rPr>
                  </w:pPr>
                </w:p>
              </w:tc>
              <w:tc>
                <w:tcPr>
                  <w:tcW w:w="2692" w:type="dxa"/>
                  <w:tcBorders>
                    <w:tl2br w:val="nil"/>
                    <w:tr2bl w:val="nil"/>
                  </w:tcBorders>
                  <w:noWrap w:val="0"/>
                  <w:vAlign w:val="center"/>
                </w:tcPr>
                <w:p w14:paraId="198DA8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highlight w:val="none"/>
                      <w:lang w:val="en-US" w:eastAsia="zh-CN"/>
                    </w:rPr>
                  </w:pPr>
                  <w:r>
                    <w:rPr>
                      <w:rFonts w:hint="eastAsia"/>
                      <w:color w:val="auto"/>
                      <w:szCs w:val="21"/>
                      <w:highlight w:val="none"/>
                    </w:rPr>
                    <w:t>《大气污染物综合排放标准》（GB16297-1996）</w:t>
                  </w:r>
                  <w:r>
                    <w:rPr>
                      <w:rFonts w:hint="eastAsia"/>
                      <w:color w:val="auto"/>
                      <w:szCs w:val="21"/>
                      <w:highlight w:val="none"/>
                      <w:lang w:val="en-US" w:eastAsia="zh-CN"/>
                    </w:rPr>
                    <w:t>表2</w:t>
                  </w:r>
                  <w:r>
                    <w:rPr>
                      <w:rFonts w:hint="eastAsia"/>
                      <w:color w:val="auto"/>
                      <w:szCs w:val="21"/>
                      <w:highlight w:val="none"/>
                    </w:rPr>
                    <w:t>无组织标准限值</w:t>
                  </w:r>
                </w:p>
              </w:tc>
            </w:tr>
          </w:tbl>
          <w:p w14:paraId="051F9AF9"/>
          <w:p w14:paraId="7E3074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7</w:t>
            </w:r>
            <w:r>
              <w:rPr>
                <w:rFonts w:hint="eastAsia" w:ascii="Times New Roman" w:hAnsi="Times New Roman" w:eastAsia="宋体" w:cs="Times New Roman"/>
                <w:b/>
                <w:bCs/>
                <w:color w:val="auto"/>
                <w:kern w:val="2"/>
                <w:sz w:val="24"/>
                <w:szCs w:val="24"/>
                <w:highlight w:val="none"/>
                <w:lang w:val="en-US" w:eastAsia="zh-CN" w:bidi="ar-SA"/>
              </w:rPr>
              <w:t>非正常情况排放</w:t>
            </w:r>
          </w:p>
          <w:p w14:paraId="3CDDD5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本项目大气污染物非正常污染物排放为活性炭吸附装置发生故障</w:t>
            </w:r>
            <w:r>
              <w:rPr>
                <w:rFonts w:hint="eastAsia" w:cs="Times New Roman"/>
                <w:b w:val="0"/>
                <w:bCs w:val="0"/>
                <w:color w:val="auto"/>
                <w:kern w:val="2"/>
                <w:sz w:val="24"/>
                <w:szCs w:val="24"/>
                <w:highlight w:val="none"/>
                <w:lang w:val="en-US" w:eastAsia="zh-CN" w:bidi="ar-SA"/>
              </w:rPr>
              <w:t>。活性炭吸附装置完全失效通常是因为吸附剂（SDG、活性炭）的吸附能力达到饱和或由于其他因素导致其失去吸附能力。以下是两个一些可能导致SDG、活性炭吸附装置完全失效的典型情况：</w:t>
            </w:r>
          </w:p>
          <w:p w14:paraId="31E7B3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（1）吸附饱和</w:t>
            </w:r>
          </w:p>
          <w:p w14:paraId="2BA2DA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当SDG、活性炭吸附了其最大容量的污染物后，它就无法继续吸附更多的污染物，这时装置的效率会急剧下降至无效状态。</w:t>
            </w:r>
          </w:p>
          <w:p w14:paraId="75CD97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（2）温度过高</w:t>
            </w:r>
          </w:p>
          <w:p w14:paraId="2A2E0D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如果处理的气体温度超过活性炭的耐温范围，可能会导致SDG、活性炭结构破坏，从而降低或丧失其吸附能力。</w:t>
            </w:r>
          </w:p>
          <w:p w14:paraId="77A291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其排放情况及治理措施如下表：</w:t>
            </w:r>
          </w:p>
          <w:p w14:paraId="7E0D2EDA">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482" w:firstLineChars="200"/>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表4-</w:t>
            </w:r>
            <w:r>
              <w:rPr>
                <w:rFonts w:hint="eastAsia" w:cs="Times New Roman"/>
                <w:b/>
                <w:bCs/>
                <w:color w:val="auto"/>
                <w:kern w:val="2"/>
                <w:sz w:val="24"/>
                <w:szCs w:val="24"/>
                <w:highlight w:val="none"/>
                <w:lang w:val="en-US" w:eastAsia="zh-CN" w:bidi="ar-SA"/>
              </w:rPr>
              <w:t>7</w:t>
            </w:r>
            <w:r>
              <w:rPr>
                <w:rFonts w:hint="eastAsia" w:ascii="Times New Roman" w:hAnsi="Times New Roman" w:eastAsia="宋体" w:cs="Times New Roman"/>
                <w:b/>
                <w:bCs/>
                <w:color w:val="auto"/>
                <w:kern w:val="2"/>
                <w:sz w:val="24"/>
                <w:szCs w:val="24"/>
                <w:highlight w:val="none"/>
                <w:lang w:val="en-US" w:eastAsia="zh-CN" w:bidi="ar-SA"/>
              </w:rPr>
              <w:t xml:space="preserve">  污染源非正常产排放量核算表</w:t>
            </w:r>
          </w:p>
          <w:tbl>
            <w:tblPr>
              <w:tblStyle w:val="31"/>
              <w:tblW w:w="80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273"/>
              <w:gridCol w:w="883"/>
              <w:gridCol w:w="1673"/>
              <w:gridCol w:w="1408"/>
              <w:gridCol w:w="1322"/>
              <w:gridCol w:w="823"/>
            </w:tblGrid>
            <w:tr w14:paraId="1BE0FC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tcBorders>
                    <w:tl2br w:val="nil"/>
                    <w:tr2bl w:val="nil"/>
                  </w:tcBorders>
                  <w:noWrap w:val="0"/>
                  <w:vAlign w:val="center"/>
                </w:tcPr>
                <w:p w14:paraId="436EB332">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序号</w:t>
                  </w:r>
                </w:p>
              </w:tc>
              <w:tc>
                <w:tcPr>
                  <w:tcW w:w="1273" w:type="dxa"/>
                  <w:tcBorders>
                    <w:tl2br w:val="nil"/>
                    <w:tr2bl w:val="nil"/>
                  </w:tcBorders>
                  <w:noWrap w:val="0"/>
                  <w:vAlign w:val="center"/>
                </w:tcPr>
                <w:p w14:paraId="3DF8F6E7">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污染源</w:t>
                  </w:r>
                </w:p>
              </w:tc>
              <w:tc>
                <w:tcPr>
                  <w:tcW w:w="883" w:type="dxa"/>
                  <w:tcBorders>
                    <w:tl2br w:val="nil"/>
                    <w:tr2bl w:val="nil"/>
                  </w:tcBorders>
                  <w:noWrap w:val="0"/>
                  <w:vAlign w:val="center"/>
                </w:tcPr>
                <w:p w14:paraId="1C53E8AA">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污染物</w:t>
                  </w:r>
                </w:p>
              </w:tc>
              <w:tc>
                <w:tcPr>
                  <w:tcW w:w="1673" w:type="dxa"/>
                  <w:tcBorders>
                    <w:tl2br w:val="nil"/>
                    <w:tr2bl w:val="nil"/>
                  </w:tcBorders>
                  <w:noWrap w:val="0"/>
                  <w:vAlign w:val="center"/>
                </w:tcPr>
                <w:p w14:paraId="57A9A4D1">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非正常排放原因</w:t>
                  </w:r>
                </w:p>
              </w:tc>
              <w:tc>
                <w:tcPr>
                  <w:tcW w:w="1408" w:type="dxa"/>
                  <w:tcBorders>
                    <w:tl2br w:val="nil"/>
                    <w:tr2bl w:val="nil"/>
                  </w:tcBorders>
                  <w:noWrap w:val="0"/>
                  <w:vAlign w:val="center"/>
                </w:tcPr>
                <w:p w14:paraId="13552FB7">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非正常排放浓度/mg/m</w:t>
                  </w:r>
                  <w:r>
                    <w:rPr>
                      <w:rFonts w:hint="eastAsia" w:ascii="Times New Roman" w:hAnsi="Times New Roman" w:eastAsia="宋体" w:cs="Times New Roman"/>
                      <w:b/>
                      <w:bCs/>
                      <w:color w:val="auto"/>
                      <w:kern w:val="2"/>
                      <w:sz w:val="21"/>
                      <w:szCs w:val="21"/>
                      <w:highlight w:val="none"/>
                      <w:vertAlign w:val="superscript"/>
                      <w:lang w:val="en-US" w:eastAsia="zh-CN" w:bidi="ar-SA"/>
                    </w:rPr>
                    <w:t>3</w:t>
                  </w:r>
                </w:p>
              </w:tc>
              <w:tc>
                <w:tcPr>
                  <w:tcW w:w="1322" w:type="dxa"/>
                  <w:tcBorders>
                    <w:tl2br w:val="nil"/>
                    <w:tr2bl w:val="nil"/>
                  </w:tcBorders>
                  <w:noWrap w:val="0"/>
                  <w:vAlign w:val="center"/>
                </w:tcPr>
                <w:p w14:paraId="559E742A">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非正常排放速率/kg/h</w:t>
                  </w:r>
                </w:p>
              </w:tc>
              <w:tc>
                <w:tcPr>
                  <w:tcW w:w="823" w:type="dxa"/>
                  <w:tcBorders>
                    <w:tl2br w:val="nil"/>
                    <w:tr2bl w:val="nil"/>
                  </w:tcBorders>
                  <w:noWrap w:val="0"/>
                  <w:vAlign w:val="center"/>
                </w:tcPr>
                <w:p w14:paraId="55FD6009">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应对措施</w:t>
                  </w:r>
                </w:p>
              </w:tc>
            </w:tr>
            <w:tr w14:paraId="1339B9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restart"/>
                  <w:tcBorders>
                    <w:tl2br w:val="nil"/>
                    <w:tr2bl w:val="nil"/>
                  </w:tcBorders>
                  <w:noWrap w:val="0"/>
                  <w:vAlign w:val="center"/>
                </w:tcPr>
                <w:p w14:paraId="2AF4D40A">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w:t>
                  </w:r>
                </w:p>
              </w:tc>
              <w:tc>
                <w:tcPr>
                  <w:tcW w:w="1273" w:type="dxa"/>
                  <w:vMerge w:val="restart"/>
                  <w:tcBorders>
                    <w:tl2br w:val="nil"/>
                    <w:tr2bl w:val="nil"/>
                  </w:tcBorders>
                  <w:noWrap w:val="0"/>
                  <w:vAlign w:val="center"/>
                </w:tcPr>
                <w:p w14:paraId="28DEBAA1">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探试实验室</w:t>
                  </w:r>
                </w:p>
              </w:tc>
              <w:tc>
                <w:tcPr>
                  <w:tcW w:w="883" w:type="dxa"/>
                  <w:tcBorders>
                    <w:tl2br w:val="nil"/>
                    <w:tr2bl w:val="nil"/>
                  </w:tcBorders>
                  <w:noWrap w:val="0"/>
                  <w:vAlign w:val="center"/>
                </w:tcPr>
                <w:p w14:paraId="454922A1">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1673" w:type="dxa"/>
                  <w:vMerge w:val="restart"/>
                  <w:tcBorders>
                    <w:tl2br w:val="nil"/>
                    <w:tr2bl w:val="nil"/>
                  </w:tcBorders>
                  <w:noWrap w:val="0"/>
                  <w:vAlign w:val="center"/>
                </w:tcPr>
                <w:p w14:paraId="5C6C800A">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防治设备故障</w:t>
                  </w:r>
                </w:p>
              </w:tc>
              <w:tc>
                <w:tcPr>
                  <w:tcW w:w="1408" w:type="dxa"/>
                  <w:tcBorders>
                    <w:tl2br w:val="nil"/>
                    <w:tr2bl w:val="nil"/>
                  </w:tcBorders>
                  <w:noWrap w:val="0"/>
                  <w:vAlign w:val="center"/>
                </w:tcPr>
                <w:p w14:paraId="41C5BFC0">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9.49 </w:t>
                  </w:r>
                </w:p>
              </w:tc>
              <w:tc>
                <w:tcPr>
                  <w:tcW w:w="1322" w:type="dxa"/>
                  <w:tcBorders>
                    <w:tl2br w:val="nil"/>
                    <w:tr2bl w:val="nil"/>
                  </w:tcBorders>
                  <w:noWrap w:val="0"/>
                  <w:vAlign w:val="center"/>
                </w:tcPr>
                <w:p w14:paraId="422F099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0.19 </w:t>
                  </w:r>
                </w:p>
              </w:tc>
              <w:tc>
                <w:tcPr>
                  <w:tcW w:w="823" w:type="dxa"/>
                  <w:vMerge w:val="restart"/>
                  <w:tcBorders>
                    <w:tl2br w:val="nil"/>
                    <w:tr2bl w:val="nil"/>
                  </w:tcBorders>
                  <w:noWrap w:val="0"/>
                  <w:vAlign w:val="center"/>
                </w:tcPr>
                <w:p w14:paraId="4245AB02">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加强</w:t>
                  </w:r>
                  <w:r>
                    <w:rPr>
                      <w:rFonts w:hint="eastAsia" w:ascii="Times New Roman" w:hAnsi="Times New Roman" w:eastAsia="宋体" w:cs="Times New Roman"/>
                      <w:b w:val="0"/>
                      <w:bCs w:val="0"/>
                      <w:color w:val="auto"/>
                      <w:kern w:val="2"/>
                      <w:sz w:val="21"/>
                      <w:szCs w:val="21"/>
                      <w:highlight w:val="none"/>
                      <w:vertAlign w:val="baseline"/>
                      <w:lang w:val="en-US" w:eastAsia="zh-CN" w:bidi="ar-SA"/>
                    </w:rPr>
                    <w:t>环保设备</w:t>
                  </w:r>
                  <w:r>
                    <w:rPr>
                      <w:rFonts w:hint="eastAsia" w:cs="Times New Roman"/>
                      <w:b w:val="0"/>
                      <w:bCs w:val="0"/>
                      <w:color w:val="auto"/>
                      <w:kern w:val="2"/>
                      <w:sz w:val="21"/>
                      <w:szCs w:val="21"/>
                      <w:highlight w:val="none"/>
                      <w:vertAlign w:val="baseline"/>
                      <w:lang w:val="en-US" w:eastAsia="zh-CN" w:bidi="ar-SA"/>
                    </w:rPr>
                    <w:t>维护</w:t>
                  </w:r>
                </w:p>
              </w:tc>
            </w:tr>
            <w:tr w14:paraId="05E5FF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continue"/>
                  <w:tcBorders>
                    <w:tl2br w:val="nil"/>
                    <w:tr2bl w:val="nil"/>
                  </w:tcBorders>
                  <w:noWrap w:val="0"/>
                  <w:vAlign w:val="center"/>
                </w:tcPr>
                <w:p w14:paraId="137B2D6D">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273" w:type="dxa"/>
                  <w:vMerge w:val="continue"/>
                  <w:tcBorders>
                    <w:tl2br w:val="nil"/>
                    <w:tr2bl w:val="nil"/>
                  </w:tcBorders>
                  <w:noWrap w:val="0"/>
                  <w:vAlign w:val="center"/>
                </w:tcPr>
                <w:p w14:paraId="5961B4D9">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883" w:type="dxa"/>
                  <w:tcBorders>
                    <w:tl2br w:val="nil"/>
                    <w:tr2bl w:val="nil"/>
                  </w:tcBorders>
                  <w:shd w:val="clear" w:color="auto" w:fill="auto"/>
                  <w:noWrap w:val="0"/>
                  <w:vAlign w:val="center"/>
                </w:tcPr>
                <w:p w14:paraId="62AF64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eastAsia="宋体"/>
                      <w:color w:val="auto"/>
                      <w:kern w:val="0"/>
                      <w:szCs w:val="21"/>
                      <w:highlight w:val="none"/>
                      <w:lang w:bidi="ar"/>
                    </w:rPr>
                    <w:t>HCl</w:t>
                  </w:r>
                </w:p>
              </w:tc>
              <w:tc>
                <w:tcPr>
                  <w:tcW w:w="1673" w:type="dxa"/>
                  <w:vMerge w:val="continue"/>
                  <w:tcBorders>
                    <w:tl2br w:val="nil"/>
                    <w:tr2bl w:val="nil"/>
                  </w:tcBorders>
                  <w:noWrap w:val="0"/>
                  <w:vAlign w:val="center"/>
                </w:tcPr>
                <w:p w14:paraId="66B2DF13">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408" w:type="dxa"/>
                  <w:tcBorders>
                    <w:tl2br w:val="nil"/>
                    <w:tr2bl w:val="nil"/>
                  </w:tcBorders>
                  <w:noWrap w:val="0"/>
                  <w:vAlign w:val="center"/>
                </w:tcPr>
                <w:p w14:paraId="25B3B2C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0.23</w:t>
                  </w:r>
                </w:p>
              </w:tc>
              <w:tc>
                <w:tcPr>
                  <w:tcW w:w="1322" w:type="dxa"/>
                  <w:tcBorders>
                    <w:tl2br w:val="nil"/>
                    <w:tr2bl w:val="nil"/>
                  </w:tcBorders>
                  <w:noWrap w:val="0"/>
                  <w:vAlign w:val="center"/>
                </w:tcPr>
                <w:p w14:paraId="0D0CD9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0.0046</w:t>
                  </w:r>
                </w:p>
              </w:tc>
              <w:tc>
                <w:tcPr>
                  <w:tcW w:w="823" w:type="dxa"/>
                  <w:vMerge w:val="continue"/>
                  <w:tcBorders>
                    <w:tl2br w:val="nil"/>
                    <w:tr2bl w:val="nil"/>
                  </w:tcBorders>
                  <w:noWrap w:val="0"/>
                  <w:vAlign w:val="center"/>
                </w:tcPr>
                <w:p w14:paraId="38A971D7">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r>
            <w:tr w14:paraId="29A125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continue"/>
                  <w:tcBorders>
                    <w:tl2br w:val="nil"/>
                    <w:tr2bl w:val="nil"/>
                  </w:tcBorders>
                  <w:noWrap w:val="0"/>
                  <w:vAlign w:val="center"/>
                </w:tcPr>
                <w:p w14:paraId="32AAA62E">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273" w:type="dxa"/>
                  <w:vMerge w:val="continue"/>
                  <w:tcBorders>
                    <w:tl2br w:val="nil"/>
                    <w:tr2bl w:val="nil"/>
                  </w:tcBorders>
                  <w:noWrap w:val="0"/>
                  <w:vAlign w:val="center"/>
                </w:tcPr>
                <w:p w14:paraId="7328EBC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883" w:type="dxa"/>
                  <w:tcBorders>
                    <w:tl2br w:val="nil"/>
                    <w:tr2bl w:val="nil"/>
                  </w:tcBorders>
                  <w:shd w:val="clear" w:color="auto" w:fill="auto"/>
                  <w:noWrap w:val="0"/>
                  <w:vAlign w:val="center"/>
                </w:tcPr>
                <w:p w14:paraId="38B427E4">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ascii="Times New Roman" w:eastAsia="宋体"/>
                      <w:color w:val="auto"/>
                      <w:kern w:val="0"/>
                      <w:sz w:val="21"/>
                      <w:szCs w:val="16"/>
                      <w:highlight w:val="none"/>
                      <w:lang w:bidi="ar"/>
                    </w:rPr>
                    <w:t>NOx</w:t>
                  </w:r>
                </w:p>
              </w:tc>
              <w:tc>
                <w:tcPr>
                  <w:tcW w:w="1673" w:type="dxa"/>
                  <w:vMerge w:val="continue"/>
                  <w:tcBorders>
                    <w:tl2br w:val="nil"/>
                    <w:tr2bl w:val="nil"/>
                  </w:tcBorders>
                  <w:noWrap w:val="0"/>
                  <w:vAlign w:val="center"/>
                </w:tcPr>
                <w:p w14:paraId="7359236B">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408" w:type="dxa"/>
                  <w:tcBorders>
                    <w:tl2br w:val="nil"/>
                    <w:tr2bl w:val="nil"/>
                  </w:tcBorders>
                  <w:shd w:val="clear" w:color="auto" w:fill="auto"/>
                  <w:noWrap w:val="0"/>
                  <w:vAlign w:val="center"/>
                </w:tcPr>
                <w:p w14:paraId="4BAC0C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0.23</w:t>
                  </w:r>
                </w:p>
              </w:tc>
              <w:tc>
                <w:tcPr>
                  <w:tcW w:w="1322" w:type="dxa"/>
                  <w:tcBorders>
                    <w:tl2br w:val="nil"/>
                    <w:tr2bl w:val="nil"/>
                  </w:tcBorders>
                  <w:shd w:val="clear" w:color="auto" w:fill="auto"/>
                  <w:noWrap w:val="0"/>
                  <w:vAlign w:val="center"/>
                </w:tcPr>
                <w:p w14:paraId="450641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0.0046</w:t>
                  </w:r>
                </w:p>
              </w:tc>
              <w:tc>
                <w:tcPr>
                  <w:tcW w:w="823" w:type="dxa"/>
                  <w:vMerge w:val="continue"/>
                  <w:tcBorders>
                    <w:tl2br w:val="nil"/>
                    <w:tr2bl w:val="nil"/>
                  </w:tcBorders>
                  <w:noWrap w:val="0"/>
                  <w:vAlign w:val="center"/>
                </w:tcPr>
                <w:p w14:paraId="1339F9DA">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r>
            <w:tr w14:paraId="2DC839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restart"/>
                  <w:tcBorders>
                    <w:tl2br w:val="nil"/>
                    <w:tr2bl w:val="nil"/>
                  </w:tcBorders>
                  <w:noWrap w:val="0"/>
                  <w:vAlign w:val="center"/>
                </w:tcPr>
                <w:p w14:paraId="08B63673">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2</w:t>
                  </w:r>
                </w:p>
              </w:tc>
              <w:tc>
                <w:tcPr>
                  <w:tcW w:w="1273" w:type="dxa"/>
                  <w:vMerge w:val="restart"/>
                  <w:tcBorders>
                    <w:tl2br w:val="nil"/>
                    <w:tr2bl w:val="nil"/>
                  </w:tcBorders>
                  <w:noWrap w:val="0"/>
                  <w:vAlign w:val="center"/>
                </w:tcPr>
                <w:p w14:paraId="3AB07092">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小试实验室</w:t>
                  </w:r>
                </w:p>
              </w:tc>
              <w:tc>
                <w:tcPr>
                  <w:tcW w:w="883" w:type="dxa"/>
                  <w:tcBorders>
                    <w:tl2br w:val="nil"/>
                    <w:tr2bl w:val="nil"/>
                  </w:tcBorders>
                  <w:noWrap w:val="0"/>
                  <w:vAlign w:val="center"/>
                </w:tcPr>
                <w:p w14:paraId="1F0F6035">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1673" w:type="dxa"/>
                  <w:vMerge w:val="restart"/>
                  <w:tcBorders>
                    <w:tl2br w:val="nil"/>
                    <w:tr2bl w:val="nil"/>
                  </w:tcBorders>
                  <w:noWrap w:val="0"/>
                  <w:vAlign w:val="center"/>
                </w:tcPr>
                <w:p w14:paraId="033967AE">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防治设备故障</w:t>
                  </w:r>
                </w:p>
              </w:tc>
              <w:tc>
                <w:tcPr>
                  <w:tcW w:w="1408" w:type="dxa"/>
                  <w:tcBorders>
                    <w:tl2br w:val="nil"/>
                    <w:tr2bl w:val="nil"/>
                  </w:tcBorders>
                  <w:noWrap w:val="0"/>
                  <w:vAlign w:val="center"/>
                </w:tcPr>
                <w:p w14:paraId="6F334A5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7.00 </w:t>
                  </w:r>
                </w:p>
              </w:tc>
              <w:tc>
                <w:tcPr>
                  <w:tcW w:w="1322" w:type="dxa"/>
                  <w:tcBorders>
                    <w:tl2br w:val="nil"/>
                    <w:tr2bl w:val="nil"/>
                  </w:tcBorders>
                  <w:noWrap w:val="0"/>
                  <w:vAlign w:val="center"/>
                </w:tcPr>
                <w:p w14:paraId="4B36A87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0.14 </w:t>
                  </w:r>
                </w:p>
              </w:tc>
              <w:tc>
                <w:tcPr>
                  <w:tcW w:w="823" w:type="dxa"/>
                  <w:vMerge w:val="continue"/>
                  <w:tcBorders>
                    <w:tl2br w:val="nil"/>
                    <w:tr2bl w:val="nil"/>
                  </w:tcBorders>
                  <w:noWrap w:val="0"/>
                  <w:vAlign w:val="top"/>
                </w:tcPr>
                <w:p w14:paraId="4B0B4C42">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p>
              </w:tc>
            </w:tr>
            <w:tr w14:paraId="14B8F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continue"/>
                  <w:tcBorders>
                    <w:tl2br w:val="nil"/>
                    <w:tr2bl w:val="nil"/>
                  </w:tcBorders>
                  <w:noWrap w:val="0"/>
                  <w:vAlign w:val="center"/>
                </w:tcPr>
                <w:p w14:paraId="38206A82">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273" w:type="dxa"/>
                  <w:vMerge w:val="continue"/>
                  <w:tcBorders>
                    <w:tl2br w:val="nil"/>
                    <w:tr2bl w:val="nil"/>
                  </w:tcBorders>
                  <w:noWrap w:val="0"/>
                  <w:vAlign w:val="center"/>
                </w:tcPr>
                <w:p w14:paraId="7059FCD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883" w:type="dxa"/>
                  <w:tcBorders>
                    <w:tl2br w:val="nil"/>
                    <w:tr2bl w:val="nil"/>
                  </w:tcBorders>
                  <w:shd w:val="clear" w:color="auto" w:fill="auto"/>
                  <w:noWrap w:val="0"/>
                  <w:vAlign w:val="center"/>
                </w:tcPr>
                <w:p w14:paraId="0FD22E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eastAsia="宋体"/>
                      <w:color w:val="auto"/>
                      <w:kern w:val="0"/>
                      <w:szCs w:val="21"/>
                      <w:highlight w:val="none"/>
                      <w:lang w:bidi="ar"/>
                    </w:rPr>
                    <w:t>HCl</w:t>
                  </w:r>
                </w:p>
              </w:tc>
              <w:tc>
                <w:tcPr>
                  <w:tcW w:w="1673" w:type="dxa"/>
                  <w:vMerge w:val="continue"/>
                  <w:tcBorders>
                    <w:tl2br w:val="nil"/>
                    <w:tr2bl w:val="nil"/>
                  </w:tcBorders>
                  <w:noWrap w:val="0"/>
                  <w:vAlign w:val="center"/>
                </w:tcPr>
                <w:p w14:paraId="65D7A739">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408" w:type="dxa"/>
                  <w:tcBorders>
                    <w:tl2br w:val="nil"/>
                    <w:tr2bl w:val="nil"/>
                  </w:tcBorders>
                  <w:shd w:val="clear" w:color="auto" w:fill="auto"/>
                  <w:noWrap w:val="0"/>
                  <w:vAlign w:val="center"/>
                </w:tcPr>
                <w:p w14:paraId="4FBFC3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0.23</w:t>
                  </w:r>
                </w:p>
              </w:tc>
              <w:tc>
                <w:tcPr>
                  <w:tcW w:w="1322" w:type="dxa"/>
                  <w:tcBorders>
                    <w:tl2br w:val="nil"/>
                    <w:tr2bl w:val="nil"/>
                  </w:tcBorders>
                  <w:shd w:val="clear" w:color="auto" w:fill="auto"/>
                  <w:noWrap w:val="0"/>
                  <w:vAlign w:val="center"/>
                </w:tcPr>
                <w:p w14:paraId="61134E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0.0046</w:t>
                  </w:r>
                </w:p>
              </w:tc>
              <w:tc>
                <w:tcPr>
                  <w:tcW w:w="823" w:type="dxa"/>
                  <w:vMerge w:val="continue"/>
                  <w:tcBorders>
                    <w:tl2br w:val="nil"/>
                    <w:tr2bl w:val="nil"/>
                  </w:tcBorders>
                  <w:noWrap w:val="0"/>
                  <w:vAlign w:val="top"/>
                </w:tcPr>
                <w:p w14:paraId="418A7BDF">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p>
              </w:tc>
            </w:tr>
            <w:tr w14:paraId="0615A4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continue"/>
                  <w:tcBorders>
                    <w:tl2br w:val="nil"/>
                    <w:tr2bl w:val="nil"/>
                  </w:tcBorders>
                  <w:noWrap w:val="0"/>
                  <w:vAlign w:val="center"/>
                </w:tcPr>
                <w:p w14:paraId="7287A38D">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273" w:type="dxa"/>
                  <w:vMerge w:val="continue"/>
                  <w:tcBorders>
                    <w:tl2br w:val="nil"/>
                    <w:tr2bl w:val="nil"/>
                  </w:tcBorders>
                  <w:noWrap w:val="0"/>
                  <w:vAlign w:val="center"/>
                </w:tcPr>
                <w:p w14:paraId="352BAFD8">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883" w:type="dxa"/>
                  <w:tcBorders>
                    <w:tl2br w:val="nil"/>
                    <w:tr2bl w:val="nil"/>
                  </w:tcBorders>
                  <w:noWrap w:val="0"/>
                  <w:vAlign w:val="center"/>
                </w:tcPr>
                <w:p w14:paraId="6C4353F2">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ascii="Times New Roman" w:eastAsia="宋体"/>
                      <w:color w:val="auto"/>
                      <w:kern w:val="0"/>
                      <w:sz w:val="21"/>
                      <w:szCs w:val="16"/>
                      <w:highlight w:val="none"/>
                      <w:lang w:bidi="ar"/>
                    </w:rPr>
                    <w:t>NOx</w:t>
                  </w:r>
                </w:p>
              </w:tc>
              <w:tc>
                <w:tcPr>
                  <w:tcW w:w="1673" w:type="dxa"/>
                  <w:vMerge w:val="continue"/>
                  <w:tcBorders>
                    <w:tl2br w:val="nil"/>
                    <w:tr2bl w:val="nil"/>
                  </w:tcBorders>
                  <w:noWrap w:val="0"/>
                  <w:vAlign w:val="center"/>
                </w:tcPr>
                <w:p w14:paraId="0D9A4288">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408" w:type="dxa"/>
                  <w:tcBorders>
                    <w:tl2br w:val="nil"/>
                    <w:tr2bl w:val="nil"/>
                  </w:tcBorders>
                  <w:shd w:val="clear" w:color="auto" w:fill="auto"/>
                  <w:noWrap w:val="0"/>
                  <w:vAlign w:val="center"/>
                </w:tcPr>
                <w:p w14:paraId="6B9915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0.23</w:t>
                  </w:r>
                </w:p>
              </w:tc>
              <w:tc>
                <w:tcPr>
                  <w:tcW w:w="1322" w:type="dxa"/>
                  <w:tcBorders>
                    <w:tl2br w:val="nil"/>
                    <w:tr2bl w:val="nil"/>
                  </w:tcBorders>
                  <w:shd w:val="clear" w:color="auto" w:fill="auto"/>
                  <w:noWrap w:val="0"/>
                  <w:vAlign w:val="center"/>
                </w:tcPr>
                <w:p w14:paraId="7A8B87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0.0046</w:t>
                  </w:r>
                </w:p>
              </w:tc>
              <w:tc>
                <w:tcPr>
                  <w:tcW w:w="823" w:type="dxa"/>
                  <w:vMerge w:val="continue"/>
                  <w:tcBorders>
                    <w:tl2br w:val="nil"/>
                    <w:tr2bl w:val="nil"/>
                  </w:tcBorders>
                  <w:noWrap w:val="0"/>
                  <w:vAlign w:val="top"/>
                </w:tcPr>
                <w:p w14:paraId="57E369CD">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p>
              </w:tc>
            </w:tr>
            <w:tr w14:paraId="304B46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restart"/>
                  <w:tcBorders>
                    <w:tl2br w:val="nil"/>
                    <w:tr2bl w:val="nil"/>
                  </w:tcBorders>
                  <w:noWrap w:val="0"/>
                  <w:vAlign w:val="center"/>
                </w:tcPr>
                <w:p w14:paraId="3A209D9D">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3</w:t>
                  </w:r>
                </w:p>
              </w:tc>
              <w:tc>
                <w:tcPr>
                  <w:tcW w:w="1273" w:type="dxa"/>
                  <w:vMerge w:val="restart"/>
                  <w:tcBorders>
                    <w:tl2br w:val="nil"/>
                    <w:tr2bl w:val="nil"/>
                  </w:tcBorders>
                  <w:noWrap w:val="0"/>
                  <w:vAlign w:val="center"/>
                </w:tcPr>
                <w:p w14:paraId="7817A75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分析测试室</w:t>
                  </w:r>
                </w:p>
              </w:tc>
              <w:tc>
                <w:tcPr>
                  <w:tcW w:w="883" w:type="dxa"/>
                  <w:tcBorders>
                    <w:tl2br w:val="nil"/>
                    <w:tr2bl w:val="nil"/>
                  </w:tcBorders>
                  <w:shd w:val="clear" w:color="auto" w:fill="auto"/>
                  <w:noWrap w:val="0"/>
                  <w:vAlign w:val="center"/>
                </w:tcPr>
                <w:p w14:paraId="6024F1A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非甲烷总烃</w:t>
                  </w:r>
                </w:p>
              </w:tc>
              <w:tc>
                <w:tcPr>
                  <w:tcW w:w="1673" w:type="dxa"/>
                  <w:vMerge w:val="restart"/>
                  <w:tcBorders>
                    <w:tl2br w:val="nil"/>
                    <w:tr2bl w:val="nil"/>
                  </w:tcBorders>
                  <w:noWrap w:val="0"/>
                  <w:vAlign w:val="center"/>
                </w:tcPr>
                <w:p w14:paraId="7F7C7DE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防治设备故障</w:t>
                  </w:r>
                </w:p>
              </w:tc>
              <w:tc>
                <w:tcPr>
                  <w:tcW w:w="1408" w:type="dxa"/>
                  <w:tcBorders>
                    <w:tl2br w:val="nil"/>
                    <w:tr2bl w:val="nil"/>
                  </w:tcBorders>
                  <w:noWrap w:val="0"/>
                  <w:vAlign w:val="center"/>
                </w:tcPr>
                <w:p w14:paraId="304AF39D">
                  <w:pPr>
                    <w:keepNext w:val="0"/>
                    <w:keepLines w:val="0"/>
                    <w:widowControl/>
                    <w:suppressLineNumbers w:val="0"/>
                    <w:jc w:val="center"/>
                    <w:textAlignment w:val="center"/>
                    <w:rPr>
                      <w:rFonts w:hint="default"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1.50 </w:t>
                  </w:r>
                </w:p>
              </w:tc>
              <w:tc>
                <w:tcPr>
                  <w:tcW w:w="1322" w:type="dxa"/>
                  <w:tcBorders>
                    <w:tl2br w:val="nil"/>
                    <w:tr2bl w:val="nil"/>
                  </w:tcBorders>
                  <w:noWrap w:val="0"/>
                  <w:vAlign w:val="center"/>
                </w:tcPr>
                <w:p w14:paraId="33369A9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0.054 </w:t>
                  </w:r>
                </w:p>
              </w:tc>
              <w:tc>
                <w:tcPr>
                  <w:tcW w:w="823" w:type="dxa"/>
                  <w:vMerge w:val="continue"/>
                  <w:tcBorders>
                    <w:tl2br w:val="nil"/>
                    <w:tr2bl w:val="nil"/>
                  </w:tcBorders>
                  <w:noWrap w:val="0"/>
                  <w:vAlign w:val="top"/>
                </w:tcPr>
                <w:p w14:paraId="1B9B3DE3">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p>
              </w:tc>
            </w:tr>
            <w:tr w14:paraId="4A488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continue"/>
                  <w:tcBorders>
                    <w:tl2br w:val="nil"/>
                    <w:tr2bl w:val="nil"/>
                  </w:tcBorders>
                  <w:noWrap w:val="0"/>
                  <w:vAlign w:val="center"/>
                </w:tcPr>
                <w:p w14:paraId="6EBEF4A1">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1273" w:type="dxa"/>
                  <w:vMerge w:val="continue"/>
                  <w:tcBorders>
                    <w:tl2br w:val="nil"/>
                    <w:tr2bl w:val="nil"/>
                  </w:tcBorders>
                  <w:noWrap w:val="0"/>
                  <w:vAlign w:val="center"/>
                </w:tcPr>
                <w:p w14:paraId="5C65124E">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883" w:type="dxa"/>
                  <w:tcBorders>
                    <w:tl2br w:val="nil"/>
                    <w:tr2bl w:val="nil"/>
                  </w:tcBorders>
                  <w:shd w:val="clear" w:color="auto" w:fill="auto"/>
                  <w:noWrap w:val="0"/>
                  <w:vAlign w:val="center"/>
                </w:tcPr>
                <w:p w14:paraId="16D66E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eastAsia="宋体"/>
                      <w:color w:val="auto"/>
                      <w:kern w:val="0"/>
                      <w:szCs w:val="21"/>
                      <w:highlight w:val="none"/>
                      <w:lang w:bidi="ar"/>
                    </w:rPr>
                    <w:t>HCl</w:t>
                  </w:r>
                </w:p>
              </w:tc>
              <w:tc>
                <w:tcPr>
                  <w:tcW w:w="1673" w:type="dxa"/>
                  <w:vMerge w:val="continue"/>
                  <w:tcBorders>
                    <w:tl2br w:val="nil"/>
                    <w:tr2bl w:val="nil"/>
                  </w:tcBorders>
                  <w:noWrap w:val="0"/>
                  <w:vAlign w:val="center"/>
                </w:tcPr>
                <w:p w14:paraId="05157C3E">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408" w:type="dxa"/>
                  <w:tcBorders>
                    <w:tl2br w:val="nil"/>
                    <w:tr2bl w:val="nil"/>
                  </w:tcBorders>
                  <w:noWrap w:val="0"/>
                  <w:vAlign w:val="center"/>
                </w:tcPr>
                <w:p w14:paraId="0BF7CE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0.063</w:t>
                  </w:r>
                </w:p>
              </w:tc>
              <w:tc>
                <w:tcPr>
                  <w:tcW w:w="1322" w:type="dxa"/>
                  <w:tcBorders>
                    <w:tl2br w:val="nil"/>
                    <w:tr2bl w:val="nil"/>
                  </w:tcBorders>
                  <w:noWrap w:val="0"/>
                  <w:vAlign w:val="center"/>
                </w:tcPr>
                <w:p w14:paraId="495B97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0.0023</w:t>
                  </w:r>
                </w:p>
              </w:tc>
              <w:tc>
                <w:tcPr>
                  <w:tcW w:w="823" w:type="dxa"/>
                  <w:tcBorders>
                    <w:tl2br w:val="nil"/>
                    <w:tr2bl w:val="nil"/>
                  </w:tcBorders>
                  <w:noWrap w:val="0"/>
                  <w:vAlign w:val="top"/>
                </w:tcPr>
                <w:p w14:paraId="4F7F3FB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p>
              </w:tc>
            </w:tr>
            <w:tr w14:paraId="43A199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2" w:type="dxa"/>
                  <w:vMerge w:val="continue"/>
                  <w:tcBorders>
                    <w:tl2br w:val="nil"/>
                    <w:tr2bl w:val="nil"/>
                  </w:tcBorders>
                  <w:noWrap w:val="0"/>
                  <w:vAlign w:val="center"/>
                </w:tcPr>
                <w:p w14:paraId="33AAEFD7">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1273" w:type="dxa"/>
                  <w:vMerge w:val="continue"/>
                  <w:tcBorders>
                    <w:tl2br w:val="nil"/>
                    <w:tr2bl w:val="nil"/>
                  </w:tcBorders>
                  <w:noWrap w:val="0"/>
                  <w:vAlign w:val="center"/>
                </w:tcPr>
                <w:p w14:paraId="774B6C38">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cs="Times New Roman"/>
                      <w:b w:val="0"/>
                      <w:bCs w:val="0"/>
                      <w:color w:val="auto"/>
                      <w:kern w:val="2"/>
                      <w:sz w:val="21"/>
                      <w:szCs w:val="21"/>
                      <w:highlight w:val="none"/>
                      <w:vertAlign w:val="baseline"/>
                      <w:lang w:val="en-US" w:eastAsia="zh-CN" w:bidi="ar-SA"/>
                    </w:rPr>
                  </w:pPr>
                </w:p>
              </w:tc>
              <w:tc>
                <w:tcPr>
                  <w:tcW w:w="883" w:type="dxa"/>
                  <w:tcBorders>
                    <w:tl2br w:val="nil"/>
                    <w:tr2bl w:val="nil"/>
                  </w:tcBorders>
                  <w:shd w:val="clear" w:color="auto" w:fill="auto"/>
                  <w:noWrap w:val="0"/>
                  <w:vAlign w:val="center"/>
                </w:tcPr>
                <w:p w14:paraId="533E604C">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r>
                    <w:rPr>
                      <w:rFonts w:ascii="Times New Roman" w:eastAsia="宋体"/>
                      <w:color w:val="auto"/>
                      <w:kern w:val="0"/>
                      <w:sz w:val="21"/>
                      <w:szCs w:val="16"/>
                      <w:highlight w:val="none"/>
                      <w:lang w:bidi="ar"/>
                    </w:rPr>
                    <w:t>NOx</w:t>
                  </w:r>
                </w:p>
              </w:tc>
              <w:tc>
                <w:tcPr>
                  <w:tcW w:w="1673" w:type="dxa"/>
                  <w:vMerge w:val="continue"/>
                  <w:tcBorders>
                    <w:tl2br w:val="nil"/>
                    <w:tr2bl w:val="nil"/>
                  </w:tcBorders>
                  <w:noWrap w:val="0"/>
                  <w:vAlign w:val="center"/>
                </w:tcPr>
                <w:p w14:paraId="61A36614">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b w:val="0"/>
                      <w:bCs w:val="0"/>
                      <w:color w:val="auto"/>
                      <w:kern w:val="2"/>
                      <w:sz w:val="21"/>
                      <w:szCs w:val="21"/>
                      <w:highlight w:val="none"/>
                      <w:vertAlign w:val="baseline"/>
                      <w:lang w:val="en-US" w:eastAsia="zh-CN" w:bidi="ar-SA"/>
                    </w:rPr>
                  </w:pPr>
                </w:p>
              </w:tc>
              <w:tc>
                <w:tcPr>
                  <w:tcW w:w="1408" w:type="dxa"/>
                  <w:tcBorders>
                    <w:tl2br w:val="nil"/>
                    <w:tr2bl w:val="nil"/>
                  </w:tcBorders>
                  <w:shd w:val="clear" w:color="auto" w:fill="auto"/>
                  <w:noWrap w:val="0"/>
                  <w:vAlign w:val="center"/>
                </w:tcPr>
                <w:p w14:paraId="4229EC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0.063</w:t>
                  </w:r>
                </w:p>
              </w:tc>
              <w:tc>
                <w:tcPr>
                  <w:tcW w:w="1322" w:type="dxa"/>
                  <w:tcBorders>
                    <w:tl2br w:val="nil"/>
                    <w:tr2bl w:val="nil"/>
                  </w:tcBorders>
                  <w:shd w:val="clear" w:color="auto" w:fill="auto"/>
                  <w:noWrap w:val="0"/>
                  <w:vAlign w:val="center"/>
                </w:tcPr>
                <w:p w14:paraId="02B29A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0.0023</w:t>
                  </w:r>
                </w:p>
              </w:tc>
              <w:tc>
                <w:tcPr>
                  <w:tcW w:w="823" w:type="dxa"/>
                  <w:tcBorders>
                    <w:tl2br w:val="nil"/>
                    <w:tr2bl w:val="nil"/>
                  </w:tcBorders>
                  <w:noWrap w:val="0"/>
                  <w:vAlign w:val="top"/>
                </w:tcPr>
                <w:p w14:paraId="278E1C66">
                  <w:pPr>
                    <w:pStyle w:val="25"/>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b/>
                      <w:bCs/>
                      <w:color w:val="auto"/>
                      <w:kern w:val="2"/>
                      <w:sz w:val="24"/>
                      <w:szCs w:val="24"/>
                      <w:highlight w:val="none"/>
                      <w:vertAlign w:val="baseline"/>
                      <w:lang w:val="en-US" w:eastAsia="zh-CN" w:bidi="ar-SA"/>
                    </w:rPr>
                  </w:pPr>
                </w:p>
              </w:tc>
            </w:tr>
          </w:tbl>
          <w:p w14:paraId="7910B240">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val="en-US" w:eastAsia="zh-CN"/>
              </w:rPr>
              <w:t>非正常情况应对措施：</w:t>
            </w:r>
            <w:r>
              <w:rPr>
                <w:rFonts w:hint="default" w:ascii="Times New Roman" w:hAnsi="Times New Roman" w:eastAsia="宋体" w:cs="Times New Roman"/>
                <w:color w:val="auto"/>
                <w:sz w:val="24"/>
                <w:szCs w:val="32"/>
                <w:highlight w:val="none"/>
                <w:lang w:val="en-US" w:eastAsia="zh-CN"/>
              </w:rPr>
              <w:t>非正常情况下比正常工况下各污染物排放量明显偏大，污染物排放浓度较正常状态下超标较多。因此，为防止废气非正常工况排放，企业</w:t>
            </w:r>
            <w:r>
              <w:rPr>
                <w:rFonts w:hint="eastAsia" w:cs="Times New Roman"/>
                <w:color w:val="auto"/>
                <w:sz w:val="24"/>
                <w:szCs w:val="32"/>
                <w:highlight w:val="none"/>
                <w:lang w:val="en-US" w:eastAsia="zh-CN"/>
              </w:rPr>
              <w:t>必须</w:t>
            </w:r>
            <w:r>
              <w:rPr>
                <w:rFonts w:hint="default" w:ascii="Times New Roman" w:hAnsi="Times New Roman" w:eastAsia="宋体" w:cs="Times New Roman"/>
                <w:color w:val="auto"/>
                <w:sz w:val="24"/>
                <w:szCs w:val="32"/>
                <w:highlight w:val="none"/>
                <w:lang w:val="en-US" w:eastAsia="zh-CN"/>
              </w:rPr>
              <w:t>加强废气处理设施的管理，定期检修，确保废气处理设施正常运行，在废气处理设备停止运行或出现故障时，产生废气的各工序也必须相应停止生产。为杜绝废气非正常排放，应采取以下措施确保废气达标排放：</w:t>
            </w:r>
          </w:p>
          <w:p w14:paraId="5444AD22">
            <w:pPr>
              <w:bidi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①安排专人负责环保设备的日常维护和管理，每隔固定时间检查、汇报情况，及时发现废气处理设备的隐患，确保废气处理系统正常运行；</w:t>
            </w:r>
          </w:p>
          <w:p w14:paraId="72F3880E">
            <w:pPr>
              <w:bidi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②严格按照环保设备使用手册，定期对设备</w:t>
            </w:r>
            <w:r>
              <w:rPr>
                <w:rFonts w:hint="eastAsia" w:cs="Times New Roman"/>
                <w:color w:val="auto"/>
                <w:sz w:val="24"/>
                <w:szCs w:val="32"/>
                <w:highlight w:val="none"/>
                <w:lang w:val="en-US" w:eastAsia="zh-CN"/>
              </w:rPr>
              <w:t>SDG、</w:t>
            </w:r>
            <w:r>
              <w:rPr>
                <w:rFonts w:hint="default" w:ascii="Times New Roman" w:hAnsi="Times New Roman" w:eastAsia="宋体" w:cs="Times New Roman"/>
                <w:color w:val="auto"/>
                <w:sz w:val="24"/>
                <w:szCs w:val="32"/>
                <w:highlight w:val="none"/>
                <w:lang w:val="en-US" w:eastAsia="zh-CN"/>
              </w:rPr>
              <w:t>活性炭进行更换；</w:t>
            </w:r>
          </w:p>
          <w:p w14:paraId="78BAEBDD">
            <w:pPr>
              <w:bidi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③建立健全的环保管理机构，对环保管理人员和技术人员进行岗位培训，委托具有专业资质的环境检测单位对项目排放的各类污染物进行定期检测；</w:t>
            </w:r>
          </w:p>
          <w:p w14:paraId="4273F818">
            <w:pPr>
              <w:bidi w:val="0"/>
              <w:spacing w:line="360" w:lineRule="auto"/>
              <w:ind w:firstLine="480" w:firstLineChars="200"/>
              <w:rPr>
                <w:rFonts w:hint="default" w:ascii="Times New Roman" w:hAnsi="Times New Roman" w:eastAsia="宋体" w:cs="Times New Roman"/>
                <w:color w:val="auto"/>
                <w:sz w:val="24"/>
                <w:szCs w:val="32"/>
                <w:highlight w:val="none"/>
                <w:lang w:val="en-US" w:eastAsia="zh-CN"/>
              </w:rPr>
            </w:pPr>
            <w:r>
              <w:rPr>
                <w:rFonts w:hint="default" w:ascii="Times New Roman" w:hAnsi="Times New Roman" w:eastAsia="宋体" w:cs="Times New Roman"/>
                <w:color w:val="auto"/>
                <w:sz w:val="24"/>
                <w:szCs w:val="32"/>
                <w:highlight w:val="none"/>
                <w:lang w:val="en-US" w:eastAsia="zh-CN"/>
              </w:rPr>
              <w:t>④应定期维护检修废气处理装置，保持废气处理装置的净化能力和净化容量。</w:t>
            </w:r>
          </w:p>
          <w:p w14:paraId="594FA33C">
            <w:pPr>
              <w:numPr>
                <w:ilvl w:val="0"/>
                <w:numId w:val="0"/>
              </w:numPr>
              <w:bidi w:val="0"/>
              <w:spacing w:line="360" w:lineRule="auto"/>
              <w:ind w:leftChars="0"/>
              <w:rPr>
                <w:rFonts w:hint="eastAsia"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2.</w:t>
            </w:r>
            <w:r>
              <w:rPr>
                <w:rFonts w:hint="eastAsia" w:ascii="Times New Roman" w:hAnsi="Times New Roman" w:eastAsia="宋体" w:cs="Times New Roman"/>
                <w:b/>
                <w:bCs/>
                <w:color w:val="auto"/>
                <w:kern w:val="2"/>
                <w:sz w:val="24"/>
                <w:szCs w:val="24"/>
                <w:highlight w:val="none"/>
                <w:lang w:val="en-US" w:eastAsia="zh-CN" w:bidi="ar-SA"/>
              </w:rPr>
              <w:t>废水</w:t>
            </w:r>
          </w:p>
          <w:p w14:paraId="72724CC3">
            <w:pPr>
              <w:numPr>
                <w:ilvl w:val="0"/>
                <w:numId w:val="0"/>
              </w:numPr>
              <w:bidi w:val="0"/>
              <w:spacing w:line="360" w:lineRule="auto"/>
              <w:ind w:leftChars="0"/>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2.1 项目废水产排情况</w:t>
            </w:r>
          </w:p>
          <w:p w14:paraId="0E1D9807">
            <w:pPr>
              <w:numPr>
                <w:ilvl w:val="0"/>
                <w:numId w:val="0"/>
              </w:numPr>
              <w:bidi w:val="0"/>
              <w:spacing w:line="360" w:lineRule="auto"/>
              <w:ind w:leftChars="0" w:firstLine="480" w:firstLineChars="200"/>
              <w:rPr>
                <w:rFonts w:hint="eastAsia" w:ascii="Times New Roman" w:hAnsi="Times New Roman" w:eastAsia="宋体" w:cs="Times New Roman"/>
                <w:b w:val="0"/>
                <w:bCs w:val="0"/>
                <w:color w:val="auto"/>
                <w:kern w:val="2"/>
                <w:sz w:val="24"/>
                <w:szCs w:val="24"/>
                <w:highlight w:val="none"/>
                <w:lang w:val="en-US" w:eastAsia="zh-CN" w:bidi="ar-SA"/>
              </w:rPr>
            </w:pPr>
            <w:r>
              <w:rPr>
                <w:rFonts w:hint="eastAsia"/>
                <w:color w:val="auto"/>
                <w:sz w:val="24"/>
                <w:lang w:val="en-US" w:eastAsia="zh-CN"/>
              </w:rPr>
              <w:t>由于实验器皿经有机溶剂清洗和第一、二次自来水清洗，已基本上去除了残留的有机溶剂等，其清洗废液均作为危废处置，因此实验第三、四次清洗废水与台面、地面清洗废水污染物较简单且成分相似，污染因子主要以pH、SS、COD，BOD</w:t>
            </w:r>
            <w:r>
              <w:rPr>
                <w:rFonts w:hint="eastAsia"/>
                <w:color w:val="auto"/>
                <w:sz w:val="24"/>
                <w:vertAlign w:val="subscript"/>
                <w:lang w:val="en-US" w:eastAsia="zh-CN"/>
              </w:rPr>
              <w:t>5</w:t>
            </w:r>
            <w:r>
              <w:rPr>
                <w:rFonts w:hint="eastAsia"/>
                <w:color w:val="auto"/>
                <w:sz w:val="24"/>
                <w:vertAlign w:val="baseline"/>
                <w:lang w:val="en-US" w:eastAsia="zh-CN"/>
              </w:rPr>
              <w:t>、NH</w:t>
            </w:r>
            <w:r>
              <w:rPr>
                <w:rFonts w:hint="eastAsia"/>
                <w:color w:val="auto"/>
                <w:sz w:val="24"/>
                <w:vertAlign w:val="subscript"/>
                <w:lang w:val="en-US" w:eastAsia="zh-CN"/>
              </w:rPr>
              <w:t>3</w:t>
            </w:r>
            <w:r>
              <w:rPr>
                <w:rFonts w:hint="eastAsia"/>
                <w:color w:val="auto"/>
                <w:sz w:val="24"/>
                <w:vertAlign w:val="baseline"/>
                <w:lang w:val="en-US" w:eastAsia="zh-CN"/>
              </w:rPr>
              <w:t>-N为主。因此本次扩建项目主要产生的废水主要为</w:t>
            </w:r>
            <w:r>
              <w:rPr>
                <w:rFonts w:hint="eastAsia" w:ascii="Times New Roman" w:hAnsi="Times New Roman" w:eastAsia="宋体" w:cs="Times New Roman"/>
                <w:b w:val="0"/>
                <w:bCs w:val="0"/>
                <w:color w:val="auto"/>
                <w:kern w:val="2"/>
                <w:sz w:val="24"/>
                <w:szCs w:val="24"/>
                <w:highlight w:val="none"/>
                <w:lang w:val="en-US" w:eastAsia="zh-CN" w:bidi="ar-SA"/>
              </w:rPr>
              <w:t>实验过程</w:t>
            </w:r>
            <w:r>
              <w:rPr>
                <w:rFonts w:hint="eastAsia"/>
                <w:color w:val="auto"/>
                <w:sz w:val="24"/>
                <w:highlight w:val="none"/>
              </w:rPr>
              <w:t>第</w:t>
            </w:r>
            <w:r>
              <w:rPr>
                <w:rFonts w:hint="eastAsia"/>
                <w:color w:val="auto"/>
                <w:sz w:val="24"/>
                <w:highlight w:val="none"/>
                <w:lang w:val="en-US" w:eastAsia="zh-CN"/>
              </w:rPr>
              <w:t>三、四</w:t>
            </w:r>
            <w:r>
              <w:rPr>
                <w:rFonts w:hint="eastAsia"/>
                <w:color w:val="auto"/>
                <w:sz w:val="24"/>
                <w:highlight w:val="none"/>
              </w:rPr>
              <w:t>次清洗废水</w:t>
            </w:r>
            <w:r>
              <w:rPr>
                <w:rFonts w:hint="eastAsia"/>
                <w:color w:val="auto"/>
                <w:sz w:val="24"/>
                <w:highlight w:val="none"/>
                <w:lang w:val="en-US" w:eastAsia="zh-CN"/>
              </w:rPr>
              <w:t>和</w:t>
            </w:r>
            <w:r>
              <w:rPr>
                <w:rFonts w:hint="eastAsia"/>
                <w:color w:val="auto"/>
                <w:sz w:val="24"/>
                <w:highlight w:val="none"/>
              </w:rPr>
              <w:t>台面、地面清洗废</w:t>
            </w:r>
            <w:r>
              <w:rPr>
                <w:rFonts w:hint="eastAsia"/>
                <w:color w:val="auto"/>
                <w:sz w:val="24"/>
                <w:highlight w:val="none"/>
                <w:lang w:val="en-US" w:eastAsia="zh-CN"/>
              </w:rPr>
              <w:t>水（以下简称“清洗废水”）</w:t>
            </w:r>
          </w:p>
          <w:p w14:paraId="3C7D1A10">
            <w:pPr>
              <w:numPr>
                <w:ilvl w:val="0"/>
                <w:numId w:val="0"/>
              </w:numPr>
              <w:bidi w:val="0"/>
              <w:spacing w:line="360" w:lineRule="auto"/>
              <w:ind w:leftChars="0" w:firstLine="480" w:firstLineChars="200"/>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项目建成后，清洗废水</w:t>
            </w:r>
            <w:r>
              <w:rPr>
                <w:rFonts w:hint="eastAsia" w:ascii="Times New Roman" w:hAnsi="Times New Roman" w:eastAsia="宋体" w:cs="Times New Roman"/>
                <w:b w:val="0"/>
                <w:bCs w:val="0"/>
                <w:color w:val="auto"/>
                <w:kern w:val="2"/>
                <w:sz w:val="24"/>
                <w:szCs w:val="24"/>
                <w:highlight w:val="none"/>
                <w:lang w:val="en-US" w:eastAsia="zh-CN" w:bidi="ar-SA"/>
              </w:rPr>
              <w:t>产生量</w:t>
            </w:r>
            <w:r>
              <w:rPr>
                <w:rFonts w:hint="eastAsia" w:cs="Times New Roman"/>
                <w:b w:val="0"/>
                <w:bCs w:val="0"/>
                <w:color w:val="auto"/>
                <w:kern w:val="2"/>
                <w:sz w:val="24"/>
                <w:szCs w:val="24"/>
                <w:highlight w:val="none"/>
                <w:lang w:val="en-US" w:eastAsia="zh-CN" w:bidi="ar-SA"/>
              </w:rPr>
              <w:t>合计294</w:t>
            </w:r>
            <w:r>
              <w:rPr>
                <w:rFonts w:hint="eastAsia" w:ascii="Times New Roman" w:hAnsi="Times New Roman" w:eastAsia="宋体" w:cs="Times New Roman"/>
                <w:b w:val="0"/>
                <w:bCs w:val="0"/>
                <w:color w:val="auto"/>
                <w:kern w:val="2"/>
                <w:sz w:val="24"/>
                <w:szCs w:val="24"/>
                <w:highlight w:val="none"/>
                <w:lang w:val="en-US" w:eastAsia="zh-CN" w:bidi="ar-SA"/>
              </w:rPr>
              <w:t>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lang w:val="en-US" w:eastAsia="zh-CN" w:bidi="ar-SA"/>
              </w:rPr>
              <w:t>/a，</w:t>
            </w:r>
            <w:r>
              <w:rPr>
                <w:rFonts w:hint="eastAsia" w:cs="Times New Roman"/>
                <w:b w:val="0"/>
                <w:bCs w:val="0"/>
                <w:color w:val="auto"/>
                <w:kern w:val="2"/>
                <w:sz w:val="24"/>
                <w:szCs w:val="24"/>
                <w:highlight w:val="none"/>
                <w:lang w:val="en-US" w:eastAsia="zh-CN" w:bidi="ar-SA"/>
              </w:rPr>
              <w:t>清洗废水收集后依托现有</w:t>
            </w:r>
            <w:r>
              <w:rPr>
                <w:rFonts w:hint="eastAsia" w:ascii="Times New Roman" w:hAnsi="Times New Roman" w:eastAsia="宋体" w:cs="Times New Roman"/>
                <w:b w:val="0"/>
                <w:bCs w:val="0"/>
                <w:color w:val="auto"/>
                <w:kern w:val="2"/>
                <w:sz w:val="24"/>
                <w:szCs w:val="24"/>
                <w:highlight w:val="none"/>
                <w:lang w:val="en-US" w:eastAsia="zh-CN" w:bidi="ar-SA"/>
              </w:rPr>
              <w:t>污水</w:t>
            </w:r>
            <w:r>
              <w:rPr>
                <w:rFonts w:hint="eastAsia" w:cs="Times New Roman"/>
                <w:b w:val="0"/>
                <w:bCs w:val="0"/>
                <w:color w:val="auto"/>
                <w:kern w:val="2"/>
                <w:sz w:val="24"/>
                <w:szCs w:val="24"/>
                <w:highlight w:val="none"/>
                <w:lang w:val="en-US" w:eastAsia="zh-CN" w:bidi="ar-SA"/>
              </w:rPr>
              <w:t>处理设施</w:t>
            </w:r>
            <w:r>
              <w:rPr>
                <w:rFonts w:hint="eastAsia" w:ascii="Times New Roman" w:hAnsi="Times New Roman" w:eastAsia="宋体" w:cs="Times New Roman"/>
                <w:b w:val="0"/>
                <w:bCs w:val="0"/>
                <w:color w:val="auto"/>
                <w:kern w:val="2"/>
                <w:sz w:val="24"/>
                <w:szCs w:val="24"/>
                <w:highlight w:val="none"/>
                <w:lang w:val="en-US" w:eastAsia="zh-CN" w:bidi="ar-SA"/>
              </w:rPr>
              <w:t>预处理后</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同</w:t>
            </w:r>
            <w:r>
              <w:rPr>
                <w:rFonts w:hint="eastAsia" w:cs="Times New Roman"/>
                <w:b w:val="0"/>
                <w:bCs w:val="0"/>
                <w:color w:val="auto"/>
                <w:kern w:val="2"/>
                <w:sz w:val="24"/>
                <w:szCs w:val="24"/>
                <w:highlight w:val="none"/>
                <w:lang w:val="en-US" w:eastAsia="zh-CN" w:bidi="ar-SA"/>
              </w:rPr>
              <w:t>现有</w:t>
            </w:r>
            <w:r>
              <w:rPr>
                <w:rFonts w:hint="eastAsia" w:ascii="Times New Roman" w:hAnsi="Times New Roman" w:eastAsia="宋体" w:cs="Times New Roman"/>
                <w:b w:val="0"/>
                <w:bCs w:val="0"/>
                <w:color w:val="auto"/>
                <w:kern w:val="2"/>
                <w:sz w:val="24"/>
                <w:szCs w:val="24"/>
                <w:highlight w:val="none"/>
                <w:lang w:val="en-US" w:eastAsia="zh-CN" w:bidi="ar-SA"/>
              </w:rPr>
              <w:t>生活污水一起进入化粪池处理</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达标后通过市政污水管网排入西安净水处理有限责任公司第六再生水厂进一步处理</w:t>
            </w:r>
            <w:r>
              <w:rPr>
                <w:rFonts w:hint="eastAsia" w:cs="Times New Roman"/>
                <w:b w:val="0"/>
                <w:bCs w:val="0"/>
                <w:color w:val="auto"/>
                <w:kern w:val="2"/>
                <w:sz w:val="24"/>
                <w:szCs w:val="24"/>
                <w:highlight w:val="none"/>
                <w:lang w:val="en-US" w:eastAsia="zh-CN" w:bidi="ar-SA"/>
              </w:rPr>
              <w:t>。</w:t>
            </w:r>
          </w:p>
          <w:p w14:paraId="0A4B530D">
            <w:pPr>
              <w:numPr>
                <w:ilvl w:val="0"/>
                <w:numId w:val="0"/>
              </w:numPr>
              <w:bidi w:val="0"/>
              <w:spacing w:line="360" w:lineRule="auto"/>
              <w:ind w:leftChars="0" w:firstLine="480" w:firstLineChars="200"/>
              <w:rPr>
                <w:rFonts w:hint="eastAsia"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由于项目已建成，且依托现有废水处理设施进行处理，故项目建设后的实验清洗废水浓度可参考建设单位委托陕西润卓环境技术有限公司于2025年1月6日和2025年4月14日测得的监测结果（附件8）；监测报告数据表4-6</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项目运营期</w:t>
            </w:r>
            <w:r>
              <w:rPr>
                <w:rFonts w:hint="eastAsia" w:ascii="Times New Roman" w:hAnsi="Times New Roman" w:eastAsia="宋体" w:cs="Times New Roman"/>
                <w:b w:val="0"/>
                <w:bCs w:val="0"/>
                <w:color w:val="auto"/>
                <w:kern w:val="2"/>
                <w:sz w:val="24"/>
                <w:szCs w:val="24"/>
                <w:highlight w:val="none"/>
                <w:lang w:val="en-US" w:eastAsia="zh-CN" w:bidi="ar-SA"/>
              </w:rPr>
              <w:t>废水产排污环节、类别、排放去向及污染防治设施一览表</w:t>
            </w:r>
            <w:r>
              <w:rPr>
                <w:rFonts w:hint="eastAsia" w:ascii="Times New Roman" w:hAnsi="Times New Roman" w:cs="Times New Roman"/>
                <w:b w:val="0"/>
                <w:bCs w:val="0"/>
                <w:color w:val="auto"/>
                <w:kern w:val="2"/>
                <w:sz w:val="24"/>
                <w:szCs w:val="24"/>
                <w:highlight w:val="none"/>
                <w:lang w:val="en-US" w:eastAsia="zh-CN" w:bidi="ar-SA"/>
              </w:rPr>
              <w:t>见表4-</w:t>
            </w:r>
            <w:r>
              <w:rPr>
                <w:rFonts w:hint="eastAsia" w:cs="Times New Roman"/>
                <w:b w:val="0"/>
                <w:bCs w:val="0"/>
                <w:color w:val="auto"/>
                <w:kern w:val="2"/>
                <w:sz w:val="24"/>
                <w:szCs w:val="24"/>
                <w:highlight w:val="none"/>
                <w:lang w:val="en-US" w:eastAsia="zh-CN" w:bidi="ar-SA"/>
              </w:rPr>
              <w:t>7</w:t>
            </w:r>
            <w:r>
              <w:rPr>
                <w:rFonts w:hint="eastAsia" w:ascii="Times New Roman" w:hAnsi="Times New Roman" w:eastAsia="宋体" w:cs="Times New Roman"/>
                <w:b w:val="0"/>
                <w:bCs w:val="0"/>
                <w:color w:val="auto"/>
                <w:kern w:val="2"/>
                <w:sz w:val="24"/>
                <w:szCs w:val="24"/>
                <w:highlight w:val="none"/>
                <w:lang w:val="en-US" w:eastAsia="zh-CN" w:bidi="ar-SA"/>
              </w:rPr>
              <w:t>。</w:t>
            </w:r>
          </w:p>
          <w:p w14:paraId="031FF9F6">
            <w:pPr>
              <w:numPr>
                <w:ilvl w:val="0"/>
                <w:numId w:val="0"/>
              </w:numPr>
              <w:bidi w:val="0"/>
              <w:spacing w:line="240" w:lineRule="auto"/>
              <w:jc w:val="center"/>
              <w:rPr>
                <w:rFonts w:hint="default"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 xml:space="preserve"> 表4-8污水监测结果    （单位：mg/L）</w:t>
            </w:r>
          </w:p>
          <w:tbl>
            <w:tblPr>
              <w:tblStyle w:val="30"/>
              <w:tblW w:w="82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1409"/>
              <w:gridCol w:w="896"/>
              <w:gridCol w:w="843"/>
              <w:gridCol w:w="819"/>
              <w:gridCol w:w="819"/>
              <w:gridCol w:w="869"/>
              <w:gridCol w:w="728"/>
              <w:gridCol w:w="694"/>
            </w:tblGrid>
            <w:tr w14:paraId="69194F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restart"/>
                  <w:tcBorders>
                    <w:tl2br w:val="nil"/>
                    <w:tr2bl w:val="nil"/>
                  </w:tcBorders>
                  <w:noWrap w:val="0"/>
                  <w:vAlign w:val="center"/>
                </w:tcPr>
                <w:p w14:paraId="3D6EFF2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b/>
                      <w:color w:val="auto"/>
                      <w:sz w:val="21"/>
                      <w:szCs w:val="21"/>
                      <w:highlight w:val="none"/>
                      <w:lang w:val="en-US" w:eastAsia="zh-CN"/>
                    </w:rPr>
                  </w:pPr>
                  <w:r>
                    <w:rPr>
                      <w:rFonts w:hint="eastAsia"/>
                      <w:b/>
                      <w:color w:val="auto"/>
                      <w:sz w:val="21"/>
                      <w:szCs w:val="21"/>
                      <w:highlight w:val="none"/>
                      <w:lang w:val="en-US" w:eastAsia="zh-CN"/>
                    </w:rPr>
                    <w:t>样品点位</w:t>
                  </w:r>
                </w:p>
              </w:tc>
              <w:tc>
                <w:tcPr>
                  <w:tcW w:w="857" w:type="pct"/>
                  <w:vMerge w:val="restart"/>
                  <w:tcBorders>
                    <w:tl2br w:val="nil"/>
                    <w:tr2bl w:val="nil"/>
                  </w:tcBorders>
                  <w:noWrap w:val="0"/>
                  <w:vAlign w:val="center"/>
                </w:tcPr>
                <w:p w14:paraId="7D663BC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b/>
                      <w:color w:val="auto"/>
                      <w:sz w:val="21"/>
                      <w:szCs w:val="21"/>
                      <w:highlight w:val="none"/>
                    </w:rPr>
                  </w:pPr>
                  <w:r>
                    <w:rPr>
                      <w:rFonts w:hint="eastAsia"/>
                      <w:b/>
                      <w:color w:val="auto"/>
                      <w:sz w:val="21"/>
                      <w:szCs w:val="21"/>
                      <w:highlight w:val="none"/>
                    </w:rPr>
                    <w:t>分析项目</w:t>
                  </w:r>
                </w:p>
              </w:tc>
              <w:tc>
                <w:tcPr>
                  <w:tcW w:w="2583" w:type="pct"/>
                  <w:gridSpan w:val="5"/>
                  <w:tcBorders>
                    <w:tl2br w:val="nil"/>
                    <w:tr2bl w:val="nil"/>
                  </w:tcBorders>
                  <w:noWrap w:val="0"/>
                  <w:vAlign w:val="center"/>
                </w:tcPr>
                <w:p w14:paraId="279A08A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检测值</w:t>
                  </w:r>
                </w:p>
              </w:tc>
              <w:tc>
                <w:tcPr>
                  <w:tcW w:w="443" w:type="pct"/>
                  <w:vMerge w:val="restart"/>
                  <w:tcBorders>
                    <w:tl2br w:val="nil"/>
                    <w:tr2bl w:val="nil"/>
                  </w:tcBorders>
                  <w:noWrap w:val="0"/>
                  <w:vAlign w:val="center"/>
                </w:tcPr>
                <w:p w14:paraId="4EBAA3D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标准限值</w:t>
                  </w:r>
                </w:p>
              </w:tc>
              <w:tc>
                <w:tcPr>
                  <w:tcW w:w="422" w:type="pct"/>
                  <w:vMerge w:val="restart"/>
                  <w:tcBorders>
                    <w:tl2br w:val="nil"/>
                    <w:tr2bl w:val="nil"/>
                  </w:tcBorders>
                  <w:noWrap w:val="0"/>
                  <w:vAlign w:val="center"/>
                </w:tcPr>
                <w:p w14:paraId="5D88ED9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是否达标</w:t>
                  </w:r>
                </w:p>
              </w:tc>
            </w:tr>
            <w:tr w14:paraId="730A03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0C5321F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p>
              </w:tc>
              <w:tc>
                <w:tcPr>
                  <w:tcW w:w="857" w:type="pct"/>
                  <w:vMerge w:val="continue"/>
                  <w:tcBorders>
                    <w:tl2br w:val="nil"/>
                    <w:tr2bl w:val="nil"/>
                  </w:tcBorders>
                  <w:noWrap w:val="0"/>
                  <w:vAlign w:val="center"/>
                </w:tcPr>
                <w:p w14:paraId="5D9C2ED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p>
              </w:tc>
              <w:tc>
                <w:tcPr>
                  <w:tcW w:w="545" w:type="pct"/>
                  <w:tcBorders>
                    <w:tl2br w:val="nil"/>
                    <w:tr2bl w:val="nil"/>
                  </w:tcBorders>
                  <w:noWrap w:val="0"/>
                  <w:vAlign w:val="center"/>
                </w:tcPr>
                <w:p w14:paraId="4E5ADA6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第1次</w:t>
                  </w:r>
                </w:p>
              </w:tc>
              <w:tc>
                <w:tcPr>
                  <w:tcW w:w="513" w:type="pct"/>
                  <w:tcBorders>
                    <w:tl2br w:val="nil"/>
                    <w:tr2bl w:val="nil"/>
                  </w:tcBorders>
                  <w:noWrap w:val="0"/>
                  <w:vAlign w:val="center"/>
                </w:tcPr>
                <w:p w14:paraId="5AAFBF3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第2次</w:t>
                  </w:r>
                </w:p>
              </w:tc>
              <w:tc>
                <w:tcPr>
                  <w:tcW w:w="498" w:type="pct"/>
                  <w:tcBorders>
                    <w:tl2br w:val="nil"/>
                    <w:tr2bl w:val="nil"/>
                  </w:tcBorders>
                  <w:noWrap w:val="0"/>
                  <w:vAlign w:val="center"/>
                </w:tcPr>
                <w:p w14:paraId="7B723DB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第3次</w:t>
                  </w:r>
                </w:p>
              </w:tc>
              <w:tc>
                <w:tcPr>
                  <w:tcW w:w="498" w:type="pct"/>
                  <w:tcBorders>
                    <w:tl2br w:val="nil"/>
                    <w:tr2bl w:val="nil"/>
                  </w:tcBorders>
                  <w:noWrap w:val="0"/>
                  <w:vAlign w:val="center"/>
                </w:tcPr>
                <w:p w14:paraId="007E9ED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第4次</w:t>
                  </w:r>
                </w:p>
              </w:tc>
              <w:tc>
                <w:tcPr>
                  <w:tcW w:w="527" w:type="pct"/>
                  <w:tcBorders>
                    <w:tl2br w:val="nil"/>
                    <w:tr2bl w:val="nil"/>
                  </w:tcBorders>
                  <w:noWrap w:val="0"/>
                  <w:vAlign w:val="center"/>
                </w:tcPr>
                <w:p w14:paraId="0D156EA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b/>
                      <w:color w:val="auto"/>
                      <w:sz w:val="21"/>
                      <w:szCs w:val="21"/>
                      <w:highlight w:val="none"/>
                    </w:rPr>
                    <w:t>平均值</w:t>
                  </w:r>
                </w:p>
              </w:tc>
              <w:tc>
                <w:tcPr>
                  <w:tcW w:w="443" w:type="pct"/>
                  <w:vMerge w:val="continue"/>
                  <w:tcBorders>
                    <w:tl2br w:val="nil"/>
                    <w:tr2bl w:val="nil"/>
                  </w:tcBorders>
                  <w:noWrap w:val="0"/>
                  <w:vAlign w:val="center"/>
                </w:tcPr>
                <w:p w14:paraId="444F1EC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p>
              </w:tc>
              <w:tc>
                <w:tcPr>
                  <w:tcW w:w="422" w:type="pct"/>
                  <w:vMerge w:val="continue"/>
                  <w:tcBorders>
                    <w:tl2br w:val="nil"/>
                    <w:tr2bl w:val="nil"/>
                  </w:tcBorders>
                  <w:noWrap w:val="0"/>
                  <w:vAlign w:val="center"/>
                </w:tcPr>
                <w:p w14:paraId="0989D73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p>
              </w:tc>
            </w:tr>
            <w:tr w14:paraId="257358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restart"/>
                  <w:tcBorders>
                    <w:tl2br w:val="nil"/>
                    <w:tr2bl w:val="nil"/>
                  </w:tcBorders>
                  <w:noWrap w:val="0"/>
                  <w:vAlign w:val="center"/>
                </w:tcPr>
                <w:p w14:paraId="7CACE02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highlight w:val="none"/>
                    </w:rPr>
                  </w:pPr>
                  <w:r>
                    <w:rPr>
                      <w:rFonts w:hint="eastAsia"/>
                      <w:color w:val="auto"/>
                      <w:sz w:val="21"/>
                      <w:szCs w:val="21"/>
                      <w:highlight w:val="none"/>
                    </w:rPr>
                    <w:t>污水处理设施DW001</w:t>
                  </w:r>
                </w:p>
                <w:p w14:paraId="1AB6FD8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eastAsia"/>
                      <w:color w:val="auto"/>
                      <w:sz w:val="21"/>
                      <w:szCs w:val="21"/>
                      <w:highlight w:val="none"/>
                    </w:rPr>
                    <w:t>进口</w:t>
                  </w:r>
                </w:p>
              </w:tc>
              <w:tc>
                <w:tcPr>
                  <w:tcW w:w="857" w:type="pct"/>
                  <w:tcBorders>
                    <w:tl2br w:val="nil"/>
                    <w:tr2bl w:val="nil"/>
                  </w:tcBorders>
                  <w:noWrap w:val="0"/>
                  <w:vAlign w:val="center"/>
                </w:tcPr>
                <w:p w14:paraId="388AB54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SS</w:t>
                  </w:r>
                </w:p>
              </w:tc>
              <w:tc>
                <w:tcPr>
                  <w:tcW w:w="545" w:type="pct"/>
                  <w:tcBorders>
                    <w:tl2br w:val="nil"/>
                    <w:tr2bl w:val="nil"/>
                  </w:tcBorders>
                  <w:noWrap w:val="0"/>
                  <w:vAlign w:val="center"/>
                </w:tcPr>
                <w:p w14:paraId="5CD801B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58</w:t>
                  </w:r>
                </w:p>
              </w:tc>
              <w:tc>
                <w:tcPr>
                  <w:tcW w:w="513" w:type="pct"/>
                  <w:tcBorders>
                    <w:tl2br w:val="nil"/>
                    <w:tr2bl w:val="nil"/>
                  </w:tcBorders>
                  <w:noWrap w:val="0"/>
                  <w:vAlign w:val="center"/>
                </w:tcPr>
                <w:p w14:paraId="3062FFE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56</w:t>
                  </w:r>
                </w:p>
              </w:tc>
              <w:tc>
                <w:tcPr>
                  <w:tcW w:w="498" w:type="pct"/>
                  <w:tcBorders>
                    <w:tl2br w:val="nil"/>
                    <w:tr2bl w:val="nil"/>
                  </w:tcBorders>
                  <w:noWrap w:val="0"/>
                  <w:vAlign w:val="center"/>
                </w:tcPr>
                <w:p w14:paraId="77D59EC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45</w:t>
                  </w:r>
                </w:p>
              </w:tc>
              <w:tc>
                <w:tcPr>
                  <w:tcW w:w="498" w:type="pct"/>
                  <w:tcBorders>
                    <w:tl2br w:val="nil"/>
                    <w:tr2bl w:val="nil"/>
                  </w:tcBorders>
                  <w:noWrap w:val="0"/>
                  <w:vAlign w:val="center"/>
                </w:tcPr>
                <w:p w14:paraId="3AB2929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52</w:t>
                  </w:r>
                </w:p>
              </w:tc>
              <w:tc>
                <w:tcPr>
                  <w:tcW w:w="527" w:type="pct"/>
                  <w:tcBorders>
                    <w:tl2br w:val="nil"/>
                    <w:tr2bl w:val="nil"/>
                  </w:tcBorders>
                  <w:noWrap w:val="0"/>
                  <w:vAlign w:val="center"/>
                </w:tcPr>
                <w:p w14:paraId="73A6B7C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53</w:t>
                  </w:r>
                </w:p>
              </w:tc>
              <w:tc>
                <w:tcPr>
                  <w:tcW w:w="443" w:type="pct"/>
                  <w:tcBorders>
                    <w:tl2br w:val="nil"/>
                    <w:tr2bl w:val="nil"/>
                  </w:tcBorders>
                  <w:noWrap w:val="0"/>
                  <w:vAlign w:val="center"/>
                </w:tcPr>
                <w:p w14:paraId="3FAF163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eastAsia"/>
                      <w:color w:val="auto"/>
                      <w:sz w:val="21"/>
                      <w:szCs w:val="21"/>
                      <w:highlight w:val="none"/>
                    </w:rPr>
                    <w:t>/</w:t>
                  </w:r>
                </w:p>
              </w:tc>
              <w:tc>
                <w:tcPr>
                  <w:tcW w:w="422" w:type="pct"/>
                  <w:tcBorders>
                    <w:tl2br w:val="nil"/>
                    <w:tr2bl w:val="nil"/>
                  </w:tcBorders>
                  <w:noWrap w:val="0"/>
                  <w:vAlign w:val="center"/>
                </w:tcPr>
                <w:p w14:paraId="00B0F52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color w:val="auto"/>
                      <w:sz w:val="21"/>
                      <w:szCs w:val="21"/>
                      <w:highlight w:val="none"/>
                    </w:rPr>
                    <w:t>/</w:t>
                  </w:r>
                </w:p>
              </w:tc>
            </w:tr>
            <w:tr w14:paraId="14CA35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1AA44A0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5CFC620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COD</w:t>
                  </w:r>
                </w:p>
              </w:tc>
              <w:tc>
                <w:tcPr>
                  <w:tcW w:w="545" w:type="pct"/>
                  <w:tcBorders>
                    <w:tl2br w:val="nil"/>
                    <w:tr2bl w:val="nil"/>
                  </w:tcBorders>
                  <w:noWrap w:val="0"/>
                  <w:vAlign w:val="center"/>
                </w:tcPr>
                <w:p w14:paraId="0785AD2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53</w:t>
                  </w:r>
                </w:p>
              </w:tc>
              <w:tc>
                <w:tcPr>
                  <w:tcW w:w="513" w:type="pct"/>
                  <w:tcBorders>
                    <w:tl2br w:val="nil"/>
                    <w:tr2bl w:val="nil"/>
                  </w:tcBorders>
                  <w:noWrap w:val="0"/>
                  <w:vAlign w:val="center"/>
                </w:tcPr>
                <w:p w14:paraId="4A8254A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64</w:t>
                  </w:r>
                </w:p>
              </w:tc>
              <w:tc>
                <w:tcPr>
                  <w:tcW w:w="498" w:type="pct"/>
                  <w:tcBorders>
                    <w:tl2br w:val="nil"/>
                    <w:tr2bl w:val="nil"/>
                  </w:tcBorders>
                  <w:noWrap w:val="0"/>
                  <w:vAlign w:val="center"/>
                </w:tcPr>
                <w:p w14:paraId="77AAB46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77</w:t>
                  </w:r>
                </w:p>
              </w:tc>
              <w:tc>
                <w:tcPr>
                  <w:tcW w:w="498" w:type="pct"/>
                  <w:tcBorders>
                    <w:tl2br w:val="nil"/>
                    <w:tr2bl w:val="nil"/>
                  </w:tcBorders>
                  <w:noWrap w:val="0"/>
                  <w:vAlign w:val="center"/>
                </w:tcPr>
                <w:p w14:paraId="73732D1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71</w:t>
                  </w:r>
                </w:p>
              </w:tc>
              <w:tc>
                <w:tcPr>
                  <w:tcW w:w="527" w:type="pct"/>
                  <w:tcBorders>
                    <w:tl2br w:val="nil"/>
                    <w:tr2bl w:val="nil"/>
                  </w:tcBorders>
                  <w:noWrap w:val="0"/>
                  <w:vAlign w:val="center"/>
                </w:tcPr>
                <w:p w14:paraId="4E72DE7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66</w:t>
                  </w:r>
                </w:p>
              </w:tc>
              <w:tc>
                <w:tcPr>
                  <w:tcW w:w="443" w:type="pct"/>
                  <w:tcBorders>
                    <w:tl2br w:val="nil"/>
                    <w:tr2bl w:val="nil"/>
                  </w:tcBorders>
                  <w:noWrap w:val="0"/>
                  <w:vAlign w:val="center"/>
                </w:tcPr>
                <w:p w14:paraId="13B14FB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color w:val="auto"/>
                      <w:sz w:val="21"/>
                      <w:szCs w:val="21"/>
                      <w:highlight w:val="none"/>
                    </w:rPr>
                    <w:t>/</w:t>
                  </w:r>
                </w:p>
              </w:tc>
              <w:tc>
                <w:tcPr>
                  <w:tcW w:w="422" w:type="pct"/>
                  <w:tcBorders>
                    <w:tl2br w:val="nil"/>
                    <w:tr2bl w:val="nil"/>
                  </w:tcBorders>
                  <w:noWrap w:val="0"/>
                  <w:vAlign w:val="center"/>
                </w:tcPr>
                <w:p w14:paraId="7782ACD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eastAsia"/>
                      <w:color w:val="auto"/>
                      <w:sz w:val="21"/>
                      <w:szCs w:val="21"/>
                      <w:highlight w:val="none"/>
                    </w:rPr>
                    <w:t>/</w:t>
                  </w:r>
                </w:p>
              </w:tc>
            </w:tr>
            <w:tr w14:paraId="3FC32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28E02F8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57BB483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s="Calibri"/>
                      <w:color w:val="auto"/>
                      <w:sz w:val="21"/>
                      <w:szCs w:val="21"/>
                      <w:highlight w:val="none"/>
                      <w:lang w:val="en-US" w:eastAsia="zh-CN"/>
                    </w:rPr>
                  </w:pPr>
                  <w:r>
                    <w:rPr>
                      <w:rFonts w:hint="eastAsia" w:cs="Calibri"/>
                      <w:color w:val="auto"/>
                      <w:sz w:val="21"/>
                      <w:szCs w:val="21"/>
                      <w:highlight w:val="none"/>
                      <w:lang w:val="en-US" w:eastAsia="zh-CN"/>
                    </w:rPr>
                    <w:t>NH</w:t>
                  </w:r>
                  <w:r>
                    <w:rPr>
                      <w:rFonts w:hint="eastAsia" w:cs="Calibri"/>
                      <w:color w:val="auto"/>
                      <w:sz w:val="21"/>
                      <w:szCs w:val="21"/>
                      <w:highlight w:val="none"/>
                      <w:vertAlign w:val="subscript"/>
                      <w:lang w:val="en-US" w:eastAsia="zh-CN"/>
                    </w:rPr>
                    <w:t>3</w:t>
                  </w:r>
                  <w:r>
                    <w:rPr>
                      <w:rFonts w:hint="eastAsia" w:cs="Calibri"/>
                      <w:color w:val="auto"/>
                      <w:sz w:val="21"/>
                      <w:szCs w:val="21"/>
                      <w:highlight w:val="none"/>
                      <w:lang w:val="en-US" w:eastAsia="zh-CN"/>
                    </w:rPr>
                    <w:t>-N</w:t>
                  </w:r>
                </w:p>
              </w:tc>
              <w:tc>
                <w:tcPr>
                  <w:tcW w:w="545" w:type="pct"/>
                  <w:tcBorders>
                    <w:tl2br w:val="nil"/>
                    <w:tr2bl w:val="nil"/>
                  </w:tcBorders>
                  <w:noWrap w:val="0"/>
                  <w:vAlign w:val="center"/>
                </w:tcPr>
                <w:p w14:paraId="3124CDD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4.48</w:t>
                  </w:r>
                </w:p>
              </w:tc>
              <w:tc>
                <w:tcPr>
                  <w:tcW w:w="513" w:type="pct"/>
                  <w:tcBorders>
                    <w:tl2br w:val="nil"/>
                    <w:tr2bl w:val="nil"/>
                  </w:tcBorders>
                  <w:noWrap w:val="0"/>
                  <w:vAlign w:val="center"/>
                </w:tcPr>
                <w:p w14:paraId="69C2F11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4.51</w:t>
                  </w:r>
                </w:p>
              </w:tc>
              <w:tc>
                <w:tcPr>
                  <w:tcW w:w="498" w:type="pct"/>
                  <w:tcBorders>
                    <w:tl2br w:val="nil"/>
                    <w:tr2bl w:val="nil"/>
                  </w:tcBorders>
                  <w:noWrap w:val="0"/>
                  <w:vAlign w:val="center"/>
                </w:tcPr>
                <w:p w14:paraId="69461EC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4.11</w:t>
                  </w:r>
                </w:p>
              </w:tc>
              <w:tc>
                <w:tcPr>
                  <w:tcW w:w="498" w:type="pct"/>
                  <w:tcBorders>
                    <w:tl2br w:val="nil"/>
                    <w:tr2bl w:val="nil"/>
                  </w:tcBorders>
                  <w:noWrap w:val="0"/>
                  <w:vAlign w:val="center"/>
                </w:tcPr>
                <w:p w14:paraId="019E592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4.45</w:t>
                  </w:r>
                </w:p>
              </w:tc>
              <w:tc>
                <w:tcPr>
                  <w:tcW w:w="527" w:type="pct"/>
                  <w:tcBorders>
                    <w:tl2br w:val="nil"/>
                    <w:tr2bl w:val="nil"/>
                  </w:tcBorders>
                  <w:noWrap w:val="0"/>
                  <w:vAlign w:val="center"/>
                </w:tcPr>
                <w:p w14:paraId="25F2784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4.39</w:t>
                  </w:r>
                </w:p>
              </w:tc>
              <w:tc>
                <w:tcPr>
                  <w:tcW w:w="443" w:type="pct"/>
                  <w:tcBorders>
                    <w:tl2br w:val="nil"/>
                    <w:tr2bl w:val="nil"/>
                  </w:tcBorders>
                  <w:noWrap w:val="0"/>
                  <w:vAlign w:val="center"/>
                </w:tcPr>
                <w:p w14:paraId="1703C61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color w:val="auto"/>
                      <w:sz w:val="21"/>
                      <w:szCs w:val="21"/>
                      <w:highlight w:val="none"/>
                    </w:rPr>
                    <w:t>/</w:t>
                  </w:r>
                </w:p>
              </w:tc>
              <w:tc>
                <w:tcPr>
                  <w:tcW w:w="422" w:type="pct"/>
                  <w:tcBorders>
                    <w:tl2br w:val="nil"/>
                    <w:tr2bl w:val="nil"/>
                  </w:tcBorders>
                  <w:noWrap w:val="0"/>
                  <w:vAlign w:val="center"/>
                </w:tcPr>
                <w:p w14:paraId="7B68E64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eastAsia"/>
                      <w:color w:val="auto"/>
                      <w:sz w:val="21"/>
                      <w:szCs w:val="21"/>
                      <w:highlight w:val="none"/>
                    </w:rPr>
                    <w:t>/</w:t>
                  </w:r>
                </w:p>
              </w:tc>
            </w:tr>
            <w:tr w14:paraId="59A501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2D97C18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6B0A0D4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s="Calibri"/>
                      <w:color w:val="auto"/>
                      <w:sz w:val="21"/>
                      <w:szCs w:val="21"/>
                      <w:highlight w:val="none"/>
                      <w:lang w:val="en-US" w:eastAsia="zh-CN"/>
                    </w:rPr>
                  </w:pPr>
                  <w:r>
                    <w:rPr>
                      <w:rFonts w:hint="eastAsia" w:cs="Calibri"/>
                      <w:color w:val="auto"/>
                      <w:sz w:val="21"/>
                      <w:szCs w:val="21"/>
                      <w:highlight w:val="none"/>
                      <w:lang w:val="en-US" w:eastAsia="zh-CN"/>
                    </w:rPr>
                    <w:t>BOD</w:t>
                  </w:r>
                  <w:r>
                    <w:rPr>
                      <w:rFonts w:hint="eastAsia" w:cs="Calibri"/>
                      <w:color w:val="auto"/>
                      <w:sz w:val="21"/>
                      <w:szCs w:val="21"/>
                      <w:highlight w:val="none"/>
                      <w:vertAlign w:val="subscript"/>
                      <w:lang w:val="en-US" w:eastAsia="zh-CN"/>
                    </w:rPr>
                    <w:t>5</w:t>
                  </w:r>
                </w:p>
              </w:tc>
              <w:tc>
                <w:tcPr>
                  <w:tcW w:w="545" w:type="pct"/>
                  <w:tcBorders>
                    <w:tl2br w:val="nil"/>
                    <w:tr2bl w:val="nil"/>
                  </w:tcBorders>
                  <w:noWrap w:val="0"/>
                  <w:vAlign w:val="center"/>
                </w:tcPr>
                <w:p w14:paraId="45CCDCF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30.4</w:t>
                  </w:r>
                </w:p>
              </w:tc>
              <w:tc>
                <w:tcPr>
                  <w:tcW w:w="513" w:type="pct"/>
                  <w:tcBorders>
                    <w:tl2br w:val="nil"/>
                    <w:tr2bl w:val="nil"/>
                  </w:tcBorders>
                  <w:noWrap w:val="0"/>
                  <w:vAlign w:val="center"/>
                </w:tcPr>
                <w:p w14:paraId="09E200E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27.5</w:t>
                  </w:r>
                </w:p>
              </w:tc>
              <w:tc>
                <w:tcPr>
                  <w:tcW w:w="498" w:type="pct"/>
                  <w:tcBorders>
                    <w:tl2br w:val="nil"/>
                    <w:tr2bl w:val="nil"/>
                  </w:tcBorders>
                  <w:noWrap w:val="0"/>
                  <w:vAlign w:val="center"/>
                </w:tcPr>
                <w:p w14:paraId="6024A50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26.4</w:t>
                  </w:r>
                </w:p>
              </w:tc>
              <w:tc>
                <w:tcPr>
                  <w:tcW w:w="498" w:type="pct"/>
                  <w:tcBorders>
                    <w:tl2br w:val="nil"/>
                    <w:tr2bl w:val="nil"/>
                  </w:tcBorders>
                  <w:noWrap w:val="0"/>
                  <w:vAlign w:val="center"/>
                </w:tcPr>
                <w:p w14:paraId="06F338B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33.1</w:t>
                  </w:r>
                </w:p>
              </w:tc>
              <w:tc>
                <w:tcPr>
                  <w:tcW w:w="527" w:type="pct"/>
                  <w:tcBorders>
                    <w:tl2br w:val="nil"/>
                    <w:tr2bl w:val="nil"/>
                  </w:tcBorders>
                  <w:noWrap w:val="0"/>
                  <w:vAlign w:val="center"/>
                </w:tcPr>
                <w:p w14:paraId="6EE18C1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29.4</w:t>
                  </w:r>
                </w:p>
              </w:tc>
              <w:tc>
                <w:tcPr>
                  <w:tcW w:w="443" w:type="pct"/>
                  <w:tcBorders>
                    <w:tl2br w:val="nil"/>
                    <w:tr2bl w:val="nil"/>
                  </w:tcBorders>
                  <w:noWrap w:val="0"/>
                  <w:vAlign w:val="center"/>
                </w:tcPr>
                <w:p w14:paraId="2D1660D1">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color w:val="auto"/>
                      <w:sz w:val="21"/>
                      <w:szCs w:val="21"/>
                      <w:highlight w:val="none"/>
                    </w:rPr>
                  </w:pPr>
                  <w:r>
                    <w:rPr>
                      <w:rFonts w:hint="eastAsia"/>
                      <w:color w:val="auto"/>
                      <w:sz w:val="21"/>
                      <w:szCs w:val="21"/>
                      <w:highlight w:val="none"/>
                    </w:rPr>
                    <w:t>/</w:t>
                  </w:r>
                </w:p>
              </w:tc>
              <w:tc>
                <w:tcPr>
                  <w:tcW w:w="422" w:type="pct"/>
                  <w:tcBorders>
                    <w:tl2br w:val="nil"/>
                    <w:tr2bl w:val="nil"/>
                  </w:tcBorders>
                  <w:noWrap w:val="0"/>
                  <w:vAlign w:val="center"/>
                </w:tcPr>
                <w:p w14:paraId="6DAE87D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eastAsia"/>
                      <w:color w:val="auto"/>
                      <w:sz w:val="21"/>
                      <w:szCs w:val="21"/>
                      <w:highlight w:val="none"/>
                    </w:rPr>
                    <w:t>/</w:t>
                  </w:r>
                </w:p>
              </w:tc>
            </w:tr>
            <w:tr w14:paraId="2FBDEE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0C2B0FA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1B20E98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s="Calibri"/>
                      <w:color w:val="auto"/>
                      <w:sz w:val="21"/>
                      <w:szCs w:val="21"/>
                      <w:highlight w:val="none"/>
                      <w:lang w:val="en-US" w:eastAsia="zh-CN"/>
                    </w:rPr>
                  </w:pPr>
                  <w:r>
                    <w:rPr>
                      <w:rFonts w:hint="eastAsia" w:cs="Calibri"/>
                      <w:color w:val="auto"/>
                      <w:sz w:val="21"/>
                      <w:szCs w:val="21"/>
                      <w:highlight w:val="none"/>
                      <w:lang w:val="en-US" w:eastAsia="zh-CN"/>
                    </w:rPr>
                    <w:t>pH</w:t>
                  </w:r>
                </w:p>
              </w:tc>
              <w:tc>
                <w:tcPr>
                  <w:tcW w:w="545" w:type="pct"/>
                  <w:tcBorders>
                    <w:tl2br w:val="nil"/>
                    <w:tr2bl w:val="nil"/>
                  </w:tcBorders>
                  <w:noWrap w:val="0"/>
                  <w:vAlign w:val="center"/>
                </w:tcPr>
                <w:p w14:paraId="08FC93C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6.9</w:t>
                  </w:r>
                </w:p>
              </w:tc>
              <w:tc>
                <w:tcPr>
                  <w:tcW w:w="513" w:type="pct"/>
                  <w:tcBorders>
                    <w:tl2br w:val="nil"/>
                    <w:tr2bl w:val="nil"/>
                  </w:tcBorders>
                  <w:noWrap w:val="0"/>
                  <w:vAlign w:val="center"/>
                </w:tcPr>
                <w:p w14:paraId="01D4192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7.1</w:t>
                  </w:r>
                </w:p>
              </w:tc>
              <w:tc>
                <w:tcPr>
                  <w:tcW w:w="498" w:type="pct"/>
                  <w:tcBorders>
                    <w:tl2br w:val="nil"/>
                    <w:tr2bl w:val="nil"/>
                  </w:tcBorders>
                  <w:noWrap w:val="0"/>
                  <w:vAlign w:val="center"/>
                </w:tcPr>
                <w:p w14:paraId="52B2954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7.0</w:t>
                  </w:r>
                </w:p>
              </w:tc>
              <w:tc>
                <w:tcPr>
                  <w:tcW w:w="498" w:type="pct"/>
                  <w:tcBorders>
                    <w:tl2br w:val="nil"/>
                    <w:tr2bl w:val="nil"/>
                  </w:tcBorders>
                  <w:noWrap w:val="0"/>
                  <w:vAlign w:val="center"/>
                </w:tcPr>
                <w:p w14:paraId="251850B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6.9</w:t>
                  </w:r>
                </w:p>
              </w:tc>
              <w:tc>
                <w:tcPr>
                  <w:tcW w:w="527" w:type="pct"/>
                  <w:tcBorders>
                    <w:tl2br w:val="nil"/>
                    <w:tr2bl w:val="nil"/>
                  </w:tcBorders>
                  <w:noWrap w:val="0"/>
                  <w:vAlign w:val="center"/>
                </w:tcPr>
                <w:p w14:paraId="26141D29">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6.9~7.1</w:t>
                  </w:r>
                </w:p>
              </w:tc>
              <w:tc>
                <w:tcPr>
                  <w:tcW w:w="443" w:type="pct"/>
                  <w:tcBorders>
                    <w:tl2br w:val="nil"/>
                    <w:tr2bl w:val="nil"/>
                  </w:tcBorders>
                  <w:noWrap w:val="0"/>
                  <w:vAlign w:val="center"/>
                </w:tcPr>
                <w:p w14:paraId="3C0C428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422" w:type="pct"/>
                  <w:tcBorders>
                    <w:tl2br w:val="nil"/>
                    <w:tr2bl w:val="nil"/>
                  </w:tcBorders>
                  <w:noWrap w:val="0"/>
                  <w:vAlign w:val="center"/>
                </w:tcPr>
                <w:p w14:paraId="5C3706E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r>
            <w:tr w14:paraId="20584C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93" w:type="pct"/>
                  <w:vMerge w:val="restart"/>
                  <w:tcBorders>
                    <w:tl2br w:val="nil"/>
                    <w:tr2bl w:val="nil"/>
                  </w:tcBorders>
                  <w:noWrap w:val="0"/>
                  <w:vAlign w:val="center"/>
                </w:tcPr>
                <w:p w14:paraId="616D3C2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highlight w:val="none"/>
                    </w:rPr>
                  </w:pPr>
                  <w:r>
                    <w:rPr>
                      <w:rFonts w:hint="eastAsia"/>
                      <w:color w:val="auto"/>
                      <w:sz w:val="21"/>
                      <w:szCs w:val="21"/>
                      <w:highlight w:val="none"/>
                    </w:rPr>
                    <w:t>污水处理设施DW001</w:t>
                  </w:r>
                </w:p>
                <w:p w14:paraId="72B1A57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出</w:t>
                  </w:r>
                  <w:r>
                    <w:rPr>
                      <w:rFonts w:hint="eastAsia"/>
                      <w:color w:val="auto"/>
                      <w:sz w:val="21"/>
                      <w:szCs w:val="21"/>
                      <w:highlight w:val="none"/>
                    </w:rPr>
                    <w:t>口</w:t>
                  </w:r>
                </w:p>
              </w:tc>
              <w:tc>
                <w:tcPr>
                  <w:tcW w:w="857" w:type="pct"/>
                  <w:tcBorders>
                    <w:tl2br w:val="nil"/>
                    <w:tr2bl w:val="nil"/>
                  </w:tcBorders>
                  <w:noWrap w:val="0"/>
                  <w:vAlign w:val="center"/>
                </w:tcPr>
                <w:p w14:paraId="106AAA9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SS</w:t>
                  </w:r>
                </w:p>
              </w:tc>
              <w:tc>
                <w:tcPr>
                  <w:tcW w:w="545" w:type="pct"/>
                  <w:tcBorders>
                    <w:tl2br w:val="nil"/>
                    <w:tr2bl w:val="nil"/>
                  </w:tcBorders>
                  <w:noWrap w:val="0"/>
                  <w:vAlign w:val="center"/>
                </w:tcPr>
                <w:p w14:paraId="500BFB1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19</w:t>
                  </w:r>
                </w:p>
              </w:tc>
              <w:tc>
                <w:tcPr>
                  <w:tcW w:w="513" w:type="pct"/>
                  <w:tcBorders>
                    <w:tl2br w:val="nil"/>
                    <w:tr2bl w:val="nil"/>
                  </w:tcBorders>
                  <w:noWrap w:val="0"/>
                  <w:vAlign w:val="center"/>
                </w:tcPr>
                <w:p w14:paraId="5B2CD88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11</w:t>
                  </w:r>
                </w:p>
              </w:tc>
              <w:tc>
                <w:tcPr>
                  <w:tcW w:w="498" w:type="pct"/>
                  <w:tcBorders>
                    <w:tl2br w:val="nil"/>
                    <w:tr2bl w:val="nil"/>
                  </w:tcBorders>
                  <w:noWrap w:val="0"/>
                  <w:vAlign w:val="center"/>
                </w:tcPr>
                <w:p w14:paraId="25EE363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15</w:t>
                  </w:r>
                </w:p>
              </w:tc>
              <w:tc>
                <w:tcPr>
                  <w:tcW w:w="498" w:type="pct"/>
                  <w:tcBorders>
                    <w:tl2br w:val="nil"/>
                    <w:tr2bl w:val="nil"/>
                  </w:tcBorders>
                  <w:noWrap w:val="0"/>
                  <w:vAlign w:val="center"/>
                </w:tcPr>
                <w:p w14:paraId="6B80984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12</w:t>
                  </w:r>
                </w:p>
              </w:tc>
              <w:tc>
                <w:tcPr>
                  <w:tcW w:w="527" w:type="pct"/>
                  <w:tcBorders>
                    <w:tl2br w:val="nil"/>
                    <w:tr2bl w:val="nil"/>
                  </w:tcBorders>
                  <w:noWrap w:val="0"/>
                  <w:vAlign w:val="center"/>
                </w:tcPr>
                <w:p w14:paraId="1AB5011D">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14</w:t>
                  </w:r>
                </w:p>
              </w:tc>
              <w:tc>
                <w:tcPr>
                  <w:tcW w:w="443" w:type="pct"/>
                  <w:tcBorders>
                    <w:tl2br w:val="nil"/>
                    <w:tr2bl w:val="nil"/>
                  </w:tcBorders>
                  <w:noWrap w:val="0"/>
                  <w:vAlign w:val="center"/>
                </w:tcPr>
                <w:p w14:paraId="3AE6C27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highlight w:val="none"/>
                    </w:rPr>
                  </w:pPr>
                  <w:r>
                    <w:rPr>
                      <w:rFonts w:hint="eastAsia"/>
                      <w:b w:val="0"/>
                      <w:bCs/>
                      <w:color w:val="auto"/>
                      <w:sz w:val="21"/>
                      <w:szCs w:val="21"/>
                      <w:highlight w:val="none"/>
                    </w:rPr>
                    <w:t>400</w:t>
                  </w:r>
                </w:p>
              </w:tc>
              <w:tc>
                <w:tcPr>
                  <w:tcW w:w="422" w:type="pct"/>
                  <w:tcBorders>
                    <w:tl2br w:val="nil"/>
                    <w:tr2bl w:val="nil"/>
                  </w:tcBorders>
                  <w:noWrap w:val="0"/>
                  <w:vAlign w:val="center"/>
                </w:tcPr>
                <w:p w14:paraId="450FB41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default"/>
                      <w:color w:val="auto"/>
                      <w:sz w:val="21"/>
                      <w:szCs w:val="21"/>
                      <w:highlight w:val="none"/>
                    </w:rPr>
                    <w:fldChar w:fldCharType="begin"/>
                  </w:r>
                  <w:r>
                    <w:rPr>
                      <w:rFonts w:hint="default"/>
                      <w:color w:val="auto"/>
                      <w:sz w:val="21"/>
                      <w:szCs w:val="21"/>
                      <w:highlight w:val="none"/>
                    </w:rPr>
                    <w:instrText xml:space="preserve"> =if(e5&lt;f5,"</w:instrText>
                  </w:r>
                  <w:r>
                    <w:rPr>
                      <w:rFonts w:hint="eastAsia"/>
                      <w:color w:val="auto"/>
                      <w:sz w:val="21"/>
                      <w:szCs w:val="21"/>
                      <w:highlight w:val="none"/>
                    </w:rPr>
                    <w:instrText xml:space="preserve">是","超标") \* MERGEFORMAT </w:instrText>
                  </w:r>
                  <w:r>
                    <w:rPr>
                      <w:rFonts w:hint="eastAsia"/>
                      <w:color w:val="auto"/>
                      <w:sz w:val="21"/>
                      <w:szCs w:val="21"/>
                      <w:highlight w:val="none"/>
                    </w:rPr>
                    <w:fldChar w:fldCharType="separate"/>
                  </w:r>
                  <w:r>
                    <w:rPr>
                      <w:rFonts w:hint="eastAsia"/>
                      <w:color w:val="auto"/>
                      <w:sz w:val="21"/>
                      <w:szCs w:val="21"/>
                      <w:highlight w:val="none"/>
                    </w:rPr>
                    <w:t>是</w:t>
                  </w:r>
                  <w:r>
                    <w:rPr>
                      <w:rFonts w:hint="eastAsia"/>
                      <w:color w:val="auto"/>
                      <w:sz w:val="21"/>
                      <w:szCs w:val="21"/>
                      <w:highlight w:val="none"/>
                    </w:rPr>
                    <w:fldChar w:fldCharType="end"/>
                  </w:r>
                </w:p>
              </w:tc>
            </w:tr>
            <w:tr w14:paraId="439274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5D042E2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466C932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olor w:val="auto"/>
                      <w:sz w:val="21"/>
                      <w:szCs w:val="21"/>
                      <w:highlight w:val="none"/>
                    </w:rPr>
                  </w:pPr>
                  <w:r>
                    <w:rPr>
                      <w:rFonts w:hint="eastAsia"/>
                      <w:color w:val="auto"/>
                      <w:sz w:val="21"/>
                      <w:szCs w:val="21"/>
                      <w:highlight w:val="none"/>
                      <w:lang w:val="en-US" w:eastAsia="zh-CN"/>
                    </w:rPr>
                    <w:t>COD</w:t>
                  </w:r>
                </w:p>
              </w:tc>
              <w:tc>
                <w:tcPr>
                  <w:tcW w:w="545" w:type="pct"/>
                  <w:tcBorders>
                    <w:tl2br w:val="nil"/>
                    <w:tr2bl w:val="nil"/>
                  </w:tcBorders>
                  <w:noWrap w:val="0"/>
                  <w:vAlign w:val="center"/>
                </w:tcPr>
                <w:p w14:paraId="5C62E45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8</w:t>
                  </w:r>
                </w:p>
              </w:tc>
              <w:tc>
                <w:tcPr>
                  <w:tcW w:w="513" w:type="pct"/>
                  <w:tcBorders>
                    <w:tl2br w:val="nil"/>
                    <w:tr2bl w:val="nil"/>
                  </w:tcBorders>
                  <w:noWrap w:val="0"/>
                  <w:vAlign w:val="center"/>
                </w:tcPr>
                <w:p w14:paraId="736C4C7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13</w:t>
                  </w:r>
                </w:p>
              </w:tc>
              <w:tc>
                <w:tcPr>
                  <w:tcW w:w="498" w:type="pct"/>
                  <w:tcBorders>
                    <w:tl2br w:val="nil"/>
                    <w:tr2bl w:val="nil"/>
                  </w:tcBorders>
                  <w:noWrap w:val="0"/>
                  <w:vAlign w:val="center"/>
                </w:tcPr>
                <w:p w14:paraId="7E2C953B">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w:t>
                  </w:r>
                </w:p>
              </w:tc>
              <w:tc>
                <w:tcPr>
                  <w:tcW w:w="498" w:type="pct"/>
                  <w:tcBorders>
                    <w:tl2br w:val="nil"/>
                    <w:tr2bl w:val="nil"/>
                  </w:tcBorders>
                  <w:noWrap w:val="0"/>
                  <w:vAlign w:val="center"/>
                </w:tcPr>
                <w:p w14:paraId="53C2189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19</w:t>
                  </w:r>
                </w:p>
              </w:tc>
              <w:tc>
                <w:tcPr>
                  <w:tcW w:w="527" w:type="pct"/>
                  <w:tcBorders>
                    <w:tl2br w:val="nil"/>
                    <w:tr2bl w:val="nil"/>
                  </w:tcBorders>
                  <w:noWrap w:val="0"/>
                  <w:vAlign w:val="center"/>
                </w:tcPr>
                <w:p w14:paraId="05B3ABBC">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12</w:t>
                  </w:r>
                </w:p>
              </w:tc>
              <w:tc>
                <w:tcPr>
                  <w:tcW w:w="443" w:type="pct"/>
                  <w:tcBorders>
                    <w:tl2br w:val="nil"/>
                    <w:tr2bl w:val="nil"/>
                  </w:tcBorders>
                  <w:noWrap w:val="0"/>
                  <w:vAlign w:val="center"/>
                </w:tcPr>
                <w:p w14:paraId="633F091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highlight w:val="none"/>
                    </w:rPr>
                  </w:pPr>
                  <w:r>
                    <w:rPr>
                      <w:rFonts w:hint="eastAsia"/>
                      <w:b w:val="0"/>
                      <w:bCs/>
                      <w:color w:val="auto"/>
                      <w:sz w:val="21"/>
                      <w:szCs w:val="21"/>
                      <w:highlight w:val="none"/>
                    </w:rPr>
                    <w:t>500</w:t>
                  </w:r>
                </w:p>
              </w:tc>
              <w:tc>
                <w:tcPr>
                  <w:tcW w:w="422" w:type="pct"/>
                  <w:tcBorders>
                    <w:tl2br w:val="nil"/>
                    <w:tr2bl w:val="nil"/>
                  </w:tcBorders>
                  <w:noWrap w:val="0"/>
                  <w:vAlign w:val="center"/>
                </w:tcPr>
                <w:p w14:paraId="63D0EA2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default"/>
                      <w:color w:val="auto"/>
                      <w:sz w:val="21"/>
                      <w:szCs w:val="21"/>
                      <w:highlight w:val="none"/>
                    </w:rPr>
                    <w:fldChar w:fldCharType="begin"/>
                  </w:r>
                  <w:r>
                    <w:rPr>
                      <w:rFonts w:hint="default"/>
                      <w:color w:val="auto"/>
                      <w:sz w:val="21"/>
                      <w:szCs w:val="21"/>
                      <w:highlight w:val="none"/>
                    </w:rPr>
                    <w:instrText xml:space="preserve"> =if(e6&lt;f6,"</w:instrText>
                  </w:r>
                  <w:r>
                    <w:rPr>
                      <w:rFonts w:hint="eastAsia"/>
                      <w:color w:val="auto"/>
                      <w:sz w:val="21"/>
                      <w:szCs w:val="21"/>
                      <w:highlight w:val="none"/>
                    </w:rPr>
                    <w:instrText xml:space="preserve">是","超标") \* MERGEFORMAT </w:instrText>
                  </w:r>
                  <w:r>
                    <w:rPr>
                      <w:rFonts w:hint="eastAsia"/>
                      <w:color w:val="auto"/>
                      <w:sz w:val="21"/>
                      <w:szCs w:val="21"/>
                      <w:highlight w:val="none"/>
                    </w:rPr>
                    <w:fldChar w:fldCharType="separate"/>
                  </w:r>
                  <w:r>
                    <w:rPr>
                      <w:rFonts w:hint="eastAsia"/>
                      <w:color w:val="auto"/>
                      <w:sz w:val="21"/>
                      <w:szCs w:val="21"/>
                      <w:highlight w:val="none"/>
                    </w:rPr>
                    <w:t>是</w:t>
                  </w:r>
                  <w:r>
                    <w:rPr>
                      <w:rFonts w:hint="eastAsia"/>
                      <w:color w:val="auto"/>
                      <w:sz w:val="21"/>
                      <w:szCs w:val="21"/>
                      <w:highlight w:val="none"/>
                    </w:rPr>
                    <w:fldChar w:fldCharType="end"/>
                  </w:r>
                </w:p>
              </w:tc>
            </w:tr>
            <w:tr w14:paraId="07F18E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32992F05">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5A230B8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s="Calibri"/>
                      <w:color w:val="auto"/>
                      <w:sz w:val="21"/>
                      <w:szCs w:val="21"/>
                      <w:highlight w:val="none"/>
                    </w:rPr>
                  </w:pPr>
                  <w:r>
                    <w:rPr>
                      <w:rFonts w:hint="eastAsia" w:cs="Calibri"/>
                      <w:color w:val="auto"/>
                      <w:sz w:val="21"/>
                      <w:szCs w:val="21"/>
                      <w:highlight w:val="none"/>
                      <w:lang w:val="en-US" w:eastAsia="zh-CN"/>
                    </w:rPr>
                    <w:t>NH</w:t>
                  </w:r>
                  <w:r>
                    <w:rPr>
                      <w:rFonts w:hint="eastAsia" w:cs="Calibri"/>
                      <w:color w:val="auto"/>
                      <w:sz w:val="21"/>
                      <w:szCs w:val="21"/>
                      <w:highlight w:val="none"/>
                      <w:vertAlign w:val="subscript"/>
                      <w:lang w:val="en-US" w:eastAsia="zh-CN"/>
                    </w:rPr>
                    <w:t>3</w:t>
                  </w:r>
                  <w:r>
                    <w:rPr>
                      <w:rFonts w:hint="eastAsia" w:cs="Calibri"/>
                      <w:color w:val="auto"/>
                      <w:sz w:val="21"/>
                      <w:szCs w:val="21"/>
                      <w:highlight w:val="none"/>
                      <w:lang w:val="en-US" w:eastAsia="zh-CN"/>
                    </w:rPr>
                    <w:t>-N</w:t>
                  </w:r>
                </w:p>
              </w:tc>
              <w:tc>
                <w:tcPr>
                  <w:tcW w:w="545" w:type="pct"/>
                  <w:tcBorders>
                    <w:tl2br w:val="nil"/>
                    <w:tr2bl w:val="nil"/>
                  </w:tcBorders>
                  <w:noWrap w:val="0"/>
                  <w:vAlign w:val="center"/>
                </w:tcPr>
                <w:p w14:paraId="47D7DB7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0.325</w:t>
                  </w:r>
                </w:p>
              </w:tc>
              <w:tc>
                <w:tcPr>
                  <w:tcW w:w="513" w:type="pct"/>
                  <w:tcBorders>
                    <w:tl2br w:val="nil"/>
                    <w:tr2bl w:val="nil"/>
                  </w:tcBorders>
                  <w:noWrap w:val="0"/>
                  <w:vAlign w:val="center"/>
                </w:tcPr>
                <w:p w14:paraId="25E614B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0.285</w:t>
                  </w:r>
                </w:p>
              </w:tc>
              <w:tc>
                <w:tcPr>
                  <w:tcW w:w="498" w:type="pct"/>
                  <w:tcBorders>
                    <w:tl2br w:val="nil"/>
                    <w:tr2bl w:val="nil"/>
                  </w:tcBorders>
                  <w:noWrap w:val="0"/>
                  <w:vAlign w:val="center"/>
                </w:tcPr>
                <w:p w14:paraId="6F26FE9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0.342</w:t>
                  </w:r>
                </w:p>
              </w:tc>
              <w:tc>
                <w:tcPr>
                  <w:tcW w:w="498" w:type="pct"/>
                  <w:tcBorders>
                    <w:tl2br w:val="nil"/>
                    <w:tr2bl w:val="nil"/>
                  </w:tcBorders>
                  <w:noWrap w:val="0"/>
                  <w:vAlign w:val="center"/>
                </w:tcPr>
                <w:p w14:paraId="576A602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0.308</w:t>
                  </w:r>
                </w:p>
              </w:tc>
              <w:tc>
                <w:tcPr>
                  <w:tcW w:w="527" w:type="pct"/>
                  <w:tcBorders>
                    <w:tl2br w:val="nil"/>
                    <w:tr2bl w:val="nil"/>
                  </w:tcBorders>
                  <w:noWrap w:val="0"/>
                  <w:vAlign w:val="center"/>
                </w:tcPr>
                <w:p w14:paraId="5CFD9FB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0.315</w:t>
                  </w:r>
                </w:p>
              </w:tc>
              <w:tc>
                <w:tcPr>
                  <w:tcW w:w="443" w:type="pct"/>
                  <w:tcBorders>
                    <w:tl2br w:val="nil"/>
                    <w:tr2bl w:val="nil"/>
                  </w:tcBorders>
                  <w:noWrap w:val="0"/>
                  <w:vAlign w:val="center"/>
                </w:tcPr>
                <w:p w14:paraId="5A1B6287">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highlight w:val="none"/>
                    </w:rPr>
                  </w:pPr>
                  <w:r>
                    <w:rPr>
                      <w:rFonts w:hint="eastAsia"/>
                      <w:b w:val="0"/>
                      <w:bCs/>
                      <w:color w:val="auto"/>
                      <w:sz w:val="21"/>
                      <w:szCs w:val="21"/>
                      <w:highlight w:val="none"/>
                    </w:rPr>
                    <w:t>45</w:t>
                  </w:r>
                </w:p>
              </w:tc>
              <w:tc>
                <w:tcPr>
                  <w:tcW w:w="422" w:type="pct"/>
                  <w:tcBorders>
                    <w:tl2br w:val="nil"/>
                    <w:tr2bl w:val="nil"/>
                  </w:tcBorders>
                  <w:noWrap w:val="0"/>
                  <w:vAlign w:val="center"/>
                </w:tcPr>
                <w:p w14:paraId="376B0483">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default"/>
                      <w:color w:val="auto"/>
                      <w:sz w:val="21"/>
                      <w:szCs w:val="21"/>
                      <w:highlight w:val="none"/>
                    </w:rPr>
                    <w:fldChar w:fldCharType="begin"/>
                  </w:r>
                  <w:r>
                    <w:rPr>
                      <w:rFonts w:hint="default"/>
                      <w:color w:val="auto"/>
                      <w:sz w:val="21"/>
                      <w:szCs w:val="21"/>
                      <w:highlight w:val="none"/>
                    </w:rPr>
                    <w:instrText xml:space="preserve"> =if(e7&lt;f3,"</w:instrText>
                  </w:r>
                  <w:r>
                    <w:rPr>
                      <w:rFonts w:hint="eastAsia"/>
                      <w:color w:val="auto"/>
                      <w:sz w:val="21"/>
                      <w:szCs w:val="21"/>
                      <w:highlight w:val="none"/>
                    </w:rPr>
                    <w:instrText xml:space="preserve">是","超标") \* MERGEFORMAT </w:instrText>
                  </w:r>
                  <w:r>
                    <w:rPr>
                      <w:rFonts w:hint="eastAsia"/>
                      <w:color w:val="auto"/>
                      <w:sz w:val="21"/>
                      <w:szCs w:val="21"/>
                      <w:highlight w:val="none"/>
                    </w:rPr>
                    <w:fldChar w:fldCharType="separate"/>
                  </w:r>
                  <w:r>
                    <w:rPr>
                      <w:rFonts w:hint="eastAsia"/>
                      <w:color w:val="auto"/>
                      <w:sz w:val="21"/>
                      <w:szCs w:val="21"/>
                      <w:highlight w:val="none"/>
                    </w:rPr>
                    <w:t>是</w:t>
                  </w:r>
                  <w:r>
                    <w:rPr>
                      <w:rFonts w:hint="eastAsia"/>
                      <w:color w:val="auto"/>
                      <w:sz w:val="21"/>
                      <w:szCs w:val="21"/>
                      <w:highlight w:val="none"/>
                    </w:rPr>
                    <w:fldChar w:fldCharType="end"/>
                  </w:r>
                </w:p>
              </w:tc>
            </w:tr>
            <w:tr w14:paraId="15A626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4A321E56">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298218A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eastAsia" w:cs="Calibri"/>
                      <w:color w:val="auto"/>
                      <w:sz w:val="21"/>
                      <w:szCs w:val="21"/>
                      <w:highlight w:val="none"/>
                    </w:rPr>
                  </w:pPr>
                  <w:r>
                    <w:rPr>
                      <w:rFonts w:hint="eastAsia" w:cs="Calibri"/>
                      <w:color w:val="auto"/>
                      <w:sz w:val="21"/>
                      <w:szCs w:val="21"/>
                      <w:highlight w:val="none"/>
                      <w:lang w:val="en-US" w:eastAsia="zh-CN"/>
                    </w:rPr>
                    <w:t>BOD</w:t>
                  </w:r>
                  <w:r>
                    <w:rPr>
                      <w:rFonts w:hint="eastAsia" w:cs="Calibri"/>
                      <w:color w:val="auto"/>
                      <w:sz w:val="21"/>
                      <w:szCs w:val="21"/>
                      <w:highlight w:val="none"/>
                      <w:vertAlign w:val="subscript"/>
                      <w:lang w:val="en-US" w:eastAsia="zh-CN"/>
                    </w:rPr>
                    <w:t>5</w:t>
                  </w:r>
                </w:p>
              </w:tc>
              <w:tc>
                <w:tcPr>
                  <w:tcW w:w="545" w:type="pct"/>
                  <w:tcBorders>
                    <w:tl2br w:val="nil"/>
                    <w:tr2bl w:val="nil"/>
                  </w:tcBorders>
                  <w:noWrap w:val="0"/>
                  <w:vAlign w:val="center"/>
                </w:tcPr>
                <w:p w14:paraId="6198F3B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4.5</w:t>
                  </w:r>
                </w:p>
              </w:tc>
              <w:tc>
                <w:tcPr>
                  <w:tcW w:w="513" w:type="pct"/>
                  <w:tcBorders>
                    <w:tl2br w:val="nil"/>
                    <w:tr2bl w:val="nil"/>
                  </w:tcBorders>
                  <w:noWrap w:val="0"/>
                  <w:vAlign w:val="center"/>
                </w:tcPr>
                <w:p w14:paraId="0186C97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3.9</w:t>
                  </w:r>
                </w:p>
              </w:tc>
              <w:tc>
                <w:tcPr>
                  <w:tcW w:w="498" w:type="pct"/>
                  <w:tcBorders>
                    <w:tl2br w:val="nil"/>
                    <w:tr2bl w:val="nil"/>
                  </w:tcBorders>
                  <w:noWrap w:val="0"/>
                  <w:vAlign w:val="center"/>
                </w:tcPr>
                <w:p w14:paraId="16008BD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4.3</w:t>
                  </w:r>
                </w:p>
              </w:tc>
              <w:tc>
                <w:tcPr>
                  <w:tcW w:w="498" w:type="pct"/>
                  <w:tcBorders>
                    <w:tl2br w:val="nil"/>
                    <w:tr2bl w:val="nil"/>
                  </w:tcBorders>
                  <w:noWrap w:val="0"/>
                  <w:vAlign w:val="center"/>
                </w:tcPr>
                <w:p w14:paraId="4A3F70B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5.3</w:t>
                  </w:r>
                </w:p>
              </w:tc>
              <w:tc>
                <w:tcPr>
                  <w:tcW w:w="527" w:type="pct"/>
                  <w:tcBorders>
                    <w:tl2br w:val="nil"/>
                    <w:tr2bl w:val="nil"/>
                  </w:tcBorders>
                  <w:noWrap w:val="0"/>
                  <w:vAlign w:val="center"/>
                </w:tcPr>
                <w:p w14:paraId="5B06D6B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4.5</w:t>
                  </w:r>
                </w:p>
              </w:tc>
              <w:tc>
                <w:tcPr>
                  <w:tcW w:w="443" w:type="pct"/>
                  <w:tcBorders>
                    <w:tl2br w:val="nil"/>
                    <w:tr2bl w:val="nil"/>
                  </w:tcBorders>
                  <w:noWrap w:val="0"/>
                  <w:vAlign w:val="center"/>
                </w:tcPr>
                <w:p w14:paraId="3600096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b w:val="0"/>
                      <w:bCs/>
                      <w:color w:val="auto"/>
                      <w:sz w:val="21"/>
                      <w:szCs w:val="21"/>
                      <w:highlight w:val="none"/>
                    </w:rPr>
                  </w:pPr>
                  <w:r>
                    <w:rPr>
                      <w:rFonts w:hint="eastAsia"/>
                      <w:b w:val="0"/>
                      <w:bCs/>
                      <w:color w:val="auto"/>
                      <w:sz w:val="21"/>
                      <w:szCs w:val="21"/>
                      <w:highlight w:val="none"/>
                    </w:rPr>
                    <w:t>300</w:t>
                  </w:r>
                </w:p>
              </w:tc>
              <w:tc>
                <w:tcPr>
                  <w:tcW w:w="422" w:type="pct"/>
                  <w:tcBorders>
                    <w:tl2br w:val="nil"/>
                    <w:tr2bl w:val="nil"/>
                  </w:tcBorders>
                  <w:noWrap w:val="0"/>
                  <w:vAlign w:val="center"/>
                </w:tcPr>
                <w:p w14:paraId="24892F1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r>
                    <w:rPr>
                      <w:rFonts w:hint="eastAsia"/>
                      <w:color w:val="auto"/>
                      <w:sz w:val="21"/>
                      <w:szCs w:val="21"/>
                      <w:highlight w:val="none"/>
                    </w:rPr>
                    <w:t>是</w:t>
                  </w:r>
                </w:p>
              </w:tc>
            </w:tr>
            <w:tr w14:paraId="1A7C14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l2br w:val="nil"/>
                    <w:tr2bl w:val="nil"/>
                  </w:tcBorders>
                  <w:noWrap w:val="0"/>
                  <w:vAlign w:val="center"/>
                </w:tcPr>
                <w:p w14:paraId="532C881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olor w:val="auto"/>
                      <w:sz w:val="21"/>
                      <w:szCs w:val="21"/>
                      <w:highlight w:val="none"/>
                    </w:rPr>
                  </w:pPr>
                </w:p>
              </w:tc>
              <w:tc>
                <w:tcPr>
                  <w:tcW w:w="857" w:type="pct"/>
                  <w:tcBorders>
                    <w:tl2br w:val="nil"/>
                    <w:tr2bl w:val="nil"/>
                  </w:tcBorders>
                  <w:noWrap w:val="0"/>
                  <w:vAlign w:val="center"/>
                </w:tcPr>
                <w:p w14:paraId="6B4B601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cs="Calibri"/>
                      <w:color w:val="auto"/>
                      <w:sz w:val="21"/>
                      <w:szCs w:val="21"/>
                      <w:highlight w:val="none"/>
                      <w:lang w:val="en-US" w:eastAsia="zh-CN"/>
                    </w:rPr>
                  </w:pPr>
                  <w:r>
                    <w:rPr>
                      <w:rFonts w:hint="eastAsia" w:cs="Calibri"/>
                      <w:color w:val="auto"/>
                      <w:sz w:val="21"/>
                      <w:szCs w:val="21"/>
                      <w:highlight w:val="none"/>
                      <w:lang w:val="en-US" w:eastAsia="zh-CN"/>
                    </w:rPr>
                    <w:t>pH</w:t>
                  </w:r>
                </w:p>
              </w:tc>
              <w:tc>
                <w:tcPr>
                  <w:tcW w:w="545" w:type="pct"/>
                  <w:tcBorders>
                    <w:tl2br w:val="nil"/>
                    <w:tr2bl w:val="nil"/>
                  </w:tcBorders>
                  <w:noWrap w:val="0"/>
                  <w:vAlign w:val="center"/>
                </w:tcPr>
                <w:p w14:paraId="78FBC8E4">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7.2</w:t>
                  </w:r>
                </w:p>
              </w:tc>
              <w:tc>
                <w:tcPr>
                  <w:tcW w:w="513" w:type="pct"/>
                  <w:tcBorders>
                    <w:tl2br w:val="nil"/>
                    <w:tr2bl w:val="nil"/>
                  </w:tcBorders>
                  <w:noWrap w:val="0"/>
                  <w:vAlign w:val="center"/>
                </w:tcPr>
                <w:p w14:paraId="66A3C158">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7.1</w:t>
                  </w:r>
                </w:p>
              </w:tc>
              <w:tc>
                <w:tcPr>
                  <w:tcW w:w="498" w:type="pct"/>
                  <w:tcBorders>
                    <w:tl2br w:val="nil"/>
                    <w:tr2bl w:val="nil"/>
                  </w:tcBorders>
                  <w:noWrap w:val="0"/>
                  <w:vAlign w:val="center"/>
                </w:tcPr>
                <w:p w14:paraId="3769B7FF">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7.0</w:t>
                  </w:r>
                </w:p>
              </w:tc>
              <w:tc>
                <w:tcPr>
                  <w:tcW w:w="498" w:type="pct"/>
                  <w:tcBorders>
                    <w:tl2br w:val="nil"/>
                    <w:tr2bl w:val="nil"/>
                  </w:tcBorders>
                  <w:noWrap w:val="0"/>
                  <w:vAlign w:val="center"/>
                </w:tcPr>
                <w:p w14:paraId="60D710BA">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7.1</w:t>
                  </w:r>
                </w:p>
              </w:tc>
              <w:tc>
                <w:tcPr>
                  <w:tcW w:w="527" w:type="pct"/>
                  <w:tcBorders>
                    <w:tl2br w:val="nil"/>
                    <w:tr2bl w:val="nil"/>
                  </w:tcBorders>
                  <w:noWrap w:val="0"/>
                  <w:vAlign w:val="center"/>
                </w:tcPr>
                <w:p w14:paraId="76D699D0">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7.0~7.2</w:t>
                  </w:r>
                </w:p>
              </w:tc>
              <w:tc>
                <w:tcPr>
                  <w:tcW w:w="443" w:type="pct"/>
                  <w:tcBorders>
                    <w:tl2br w:val="nil"/>
                    <w:tr2bl w:val="nil"/>
                  </w:tcBorders>
                  <w:noWrap w:val="0"/>
                  <w:vAlign w:val="center"/>
                </w:tcPr>
                <w:p w14:paraId="481A9ABE">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b w:val="0"/>
                      <w:bCs/>
                      <w:color w:val="auto"/>
                      <w:sz w:val="21"/>
                      <w:szCs w:val="21"/>
                      <w:highlight w:val="none"/>
                      <w:lang w:val="en-US" w:eastAsia="zh-CN"/>
                    </w:rPr>
                  </w:pPr>
                  <w:r>
                    <w:rPr>
                      <w:rFonts w:hint="eastAsia"/>
                      <w:b w:val="0"/>
                      <w:bCs/>
                      <w:color w:val="auto"/>
                      <w:sz w:val="21"/>
                      <w:szCs w:val="21"/>
                      <w:highlight w:val="none"/>
                      <w:lang w:val="en-US" w:eastAsia="zh-CN"/>
                    </w:rPr>
                    <w:t>6~9</w:t>
                  </w:r>
                </w:p>
              </w:tc>
              <w:tc>
                <w:tcPr>
                  <w:tcW w:w="422" w:type="pct"/>
                  <w:tcBorders>
                    <w:tl2br w:val="nil"/>
                    <w:tr2bl w:val="nil"/>
                  </w:tcBorders>
                  <w:noWrap w:val="0"/>
                  <w:vAlign w:val="center"/>
                </w:tcPr>
                <w:p w14:paraId="58B16122">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是</w:t>
                  </w:r>
                </w:p>
              </w:tc>
            </w:tr>
          </w:tbl>
          <w:p w14:paraId="244D3630">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eastAsia="宋体" w:cs="Times New Roman"/>
                <w:b/>
                <w:bCs/>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val="en-US" w:eastAsia="zh-CN"/>
              </w:rPr>
              <w:t>表4-</w:t>
            </w:r>
            <w:r>
              <w:rPr>
                <w:rFonts w:hint="eastAsia" w:cs="Times New Roman"/>
                <w:b/>
                <w:bCs/>
                <w:color w:val="auto"/>
                <w:sz w:val="24"/>
                <w:szCs w:val="32"/>
                <w:highlight w:val="none"/>
                <w:lang w:val="en-US" w:eastAsia="zh-CN"/>
              </w:rPr>
              <w:t>9</w:t>
            </w:r>
            <w:r>
              <w:rPr>
                <w:rFonts w:hint="default" w:ascii="Times New Roman" w:hAnsi="Times New Roman" w:eastAsia="宋体" w:cs="Times New Roman"/>
                <w:b/>
                <w:bCs/>
                <w:color w:val="auto"/>
                <w:sz w:val="24"/>
                <w:szCs w:val="32"/>
                <w:highlight w:val="none"/>
                <w:lang w:val="en-US" w:eastAsia="zh-CN"/>
              </w:rPr>
              <w:t xml:space="preserve">  </w:t>
            </w:r>
            <w:r>
              <w:rPr>
                <w:rFonts w:hint="eastAsia" w:cs="Times New Roman"/>
                <w:b/>
                <w:bCs/>
                <w:color w:val="auto"/>
                <w:sz w:val="24"/>
                <w:szCs w:val="32"/>
                <w:highlight w:val="none"/>
                <w:lang w:val="en-US" w:eastAsia="zh-CN"/>
              </w:rPr>
              <w:t>项目清洗废水建成后依托污水设施处理效果一</w:t>
            </w:r>
            <w:r>
              <w:rPr>
                <w:rFonts w:hint="default" w:ascii="Times New Roman" w:hAnsi="Times New Roman" w:eastAsia="宋体" w:cs="Times New Roman"/>
                <w:b/>
                <w:bCs/>
                <w:color w:val="auto"/>
                <w:sz w:val="24"/>
                <w:szCs w:val="32"/>
                <w:highlight w:val="none"/>
                <w:lang w:val="en-US" w:eastAsia="zh-CN"/>
              </w:rPr>
              <w:t>览表</w:t>
            </w:r>
          </w:p>
          <w:tbl>
            <w:tblPr>
              <w:tblStyle w:val="30"/>
              <w:tblW w:w="8179" w:type="dxa"/>
              <w:tblInd w:w="-8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407"/>
              <w:gridCol w:w="771"/>
              <w:gridCol w:w="593"/>
              <w:gridCol w:w="663"/>
              <w:gridCol w:w="777"/>
              <w:gridCol w:w="534"/>
              <w:gridCol w:w="739"/>
              <w:gridCol w:w="881"/>
              <w:gridCol w:w="538"/>
              <w:gridCol w:w="758"/>
              <w:gridCol w:w="862"/>
              <w:gridCol w:w="656"/>
            </w:tblGrid>
            <w:tr w14:paraId="668C91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34" w:hRule="atLeast"/>
              </w:trPr>
              <w:tc>
                <w:tcPr>
                  <w:tcW w:w="407" w:type="dxa"/>
                  <w:vMerge w:val="restart"/>
                  <w:tcBorders>
                    <w:tl2br w:val="nil"/>
                    <w:tr2bl w:val="nil"/>
                  </w:tcBorders>
                  <w:shd w:val="clear" w:color="auto" w:fill="auto"/>
                  <w:vAlign w:val="center"/>
                </w:tcPr>
                <w:p w14:paraId="5E741262">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污染源</w:t>
                  </w:r>
                </w:p>
              </w:tc>
              <w:tc>
                <w:tcPr>
                  <w:tcW w:w="771" w:type="dxa"/>
                  <w:vMerge w:val="restart"/>
                  <w:tcBorders>
                    <w:tl2br w:val="nil"/>
                    <w:tr2bl w:val="nil"/>
                  </w:tcBorders>
                  <w:shd w:val="clear" w:color="auto" w:fill="auto"/>
                  <w:vAlign w:val="center"/>
                </w:tcPr>
                <w:p w14:paraId="79D5CF3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污染物</w:t>
                  </w:r>
                </w:p>
              </w:tc>
              <w:tc>
                <w:tcPr>
                  <w:tcW w:w="2033" w:type="dxa"/>
                  <w:gridSpan w:val="3"/>
                  <w:tcBorders>
                    <w:tl2br w:val="nil"/>
                    <w:tr2bl w:val="nil"/>
                  </w:tcBorders>
                  <w:shd w:val="clear" w:color="auto" w:fill="auto"/>
                  <w:vAlign w:val="center"/>
                </w:tcPr>
                <w:p w14:paraId="6D42ACF6">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污染物产生</w:t>
                  </w:r>
                </w:p>
              </w:tc>
              <w:tc>
                <w:tcPr>
                  <w:tcW w:w="2154" w:type="dxa"/>
                  <w:gridSpan w:val="3"/>
                  <w:tcBorders>
                    <w:tl2br w:val="nil"/>
                    <w:tr2bl w:val="nil"/>
                  </w:tcBorders>
                  <w:shd w:val="clear" w:color="auto" w:fill="auto"/>
                  <w:vAlign w:val="center"/>
                </w:tcPr>
                <w:p w14:paraId="2803972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治理措施</w:t>
                  </w:r>
                </w:p>
              </w:tc>
              <w:tc>
                <w:tcPr>
                  <w:tcW w:w="2814" w:type="dxa"/>
                  <w:gridSpan w:val="4"/>
                  <w:tcBorders>
                    <w:tl2br w:val="nil"/>
                    <w:tr2bl w:val="nil"/>
                  </w:tcBorders>
                  <w:shd w:val="clear" w:color="auto" w:fill="auto"/>
                  <w:vAlign w:val="center"/>
                </w:tcPr>
                <w:p w14:paraId="469C22F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污染物排放</w:t>
                  </w:r>
                </w:p>
              </w:tc>
            </w:tr>
            <w:tr w14:paraId="0F6D20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285" w:hRule="atLeast"/>
              </w:trPr>
              <w:tc>
                <w:tcPr>
                  <w:tcW w:w="407" w:type="dxa"/>
                  <w:vMerge w:val="continue"/>
                  <w:tcBorders>
                    <w:tl2br w:val="nil"/>
                    <w:tr2bl w:val="nil"/>
                  </w:tcBorders>
                  <w:shd w:val="clear" w:color="auto" w:fill="auto"/>
                  <w:vAlign w:val="center"/>
                </w:tcPr>
                <w:p w14:paraId="3DE01F4A">
                  <w:pPr>
                    <w:jc w:val="center"/>
                    <w:rPr>
                      <w:rFonts w:hint="eastAsia" w:ascii="宋体" w:hAnsi="宋体" w:eastAsia="宋体" w:cs="宋体"/>
                      <w:b/>
                      <w:bCs/>
                      <w:i w:val="0"/>
                      <w:iCs w:val="0"/>
                      <w:color w:val="auto"/>
                      <w:sz w:val="21"/>
                      <w:szCs w:val="21"/>
                      <w:highlight w:val="none"/>
                      <w:u w:val="none"/>
                    </w:rPr>
                  </w:pPr>
                </w:p>
              </w:tc>
              <w:tc>
                <w:tcPr>
                  <w:tcW w:w="771" w:type="dxa"/>
                  <w:vMerge w:val="continue"/>
                  <w:tcBorders>
                    <w:tl2br w:val="nil"/>
                    <w:tr2bl w:val="nil"/>
                  </w:tcBorders>
                  <w:shd w:val="clear" w:color="auto" w:fill="auto"/>
                  <w:vAlign w:val="center"/>
                </w:tcPr>
                <w:p w14:paraId="6563AE0B">
                  <w:pPr>
                    <w:jc w:val="center"/>
                    <w:rPr>
                      <w:rFonts w:hint="eastAsia" w:ascii="宋体" w:hAnsi="宋体" w:eastAsia="宋体" w:cs="宋体"/>
                      <w:b/>
                      <w:bCs/>
                      <w:i w:val="0"/>
                      <w:iCs w:val="0"/>
                      <w:color w:val="auto"/>
                      <w:sz w:val="21"/>
                      <w:szCs w:val="21"/>
                      <w:highlight w:val="none"/>
                      <w:u w:val="none"/>
                    </w:rPr>
                  </w:pPr>
                </w:p>
              </w:tc>
              <w:tc>
                <w:tcPr>
                  <w:tcW w:w="593" w:type="dxa"/>
                  <w:tcBorders>
                    <w:tl2br w:val="nil"/>
                    <w:tr2bl w:val="nil"/>
                  </w:tcBorders>
                  <w:shd w:val="clear" w:color="auto" w:fill="auto"/>
                  <w:vAlign w:val="center"/>
                </w:tcPr>
                <w:p w14:paraId="576D0CB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产生量</w:t>
                  </w:r>
                  <w:r>
                    <w:rPr>
                      <w:rFonts w:hint="default" w:ascii="Times New Roman" w:hAnsi="Times New Roman" w:eastAsia="宋体" w:cs="Times New Roman"/>
                      <w:b/>
                      <w:bCs/>
                      <w:i w:val="0"/>
                      <w:iCs w:val="0"/>
                      <w:color w:val="auto"/>
                      <w:kern w:val="0"/>
                      <w:sz w:val="21"/>
                      <w:szCs w:val="21"/>
                      <w:highlight w:val="none"/>
                      <w:u w:val="none"/>
                      <w:lang w:val="en-US" w:eastAsia="zh-CN" w:bidi="ar"/>
                    </w:rPr>
                    <w:t>m</w:t>
                  </w:r>
                  <w:r>
                    <w:rPr>
                      <w:rFonts w:hint="default" w:ascii="Times New Roman" w:hAnsi="Times New Roman" w:eastAsia="宋体" w:cs="Times New Roman"/>
                      <w:b/>
                      <w:bCs/>
                      <w:i w:val="0"/>
                      <w:iCs w:val="0"/>
                      <w:color w:val="auto"/>
                      <w:kern w:val="0"/>
                      <w:sz w:val="21"/>
                      <w:szCs w:val="21"/>
                      <w:highlight w:val="none"/>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highlight w:val="none"/>
                      <w:u w:val="none"/>
                      <w:lang w:val="en-US" w:eastAsia="zh-CN" w:bidi="ar"/>
                    </w:rPr>
                    <w:t>/a</w:t>
                  </w:r>
                </w:p>
              </w:tc>
              <w:tc>
                <w:tcPr>
                  <w:tcW w:w="663" w:type="dxa"/>
                  <w:tcBorders>
                    <w:tl2br w:val="nil"/>
                    <w:tr2bl w:val="nil"/>
                  </w:tcBorders>
                  <w:shd w:val="clear" w:color="auto" w:fill="auto"/>
                  <w:vAlign w:val="center"/>
                </w:tcPr>
                <w:p w14:paraId="1BD8D35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浓度</w:t>
                  </w:r>
                  <w:r>
                    <w:rPr>
                      <w:rFonts w:hint="default" w:ascii="Times New Roman" w:hAnsi="Times New Roman" w:eastAsia="宋体" w:cs="Times New Roman"/>
                      <w:b/>
                      <w:bCs/>
                      <w:i w:val="0"/>
                      <w:iCs w:val="0"/>
                      <w:color w:val="auto"/>
                      <w:kern w:val="0"/>
                      <w:sz w:val="21"/>
                      <w:szCs w:val="21"/>
                      <w:highlight w:val="none"/>
                      <w:u w:val="none"/>
                      <w:lang w:val="en-US" w:eastAsia="zh-CN" w:bidi="ar"/>
                    </w:rPr>
                    <w:t xml:space="preserve"> mg/L</w:t>
                  </w:r>
                </w:p>
              </w:tc>
              <w:tc>
                <w:tcPr>
                  <w:tcW w:w="777" w:type="dxa"/>
                  <w:tcBorders>
                    <w:tl2br w:val="nil"/>
                    <w:tr2bl w:val="nil"/>
                  </w:tcBorders>
                  <w:shd w:val="clear" w:color="auto" w:fill="auto"/>
                  <w:vAlign w:val="center"/>
                </w:tcPr>
                <w:p w14:paraId="33B02A0B">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产生量</w:t>
                  </w:r>
                  <w:r>
                    <w:rPr>
                      <w:rFonts w:hint="default" w:ascii="Times New Roman" w:hAnsi="Times New Roman" w:eastAsia="宋体" w:cs="Times New Roman"/>
                      <w:b/>
                      <w:bCs/>
                      <w:i w:val="0"/>
                      <w:iCs w:val="0"/>
                      <w:color w:val="auto"/>
                      <w:kern w:val="0"/>
                      <w:sz w:val="21"/>
                      <w:szCs w:val="21"/>
                      <w:highlight w:val="none"/>
                      <w:u w:val="none"/>
                      <w:lang w:val="en-US" w:eastAsia="zh-CN" w:bidi="ar"/>
                    </w:rPr>
                    <w:t xml:space="preserve"> t/a</w:t>
                  </w:r>
                </w:p>
              </w:tc>
              <w:tc>
                <w:tcPr>
                  <w:tcW w:w="534" w:type="dxa"/>
                  <w:tcBorders>
                    <w:tl2br w:val="nil"/>
                    <w:tr2bl w:val="nil"/>
                  </w:tcBorders>
                  <w:shd w:val="clear" w:color="auto" w:fill="auto"/>
                  <w:vAlign w:val="center"/>
                </w:tcPr>
                <w:p w14:paraId="3BA480A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处理能力</w:t>
                  </w:r>
                </w:p>
              </w:tc>
              <w:tc>
                <w:tcPr>
                  <w:tcW w:w="739" w:type="dxa"/>
                  <w:tcBorders>
                    <w:tl2br w:val="nil"/>
                    <w:tr2bl w:val="nil"/>
                  </w:tcBorders>
                  <w:shd w:val="clear" w:color="auto" w:fill="auto"/>
                  <w:vAlign w:val="center"/>
                </w:tcPr>
                <w:p w14:paraId="1F053D5D">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工艺</w:t>
                  </w:r>
                </w:p>
              </w:tc>
              <w:tc>
                <w:tcPr>
                  <w:tcW w:w="881" w:type="dxa"/>
                  <w:tcBorders>
                    <w:tl2br w:val="nil"/>
                    <w:tr2bl w:val="nil"/>
                  </w:tcBorders>
                  <w:shd w:val="clear" w:color="auto" w:fill="auto"/>
                  <w:vAlign w:val="center"/>
                </w:tcPr>
                <w:p w14:paraId="1BD17B8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效率</w:t>
                  </w:r>
                  <w:r>
                    <w:rPr>
                      <w:rFonts w:hint="default" w:ascii="Times New Roman" w:hAnsi="Times New Roman" w:eastAsia="宋体" w:cs="Times New Roman"/>
                      <w:b/>
                      <w:bCs/>
                      <w:i w:val="0"/>
                      <w:iCs w:val="0"/>
                      <w:color w:val="auto"/>
                      <w:kern w:val="0"/>
                      <w:sz w:val="21"/>
                      <w:szCs w:val="21"/>
                      <w:highlight w:val="none"/>
                      <w:u w:val="none"/>
                      <w:lang w:val="en-US" w:eastAsia="zh-CN" w:bidi="ar"/>
                    </w:rPr>
                    <w:t>%</w:t>
                  </w:r>
                </w:p>
              </w:tc>
              <w:tc>
                <w:tcPr>
                  <w:tcW w:w="538" w:type="dxa"/>
                  <w:tcBorders>
                    <w:tl2br w:val="nil"/>
                    <w:tr2bl w:val="nil"/>
                  </w:tcBorders>
                  <w:shd w:val="clear" w:color="auto" w:fill="auto"/>
                  <w:vAlign w:val="center"/>
                </w:tcPr>
                <w:p w14:paraId="7816A6A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排放量</w:t>
                  </w:r>
                  <w:r>
                    <w:rPr>
                      <w:rFonts w:hint="default" w:ascii="Times New Roman" w:hAnsi="Times New Roman" w:eastAsia="宋体" w:cs="Times New Roman"/>
                      <w:b/>
                      <w:bCs/>
                      <w:i w:val="0"/>
                      <w:iCs w:val="0"/>
                      <w:color w:val="auto"/>
                      <w:kern w:val="0"/>
                      <w:sz w:val="21"/>
                      <w:szCs w:val="21"/>
                      <w:highlight w:val="none"/>
                      <w:u w:val="none"/>
                      <w:lang w:val="en-US" w:eastAsia="zh-CN" w:bidi="ar"/>
                    </w:rPr>
                    <w:t>m</w:t>
                  </w:r>
                  <w:r>
                    <w:rPr>
                      <w:rFonts w:hint="default" w:ascii="Times New Roman" w:hAnsi="Times New Roman" w:eastAsia="宋体" w:cs="Times New Roman"/>
                      <w:b/>
                      <w:bCs/>
                      <w:i w:val="0"/>
                      <w:iCs w:val="0"/>
                      <w:color w:val="auto"/>
                      <w:kern w:val="0"/>
                      <w:sz w:val="21"/>
                      <w:szCs w:val="21"/>
                      <w:highlight w:val="none"/>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highlight w:val="none"/>
                      <w:u w:val="none"/>
                      <w:lang w:val="en-US" w:eastAsia="zh-CN" w:bidi="ar"/>
                    </w:rPr>
                    <w:t>/a</w:t>
                  </w:r>
                </w:p>
              </w:tc>
              <w:tc>
                <w:tcPr>
                  <w:tcW w:w="758" w:type="dxa"/>
                  <w:tcBorders>
                    <w:tl2br w:val="nil"/>
                    <w:tr2bl w:val="nil"/>
                  </w:tcBorders>
                  <w:shd w:val="clear" w:color="auto" w:fill="auto"/>
                  <w:vAlign w:val="center"/>
                </w:tcPr>
                <w:p w14:paraId="1852D4A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浓度</w:t>
                  </w:r>
                  <w:r>
                    <w:rPr>
                      <w:rFonts w:hint="default" w:ascii="Times New Roman" w:hAnsi="Times New Roman" w:eastAsia="宋体" w:cs="Times New Roman"/>
                      <w:b/>
                      <w:bCs/>
                      <w:i w:val="0"/>
                      <w:iCs w:val="0"/>
                      <w:color w:val="auto"/>
                      <w:kern w:val="0"/>
                      <w:sz w:val="21"/>
                      <w:szCs w:val="21"/>
                      <w:highlight w:val="none"/>
                      <w:u w:val="none"/>
                      <w:lang w:val="en-US" w:eastAsia="zh-CN" w:bidi="ar"/>
                    </w:rPr>
                    <w:t xml:space="preserve"> mg/L</w:t>
                  </w:r>
                </w:p>
              </w:tc>
              <w:tc>
                <w:tcPr>
                  <w:tcW w:w="862" w:type="dxa"/>
                  <w:tcBorders>
                    <w:tl2br w:val="nil"/>
                    <w:tr2bl w:val="nil"/>
                  </w:tcBorders>
                  <w:shd w:val="clear" w:color="auto" w:fill="auto"/>
                  <w:vAlign w:val="center"/>
                </w:tcPr>
                <w:p w14:paraId="2CAB184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排放量</w:t>
                  </w:r>
                  <w:r>
                    <w:rPr>
                      <w:rFonts w:hint="default" w:ascii="Times New Roman" w:hAnsi="Times New Roman" w:eastAsia="宋体" w:cs="Times New Roman"/>
                      <w:b/>
                      <w:bCs/>
                      <w:i w:val="0"/>
                      <w:iCs w:val="0"/>
                      <w:color w:val="auto"/>
                      <w:kern w:val="0"/>
                      <w:sz w:val="21"/>
                      <w:szCs w:val="21"/>
                      <w:highlight w:val="none"/>
                      <w:u w:val="none"/>
                      <w:lang w:val="en-US" w:eastAsia="zh-CN" w:bidi="ar"/>
                    </w:rPr>
                    <w:t>t/a</w:t>
                  </w:r>
                </w:p>
              </w:tc>
              <w:tc>
                <w:tcPr>
                  <w:tcW w:w="656" w:type="dxa"/>
                  <w:tcBorders>
                    <w:tl2br w:val="nil"/>
                    <w:tr2bl w:val="nil"/>
                  </w:tcBorders>
                  <w:shd w:val="clear" w:color="auto" w:fill="auto"/>
                  <w:noWrap/>
                  <w:vAlign w:val="center"/>
                </w:tcPr>
                <w:p w14:paraId="33BA22D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去向</w:t>
                  </w:r>
                </w:p>
              </w:tc>
            </w:tr>
            <w:tr w14:paraId="229FC7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7" w:hRule="atLeast"/>
              </w:trPr>
              <w:tc>
                <w:tcPr>
                  <w:tcW w:w="407" w:type="dxa"/>
                  <w:vMerge w:val="restart"/>
                  <w:tcBorders>
                    <w:tl2br w:val="nil"/>
                    <w:tr2bl w:val="nil"/>
                  </w:tcBorders>
                  <w:shd w:val="clear" w:color="auto" w:fill="auto"/>
                  <w:vAlign w:val="center"/>
                </w:tcPr>
                <w:p w14:paraId="41FC34AE">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清洗废水</w:t>
                  </w:r>
                </w:p>
              </w:tc>
              <w:tc>
                <w:tcPr>
                  <w:tcW w:w="771" w:type="dxa"/>
                  <w:tcBorders>
                    <w:tl2br w:val="nil"/>
                    <w:tr2bl w:val="nil"/>
                  </w:tcBorders>
                  <w:shd w:val="clear" w:color="auto" w:fill="auto"/>
                  <w:vAlign w:val="center"/>
                </w:tcPr>
                <w:p w14:paraId="26F47C8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593" w:type="dxa"/>
                  <w:vMerge w:val="restart"/>
                  <w:tcBorders>
                    <w:tl2br w:val="nil"/>
                    <w:tr2bl w:val="nil"/>
                  </w:tcBorders>
                  <w:shd w:val="clear" w:color="auto" w:fill="auto"/>
                  <w:vAlign w:val="center"/>
                </w:tcPr>
                <w:p w14:paraId="589879F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294</w:t>
                  </w:r>
                </w:p>
              </w:tc>
              <w:tc>
                <w:tcPr>
                  <w:tcW w:w="663" w:type="dxa"/>
                  <w:tcBorders>
                    <w:tl2br w:val="nil"/>
                    <w:tr2bl w:val="nil"/>
                  </w:tcBorders>
                  <w:shd w:val="clear" w:color="auto" w:fill="auto"/>
                  <w:vAlign w:val="center"/>
                </w:tcPr>
                <w:p w14:paraId="7C73CF5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66</w:t>
                  </w:r>
                </w:p>
              </w:tc>
              <w:tc>
                <w:tcPr>
                  <w:tcW w:w="777" w:type="dxa"/>
                  <w:tcBorders>
                    <w:tl2br w:val="nil"/>
                    <w:tr2bl w:val="nil"/>
                  </w:tcBorders>
                  <w:shd w:val="clear" w:color="auto" w:fill="auto"/>
                  <w:vAlign w:val="center"/>
                </w:tcPr>
                <w:p w14:paraId="1E6131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0.0194 </w:t>
                  </w:r>
                </w:p>
              </w:tc>
              <w:tc>
                <w:tcPr>
                  <w:tcW w:w="534" w:type="dxa"/>
                  <w:vMerge w:val="restart"/>
                  <w:tcBorders>
                    <w:tl2br w:val="nil"/>
                    <w:tr2bl w:val="nil"/>
                  </w:tcBorders>
                  <w:shd w:val="clear" w:color="auto" w:fill="auto"/>
                  <w:vAlign w:val="center"/>
                </w:tcPr>
                <w:p w14:paraId="5EF3580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1500L/d</w:t>
                  </w:r>
                </w:p>
              </w:tc>
              <w:tc>
                <w:tcPr>
                  <w:tcW w:w="739" w:type="dxa"/>
                  <w:vMerge w:val="restart"/>
                  <w:tcBorders>
                    <w:tl2br w:val="nil"/>
                    <w:tr2bl w:val="nil"/>
                  </w:tcBorders>
                  <w:shd w:val="clear" w:color="auto" w:fill="auto"/>
                  <w:vAlign w:val="center"/>
                </w:tcPr>
                <w:p w14:paraId="14847755">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酸碱中和</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絮凝沉淀</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光催化反应</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微电解反应</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电化学氧化</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消毒</w:t>
                  </w:r>
                </w:p>
              </w:tc>
              <w:tc>
                <w:tcPr>
                  <w:tcW w:w="881" w:type="dxa"/>
                  <w:tcBorders>
                    <w:tl2br w:val="nil"/>
                    <w:tr2bl w:val="nil"/>
                  </w:tcBorders>
                  <w:shd w:val="clear" w:color="auto" w:fill="auto"/>
                  <w:vAlign w:val="center"/>
                </w:tcPr>
                <w:p w14:paraId="2DF5AE35">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73.58%</w:t>
                  </w:r>
                </w:p>
              </w:tc>
              <w:tc>
                <w:tcPr>
                  <w:tcW w:w="538" w:type="dxa"/>
                  <w:vMerge w:val="restart"/>
                  <w:tcBorders>
                    <w:tl2br w:val="nil"/>
                    <w:tr2bl w:val="nil"/>
                  </w:tcBorders>
                  <w:shd w:val="clear" w:color="auto" w:fill="auto"/>
                  <w:vAlign w:val="center"/>
                </w:tcPr>
                <w:p w14:paraId="06F9270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294</w:t>
                  </w:r>
                </w:p>
              </w:tc>
              <w:tc>
                <w:tcPr>
                  <w:tcW w:w="758" w:type="dxa"/>
                  <w:tcBorders>
                    <w:tl2br w:val="nil"/>
                    <w:tr2bl w:val="nil"/>
                  </w:tcBorders>
                  <w:shd w:val="clear" w:color="auto" w:fill="auto"/>
                  <w:vAlign w:val="center"/>
                </w:tcPr>
                <w:p w14:paraId="448233E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862" w:type="dxa"/>
                  <w:tcBorders>
                    <w:tl2br w:val="nil"/>
                    <w:tr2bl w:val="nil"/>
                  </w:tcBorders>
                  <w:shd w:val="clear" w:color="auto" w:fill="auto"/>
                  <w:vAlign w:val="center"/>
                </w:tcPr>
                <w:p w14:paraId="3C896AA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0.0035 </w:t>
                  </w:r>
                </w:p>
              </w:tc>
              <w:tc>
                <w:tcPr>
                  <w:tcW w:w="656" w:type="dxa"/>
                  <w:vMerge w:val="restart"/>
                  <w:tcBorders>
                    <w:tl2br w:val="nil"/>
                    <w:tr2bl w:val="nil"/>
                  </w:tcBorders>
                  <w:shd w:val="clear" w:color="auto" w:fill="auto"/>
                  <w:vAlign w:val="center"/>
                </w:tcPr>
                <w:p w14:paraId="164FA89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先进入</w:t>
                  </w:r>
                  <w:r>
                    <w:rPr>
                      <w:rFonts w:hint="eastAsia" w:ascii="宋体" w:hAnsi="宋体" w:eastAsia="宋体" w:cs="宋体"/>
                      <w:i w:val="0"/>
                      <w:iCs w:val="0"/>
                      <w:color w:val="auto"/>
                      <w:kern w:val="0"/>
                      <w:sz w:val="21"/>
                      <w:szCs w:val="21"/>
                      <w:highlight w:val="none"/>
                      <w:u w:val="none"/>
                      <w:lang w:val="en-US" w:eastAsia="zh-CN" w:bidi="ar"/>
                    </w:rPr>
                    <w:t>园区化粪池</w:t>
                  </w:r>
                  <w:r>
                    <w:rPr>
                      <w:rFonts w:hint="eastAsia" w:ascii="宋体" w:hAnsi="宋体" w:cs="宋体"/>
                      <w:i w:val="0"/>
                      <w:iCs w:val="0"/>
                      <w:color w:val="auto"/>
                      <w:kern w:val="0"/>
                      <w:sz w:val="21"/>
                      <w:szCs w:val="21"/>
                      <w:highlight w:val="none"/>
                      <w:u w:val="none"/>
                      <w:lang w:val="en-US" w:eastAsia="zh-CN" w:bidi="ar"/>
                    </w:rPr>
                    <w:t>、后进入</w:t>
                  </w:r>
                  <w:r>
                    <w:rPr>
                      <w:rFonts w:hint="eastAsia" w:ascii="宋体" w:hAnsi="宋体" w:cs="宋体"/>
                      <w:color w:val="auto"/>
                      <w:kern w:val="0"/>
                      <w:szCs w:val="21"/>
                      <w:highlight w:val="none"/>
                      <w:u w:val="none"/>
                      <w:lang w:bidi="ar"/>
                    </w:rPr>
                    <w:t>西安净水处理有限责任公司第六再生水厂</w:t>
                  </w:r>
                </w:p>
              </w:tc>
            </w:tr>
            <w:tr w14:paraId="48231F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73" w:hRule="atLeast"/>
              </w:trPr>
              <w:tc>
                <w:tcPr>
                  <w:tcW w:w="407" w:type="dxa"/>
                  <w:vMerge w:val="continue"/>
                  <w:tcBorders>
                    <w:tl2br w:val="nil"/>
                    <w:tr2bl w:val="nil"/>
                  </w:tcBorders>
                  <w:shd w:val="clear" w:color="auto" w:fill="auto"/>
                  <w:vAlign w:val="center"/>
                </w:tcPr>
                <w:p w14:paraId="7BDBFDC9">
                  <w:pPr>
                    <w:jc w:val="center"/>
                    <w:rPr>
                      <w:rFonts w:hint="eastAsia" w:ascii="宋体" w:hAnsi="宋体" w:eastAsia="宋体" w:cs="宋体"/>
                      <w:b/>
                      <w:bCs/>
                      <w:i w:val="0"/>
                      <w:iCs w:val="0"/>
                      <w:color w:val="auto"/>
                      <w:sz w:val="21"/>
                      <w:szCs w:val="21"/>
                      <w:highlight w:val="none"/>
                      <w:u w:val="none"/>
                    </w:rPr>
                  </w:pPr>
                </w:p>
              </w:tc>
              <w:tc>
                <w:tcPr>
                  <w:tcW w:w="771" w:type="dxa"/>
                  <w:tcBorders>
                    <w:tl2br w:val="nil"/>
                    <w:tr2bl w:val="nil"/>
                  </w:tcBorders>
                  <w:shd w:val="clear" w:color="auto" w:fill="auto"/>
                  <w:vAlign w:val="center"/>
                </w:tcPr>
                <w:p w14:paraId="63588AC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BOD</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5</w:t>
                  </w:r>
                </w:p>
              </w:tc>
              <w:tc>
                <w:tcPr>
                  <w:tcW w:w="593" w:type="dxa"/>
                  <w:vMerge w:val="continue"/>
                  <w:tcBorders>
                    <w:tl2br w:val="nil"/>
                    <w:tr2bl w:val="nil"/>
                  </w:tcBorders>
                  <w:shd w:val="clear" w:color="auto" w:fill="auto"/>
                  <w:vAlign w:val="center"/>
                </w:tcPr>
                <w:p w14:paraId="4A336832">
                  <w:pPr>
                    <w:jc w:val="center"/>
                    <w:rPr>
                      <w:rFonts w:hint="default" w:ascii="Times New Roman" w:hAnsi="Times New Roman" w:eastAsia="宋体" w:cs="Times New Roman"/>
                      <w:i w:val="0"/>
                      <w:iCs w:val="0"/>
                      <w:color w:val="auto"/>
                      <w:sz w:val="21"/>
                      <w:szCs w:val="21"/>
                      <w:highlight w:val="none"/>
                      <w:u w:val="none"/>
                    </w:rPr>
                  </w:pPr>
                </w:p>
              </w:tc>
              <w:tc>
                <w:tcPr>
                  <w:tcW w:w="663" w:type="dxa"/>
                  <w:tcBorders>
                    <w:tl2br w:val="nil"/>
                    <w:tr2bl w:val="nil"/>
                  </w:tcBorders>
                  <w:shd w:val="clear" w:color="auto" w:fill="auto"/>
                  <w:vAlign w:val="center"/>
                </w:tcPr>
                <w:p w14:paraId="3E624C4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29.4</w:t>
                  </w:r>
                </w:p>
              </w:tc>
              <w:tc>
                <w:tcPr>
                  <w:tcW w:w="777" w:type="dxa"/>
                  <w:tcBorders>
                    <w:tl2br w:val="nil"/>
                    <w:tr2bl w:val="nil"/>
                  </w:tcBorders>
                  <w:shd w:val="clear" w:color="auto" w:fill="auto"/>
                  <w:vAlign w:val="center"/>
                </w:tcPr>
                <w:p w14:paraId="488C09B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0.0086 </w:t>
                  </w:r>
                </w:p>
              </w:tc>
              <w:tc>
                <w:tcPr>
                  <w:tcW w:w="534" w:type="dxa"/>
                  <w:vMerge w:val="continue"/>
                  <w:tcBorders>
                    <w:tl2br w:val="nil"/>
                    <w:tr2bl w:val="nil"/>
                  </w:tcBorders>
                  <w:shd w:val="clear" w:color="auto" w:fill="auto"/>
                  <w:vAlign w:val="center"/>
                </w:tcPr>
                <w:p w14:paraId="0B42B3D5">
                  <w:pPr>
                    <w:jc w:val="center"/>
                    <w:rPr>
                      <w:rFonts w:hint="default" w:ascii="Times New Roman" w:hAnsi="Times New Roman" w:eastAsia="宋体" w:cs="Times New Roman"/>
                      <w:i w:val="0"/>
                      <w:iCs w:val="0"/>
                      <w:color w:val="auto"/>
                      <w:sz w:val="21"/>
                      <w:szCs w:val="21"/>
                      <w:highlight w:val="none"/>
                      <w:u w:val="none"/>
                    </w:rPr>
                  </w:pPr>
                </w:p>
              </w:tc>
              <w:tc>
                <w:tcPr>
                  <w:tcW w:w="739" w:type="dxa"/>
                  <w:vMerge w:val="continue"/>
                  <w:tcBorders>
                    <w:tl2br w:val="nil"/>
                    <w:tr2bl w:val="nil"/>
                  </w:tcBorders>
                  <w:shd w:val="clear" w:color="auto" w:fill="auto"/>
                  <w:vAlign w:val="center"/>
                </w:tcPr>
                <w:p w14:paraId="15A03BB1">
                  <w:pPr>
                    <w:jc w:val="center"/>
                    <w:rPr>
                      <w:rFonts w:hint="eastAsia" w:ascii="宋体" w:hAnsi="宋体" w:eastAsia="宋体" w:cs="宋体"/>
                      <w:i w:val="0"/>
                      <w:iCs w:val="0"/>
                      <w:color w:val="auto"/>
                      <w:sz w:val="21"/>
                      <w:szCs w:val="21"/>
                      <w:highlight w:val="none"/>
                      <w:u w:val="none"/>
                    </w:rPr>
                  </w:pPr>
                </w:p>
              </w:tc>
              <w:tc>
                <w:tcPr>
                  <w:tcW w:w="881" w:type="dxa"/>
                  <w:tcBorders>
                    <w:tl2br w:val="nil"/>
                    <w:tr2bl w:val="nil"/>
                  </w:tcBorders>
                  <w:shd w:val="clear" w:color="auto" w:fill="auto"/>
                  <w:vAlign w:val="center"/>
                </w:tcPr>
                <w:p w14:paraId="08E72827">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81.82%</w:t>
                  </w:r>
                </w:p>
              </w:tc>
              <w:tc>
                <w:tcPr>
                  <w:tcW w:w="538" w:type="dxa"/>
                  <w:vMerge w:val="continue"/>
                  <w:tcBorders>
                    <w:tl2br w:val="nil"/>
                    <w:tr2bl w:val="nil"/>
                  </w:tcBorders>
                  <w:shd w:val="clear" w:color="auto" w:fill="auto"/>
                  <w:vAlign w:val="center"/>
                </w:tcPr>
                <w:p w14:paraId="61A105F5">
                  <w:pPr>
                    <w:jc w:val="center"/>
                    <w:rPr>
                      <w:rFonts w:hint="default" w:ascii="Times New Roman" w:hAnsi="Times New Roman" w:eastAsia="宋体" w:cs="Times New Roman"/>
                      <w:i w:val="0"/>
                      <w:iCs w:val="0"/>
                      <w:color w:val="auto"/>
                      <w:sz w:val="21"/>
                      <w:szCs w:val="21"/>
                      <w:highlight w:val="none"/>
                      <w:u w:val="none"/>
                    </w:rPr>
                  </w:pPr>
                </w:p>
              </w:tc>
              <w:tc>
                <w:tcPr>
                  <w:tcW w:w="758" w:type="dxa"/>
                  <w:tcBorders>
                    <w:tl2br w:val="nil"/>
                    <w:tr2bl w:val="nil"/>
                  </w:tcBorders>
                  <w:shd w:val="clear" w:color="auto" w:fill="auto"/>
                  <w:vAlign w:val="center"/>
                </w:tcPr>
                <w:p w14:paraId="4B8DCF8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c>
                <w:tcPr>
                  <w:tcW w:w="862" w:type="dxa"/>
                  <w:tcBorders>
                    <w:tl2br w:val="nil"/>
                    <w:tr2bl w:val="nil"/>
                  </w:tcBorders>
                  <w:shd w:val="clear" w:color="auto" w:fill="auto"/>
                  <w:vAlign w:val="center"/>
                </w:tcPr>
                <w:p w14:paraId="1D6FD26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0.0013 </w:t>
                  </w:r>
                </w:p>
              </w:tc>
              <w:tc>
                <w:tcPr>
                  <w:tcW w:w="656" w:type="dxa"/>
                  <w:vMerge w:val="continue"/>
                  <w:tcBorders>
                    <w:tl2br w:val="nil"/>
                    <w:tr2bl w:val="nil"/>
                  </w:tcBorders>
                  <w:shd w:val="clear" w:color="auto" w:fill="auto"/>
                  <w:vAlign w:val="center"/>
                </w:tcPr>
                <w:p w14:paraId="2B8060B3">
                  <w:pPr>
                    <w:jc w:val="center"/>
                    <w:rPr>
                      <w:rFonts w:hint="eastAsia" w:ascii="宋体" w:hAnsi="宋体" w:eastAsia="宋体" w:cs="宋体"/>
                      <w:i w:val="0"/>
                      <w:iCs w:val="0"/>
                      <w:color w:val="auto"/>
                      <w:sz w:val="21"/>
                      <w:szCs w:val="21"/>
                      <w:highlight w:val="none"/>
                      <w:u w:val="none"/>
                    </w:rPr>
                  </w:pPr>
                </w:p>
              </w:tc>
            </w:tr>
            <w:tr w14:paraId="1C2212D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80" w:hRule="atLeast"/>
              </w:trPr>
              <w:tc>
                <w:tcPr>
                  <w:tcW w:w="407" w:type="dxa"/>
                  <w:vMerge w:val="continue"/>
                  <w:tcBorders>
                    <w:tl2br w:val="nil"/>
                    <w:tr2bl w:val="nil"/>
                  </w:tcBorders>
                  <w:shd w:val="clear" w:color="auto" w:fill="auto"/>
                  <w:vAlign w:val="center"/>
                </w:tcPr>
                <w:p w14:paraId="26E18164">
                  <w:pPr>
                    <w:jc w:val="center"/>
                    <w:rPr>
                      <w:rFonts w:hint="eastAsia" w:ascii="宋体" w:hAnsi="宋体" w:eastAsia="宋体" w:cs="宋体"/>
                      <w:b/>
                      <w:bCs/>
                      <w:i w:val="0"/>
                      <w:iCs w:val="0"/>
                      <w:color w:val="auto"/>
                      <w:sz w:val="21"/>
                      <w:szCs w:val="21"/>
                      <w:highlight w:val="none"/>
                      <w:u w:val="none"/>
                    </w:rPr>
                  </w:pPr>
                </w:p>
              </w:tc>
              <w:tc>
                <w:tcPr>
                  <w:tcW w:w="771" w:type="dxa"/>
                  <w:tcBorders>
                    <w:tl2br w:val="nil"/>
                    <w:tr2bl w:val="nil"/>
                  </w:tcBorders>
                  <w:shd w:val="clear" w:color="auto" w:fill="auto"/>
                  <w:vAlign w:val="center"/>
                </w:tcPr>
                <w:p w14:paraId="5D7D28A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SS</w:t>
                  </w:r>
                </w:p>
              </w:tc>
              <w:tc>
                <w:tcPr>
                  <w:tcW w:w="593" w:type="dxa"/>
                  <w:vMerge w:val="continue"/>
                  <w:tcBorders>
                    <w:tl2br w:val="nil"/>
                    <w:tr2bl w:val="nil"/>
                  </w:tcBorders>
                  <w:shd w:val="clear" w:color="auto" w:fill="auto"/>
                  <w:vAlign w:val="center"/>
                </w:tcPr>
                <w:p w14:paraId="1D22D5C1">
                  <w:pPr>
                    <w:jc w:val="center"/>
                    <w:rPr>
                      <w:rFonts w:hint="default" w:ascii="Times New Roman" w:hAnsi="Times New Roman" w:eastAsia="宋体" w:cs="Times New Roman"/>
                      <w:i w:val="0"/>
                      <w:iCs w:val="0"/>
                      <w:color w:val="auto"/>
                      <w:sz w:val="21"/>
                      <w:szCs w:val="21"/>
                      <w:highlight w:val="none"/>
                      <w:u w:val="none"/>
                    </w:rPr>
                  </w:pPr>
                </w:p>
              </w:tc>
              <w:tc>
                <w:tcPr>
                  <w:tcW w:w="663" w:type="dxa"/>
                  <w:tcBorders>
                    <w:tl2br w:val="nil"/>
                    <w:tr2bl w:val="nil"/>
                  </w:tcBorders>
                  <w:shd w:val="clear" w:color="auto" w:fill="auto"/>
                  <w:vAlign w:val="center"/>
                </w:tcPr>
                <w:p w14:paraId="5F22094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53</w:t>
                  </w:r>
                </w:p>
              </w:tc>
              <w:tc>
                <w:tcPr>
                  <w:tcW w:w="777" w:type="dxa"/>
                  <w:tcBorders>
                    <w:tl2br w:val="nil"/>
                    <w:tr2bl w:val="nil"/>
                  </w:tcBorders>
                  <w:shd w:val="clear" w:color="auto" w:fill="auto"/>
                  <w:vAlign w:val="center"/>
                </w:tcPr>
                <w:p w14:paraId="0148595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0.016 </w:t>
                  </w:r>
                </w:p>
              </w:tc>
              <w:tc>
                <w:tcPr>
                  <w:tcW w:w="534" w:type="dxa"/>
                  <w:vMerge w:val="continue"/>
                  <w:tcBorders>
                    <w:tl2br w:val="nil"/>
                    <w:tr2bl w:val="nil"/>
                  </w:tcBorders>
                  <w:shd w:val="clear" w:color="auto" w:fill="auto"/>
                  <w:vAlign w:val="center"/>
                </w:tcPr>
                <w:p w14:paraId="70D33876">
                  <w:pPr>
                    <w:jc w:val="center"/>
                    <w:rPr>
                      <w:rFonts w:hint="default" w:ascii="Times New Roman" w:hAnsi="Times New Roman" w:eastAsia="宋体" w:cs="Times New Roman"/>
                      <w:i w:val="0"/>
                      <w:iCs w:val="0"/>
                      <w:color w:val="auto"/>
                      <w:sz w:val="21"/>
                      <w:szCs w:val="21"/>
                      <w:highlight w:val="none"/>
                      <w:u w:val="none"/>
                    </w:rPr>
                  </w:pPr>
                </w:p>
              </w:tc>
              <w:tc>
                <w:tcPr>
                  <w:tcW w:w="739" w:type="dxa"/>
                  <w:vMerge w:val="continue"/>
                  <w:tcBorders>
                    <w:tl2br w:val="nil"/>
                    <w:tr2bl w:val="nil"/>
                  </w:tcBorders>
                  <w:shd w:val="clear" w:color="auto" w:fill="auto"/>
                  <w:vAlign w:val="center"/>
                </w:tcPr>
                <w:p w14:paraId="77FADD1D">
                  <w:pPr>
                    <w:jc w:val="center"/>
                    <w:rPr>
                      <w:rFonts w:hint="eastAsia" w:ascii="宋体" w:hAnsi="宋体" w:eastAsia="宋体" w:cs="宋体"/>
                      <w:i w:val="0"/>
                      <w:iCs w:val="0"/>
                      <w:color w:val="auto"/>
                      <w:sz w:val="21"/>
                      <w:szCs w:val="21"/>
                      <w:highlight w:val="none"/>
                      <w:u w:val="none"/>
                    </w:rPr>
                  </w:pPr>
                </w:p>
              </w:tc>
              <w:tc>
                <w:tcPr>
                  <w:tcW w:w="881" w:type="dxa"/>
                  <w:tcBorders>
                    <w:tl2br w:val="nil"/>
                    <w:tr2bl w:val="nil"/>
                  </w:tcBorders>
                  <w:shd w:val="clear" w:color="auto" w:fill="auto"/>
                  <w:noWrap/>
                  <w:vAlign w:val="center"/>
                </w:tcPr>
                <w:p w14:paraId="4E16DCE6">
                  <w:pPr>
                    <w:keepNext w:val="0"/>
                    <w:keepLines w:val="0"/>
                    <w:widowControl/>
                    <w:suppressLineNumbers w:val="0"/>
                    <w:jc w:val="right"/>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92.82%</w:t>
                  </w:r>
                </w:p>
              </w:tc>
              <w:tc>
                <w:tcPr>
                  <w:tcW w:w="538" w:type="dxa"/>
                  <w:vMerge w:val="continue"/>
                  <w:tcBorders>
                    <w:tl2br w:val="nil"/>
                    <w:tr2bl w:val="nil"/>
                  </w:tcBorders>
                  <w:shd w:val="clear" w:color="auto" w:fill="auto"/>
                  <w:vAlign w:val="center"/>
                </w:tcPr>
                <w:p w14:paraId="52E60D19">
                  <w:pPr>
                    <w:jc w:val="center"/>
                    <w:rPr>
                      <w:rFonts w:hint="default" w:ascii="Times New Roman" w:hAnsi="Times New Roman" w:eastAsia="宋体" w:cs="Times New Roman"/>
                      <w:i w:val="0"/>
                      <w:iCs w:val="0"/>
                      <w:color w:val="auto"/>
                      <w:sz w:val="21"/>
                      <w:szCs w:val="21"/>
                      <w:highlight w:val="none"/>
                      <w:u w:val="none"/>
                    </w:rPr>
                  </w:pPr>
                </w:p>
              </w:tc>
              <w:tc>
                <w:tcPr>
                  <w:tcW w:w="758" w:type="dxa"/>
                  <w:tcBorders>
                    <w:tl2br w:val="nil"/>
                    <w:tr2bl w:val="nil"/>
                  </w:tcBorders>
                  <w:shd w:val="clear" w:color="auto" w:fill="auto"/>
                  <w:vAlign w:val="center"/>
                </w:tcPr>
                <w:p w14:paraId="1D4896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14</w:t>
                  </w:r>
                </w:p>
              </w:tc>
              <w:tc>
                <w:tcPr>
                  <w:tcW w:w="862" w:type="dxa"/>
                  <w:tcBorders>
                    <w:tl2br w:val="nil"/>
                    <w:tr2bl w:val="nil"/>
                  </w:tcBorders>
                  <w:shd w:val="clear" w:color="auto" w:fill="auto"/>
                  <w:vAlign w:val="center"/>
                </w:tcPr>
                <w:p w14:paraId="00A85D0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0.0041 </w:t>
                  </w:r>
                </w:p>
              </w:tc>
              <w:tc>
                <w:tcPr>
                  <w:tcW w:w="656" w:type="dxa"/>
                  <w:vMerge w:val="continue"/>
                  <w:tcBorders>
                    <w:tl2br w:val="nil"/>
                    <w:tr2bl w:val="nil"/>
                  </w:tcBorders>
                  <w:shd w:val="clear" w:color="auto" w:fill="auto"/>
                  <w:vAlign w:val="center"/>
                </w:tcPr>
                <w:p w14:paraId="17221B1B">
                  <w:pPr>
                    <w:jc w:val="center"/>
                    <w:rPr>
                      <w:rFonts w:hint="eastAsia" w:ascii="宋体" w:hAnsi="宋体" w:eastAsia="宋体" w:cs="宋体"/>
                      <w:i w:val="0"/>
                      <w:iCs w:val="0"/>
                      <w:color w:val="auto"/>
                      <w:sz w:val="21"/>
                      <w:szCs w:val="21"/>
                      <w:highlight w:val="none"/>
                      <w:u w:val="none"/>
                    </w:rPr>
                  </w:pPr>
                </w:p>
              </w:tc>
            </w:tr>
            <w:tr w14:paraId="175CDD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53" w:hRule="atLeast"/>
              </w:trPr>
              <w:tc>
                <w:tcPr>
                  <w:tcW w:w="407" w:type="dxa"/>
                  <w:vMerge w:val="continue"/>
                  <w:tcBorders>
                    <w:tl2br w:val="nil"/>
                    <w:tr2bl w:val="nil"/>
                  </w:tcBorders>
                  <w:shd w:val="clear" w:color="auto" w:fill="auto"/>
                  <w:vAlign w:val="center"/>
                </w:tcPr>
                <w:p w14:paraId="74943904">
                  <w:pPr>
                    <w:jc w:val="center"/>
                    <w:rPr>
                      <w:rFonts w:hint="eastAsia" w:ascii="宋体" w:hAnsi="宋体" w:eastAsia="宋体" w:cs="宋体"/>
                      <w:b/>
                      <w:bCs/>
                      <w:i w:val="0"/>
                      <w:iCs w:val="0"/>
                      <w:color w:val="auto"/>
                      <w:sz w:val="21"/>
                      <w:szCs w:val="21"/>
                      <w:highlight w:val="none"/>
                      <w:u w:val="none"/>
                    </w:rPr>
                  </w:pPr>
                </w:p>
              </w:tc>
              <w:tc>
                <w:tcPr>
                  <w:tcW w:w="771" w:type="dxa"/>
                  <w:tcBorders>
                    <w:tl2br w:val="nil"/>
                    <w:tr2bl w:val="nil"/>
                  </w:tcBorders>
                  <w:shd w:val="clear" w:color="auto" w:fill="auto"/>
                  <w:vAlign w:val="center"/>
                </w:tcPr>
                <w:p w14:paraId="363E72F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593" w:type="dxa"/>
                  <w:vMerge w:val="continue"/>
                  <w:tcBorders>
                    <w:tl2br w:val="nil"/>
                    <w:tr2bl w:val="nil"/>
                  </w:tcBorders>
                  <w:shd w:val="clear" w:color="auto" w:fill="auto"/>
                  <w:vAlign w:val="center"/>
                </w:tcPr>
                <w:p w14:paraId="3DF754C7">
                  <w:pPr>
                    <w:jc w:val="center"/>
                    <w:rPr>
                      <w:rFonts w:hint="default" w:ascii="Times New Roman" w:hAnsi="Times New Roman" w:eastAsia="宋体" w:cs="Times New Roman"/>
                      <w:i w:val="0"/>
                      <w:iCs w:val="0"/>
                      <w:color w:val="auto"/>
                      <w:sz w:val="21"/>
                      <w:szCs w:val="21"/>
                      <w:highlight w:val="none"/>
                      <w:u w:val="none"/>
                    </w:rPr>
                  </w:pPr>
                </w:p>
              </w:tc>
              <w:tc>
                <w:tcPr>
                  <w:tcW w:w="663" w:type="dxa"/>
                  <w:tcBorders>
                    <w:tl2br w:val="nil"/>
                    <w:tr2bl w:val="nil"/>
                  </w:tcBorders>
                  <w:shd w:val="clear" w:color="auto" w:fill="auto"/>
                  <w:vAlign w:val="center"/>
                </w:tcPr>
                <w:p w14:paraId="71BEEA0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4.39</w:t>
                  </w:r>
                </w:p>
              </w:tc>
              <w:tc>
                <w:tcPr>
                  <w:tcW w:w="777" w:type="dxa"/>
                  <w:tcBorders>
                    <w:tl2br w:val="nil"/>
                    <w:tr2bl w:val="nil"/>
                  </w:tcBorders>
                  <w:shd w:val="clear" w:color="auto" w:fill="auto"/>
                  <w:vAlign w:val="center"/>
                </w:tcPr>
                <w:p w14:paraId="07E3387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0.0013 </w:t>
                  </w:r>
                </w:p>
              </w:tc>
              <w:tc>
                <w:tcPr>
                  <w:tcW w:w="534" w:type="dxa"/>
                  <w:vMerge w:val="continue"/>
                  <w:tcBorders>
                    <w:tl2br w:val="nil"/>
                    <w:tr2bl w:val="nil"/>
                  </w:tcBorders>
                  <w:shd w:val="clear" w:color="auto" w:fill="auto"/>
                  <w:vAlign w:val="center"/>
                </w:tcPr>
                <w:p w14:paraId="6BD672E1">
                  <w:pPr>
                    <w:jc w:val="center"/>
                    <w:rPr>
                      <w:rFonts w:hint="default" w:ascii="Times New Roman" w:hAnsi="Times New Roman" w:eastAsia="宋体" w:cs="Times New Roman"/>
                      <w:i w:val="0"/>
                      <w:iCs w:val="0"/>
                      <w:color w:val="auto"/>
                      <w:sz w:val="21"/>
                      <w:szCs w:val="21"/>
                      <w:highlight w:val="none"/>
                      <w:u w:val="none"/>
                    </w:rPr>
                  </w:pPr>
                </w:p>
              </w:tc>
              <w:tc>
                <w:tcPr>
                  <w:tcW w:w="739" w:type="dxa"/>
                  <w:vMerge w:val="continue"/>
                  <w:tcBorders>
                    <w:tl2br w:val="nil"/>
                    <w:tr2bl w:val="nil"/>
                  </w:tcBorders>
                  <w:shd w:val="clear" w:color="auto" w:fill="auto"/>
                  <w:vAlign w:val="center"/>
                </w:tcPr>
                <w:p w14:paraId="25A46310">
                  <w:pPr>
                    <w:jc w:val="center"/>
                    <w:rPr>
                      <w:rFonts w:hint="eastAsia" w:ascii="宋体" w:hAnsi="宋体" w:eastAsia="宋体" w:cs="宋体"/>
                      <w:i w:val="0"/>
                      <w:iCs w:val="0"/>
                      <w:color w:val="auto"/>
                      <w:sz w:val="21"/>
                      <w:szCs w:val="21"/>
                      <w:highlight w:val="none"/>
                      <w:u w:val="none"/>
                    </w:rPr>
                  </w:pPr>
                </w:p>
              </w:tc>
              <w:tc>
                <w:tcPr>
                  <w:tcW w:w="881" w:type="dxa"/>
                  <w:tcBorders>
                    <w:tl2br w:val="nil"/>
                    <w:tr2bl w:val="nil"/>
                  </w:tcBorders>
                  <w:shd w:val="clear" w:color="auto" w:fill="auto"/>
                  <w:noWrap/>
                  <w:vAlign w:val="center"/>
                </w:tcPr>
                <w:p w14:paraId="560C069C">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84.69%</w:t>
                  </w:r>
                </w:p>
              </w:tc>
              <w:tc>
                <w:tcPr>
                  <w:tcW w:w="538" w:type="dxa"/>
                  <w:vMerge w:val="continue"/>
                  <w:tcBorders>
                    <w:tl2br w:val="nil"/>
                    <w:tr2bl w:val="nil"/>
                  </w:tcBorders>
                  <w:shd w:val="clear" w:color="auto" w:fill="auto"/>
                  <w:vAlign w:val="center"/>
                </w:tcPr>
                <w:p w14:paraId="1C1A4239">
                  <w:pPr>
                    <w:jc w:val="center"/>
                    <w:rPr>
                      <w:rFonts w:hint="default" w:ascii="Times New Roman" w:hAnsi="Times New Roman" w:eastAsia="宋体" w:cs="Times New Roman"/>
                      <w:i w:val="0"/>
                      <w:iCs w:val="0"/>
                      <w:color w:val="auto"/>
                      <w:sz w:val="21"/>
                      <w:szCs w:val="21"/>
                      <w:highlight w:val="none"/>
                      <w:u w:val="none"/>
                    </w:rPr>
                  </w:pPr>
                </w:p>
              </w:tc>
              <w:tc>
                <w:tcPr>
                  <w:tcW w:w="758" w:type="dxa"/>
                  <w:tcBorders>
                    <w:tl2br w:val="nil"/>
                    <w:tr2bl w:val="nil"/>
                  </w:tcBorders>
                  <w:shd w:val="clear" w:color="auto" w:fill="auto"/>
                  <w:vAlign w:val="center"/>
                </w:tcPr>
                <w:p w14:paraId="0453B1AF">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0.315</w:t>
                  </w:r>
                </w:p>
              </w:tc>
              <w:tc>
                <w:tcPr>
                  <w:tcW w:w="862" w:type="dxa"/>
                  <w:tcBorders>
                    <w:tl2br w:val="nil"/>
                    <w:tr2bl w:val="nil"/>
                  </w:tcBorders>
                  <w:shd w:val="clear" w:color="auto" w:fill="auto"/>
                  <w:vAlign w:val="center"/>
                </w:tcPr>
                <w:p w14:paraId="08C4CDE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0.000093 </w:t>
                  </w:r>
                </w:p>
              </w:tc>
              <w:tc>
                <w:tcPr>
                  <w:tcW w:w="656" w:type="dxa"/>
                  <w:vMerge w:val="continue"/>
                  <w:tcBorders>
                    <w:tl2br w:val="nil"/>
                    <w:tr2bl w:val="nil"/>
                  </w:tcBorders>
                  <w:shd w:val="clear" w:color="auto" w:fill="auto"/>
                  <w:vAlign w:val="center"/>
                </w:tcPr>
                <w:p w14:paraId="24890132">
                  <w:pPr>
                    <w:jc w:val="center"/>
                    <w:rPr>
                      <w:rFonts w:hint="eastAsia" w:ascii="宋体" w:hAnsi="宋体" w:eastAsia="宋体" w:cs="宋体"/>
                      <w:i w:val="0"/>
                      <w:iCs w:val="0"/>
                      <w:color w:val="auto"/>
                      <w:sz w:val="21"/>
                      <w:szCs w:val="21"/>
                      <w:highlight w:val="none"/>
                      <w:u w:val="none"/>
                    </w:rPr>
                  </w:pPr>
                </w:p>
              </w:tc>
            </w:tr>
          </w:tbl>
          <w:p w14:paraId="492204EF">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eastAsia="宋体" w:cs="Times New Roman"/>
                <w:b/>
                <w:bCs/>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val="en-US" w:eastAsia="zh-CN"/>
              </w:rPr>
              <w:t>表4-</w:t>
            </w:r>
            <w:r>
              <w:rPr>
                <w:rFonts w:hint="eastAsia" w:cs="Times New Roman"/>
                <w:b/>
                <w:bCs/>
                <w:color w:val="auto"/>
                <w:sz w:val="24"/>
                <w:szCs w:val="32"/>
                <w:highlight w:val="none"/>
                <w:lang w:val="en-US" w:eastAsia="zh-CN"/>
              </w:rPr>
              <w:t>10</w:t>
            </w:r>
            <w:r>
              <w:rPr>
                <w:rFonts w:hint="default" w:ascii="Times New Roman" w:hAnsi="Times New Roman" w:eastAsia="宋体" w:cs="Times New Roman"/>
                <w:b/>
                <w:bCs/>
                <w:color w:val="auto"/>
                <w:sz w:val="24"/>
                <w:szCs w:val="32"/>
                <w:highlight w:val="none"/>
                <w:lang w:val="en-US" w:eastAsia="zh-CN"/>
              </w:rPr>
              <w:t xml:space="preserve"> </w:t>
            </w:r>
            <w:r>
              <w:rPr>
                <w:rFonts w:hint="eastAsia" w:cs="Times New Roman"/>
                <w:b/>
                <w:bCs/>
                <w:color w:val="auto"/>
                <w:sz w:val="24"/>
                <w:szCs w:val="32"/>
                <w:highlight w:val="none"/>
                <w:lang w:val="en-US" w:eastAsia="zh-CN"/>
              </w:rPr>
              <w:t>本项目建成后全厂废水排放情况一</w:t>
            </w:r>
            <w:r>
              <w:rPr>
                <w:rFonts w:hint="default" w:ascii="Times New Roman" w:hAnsi="Times New Roman" w:eastAsia="宋体" w:cs="Times New Roman"/>
                <w:b/>
                <w:bCs/>
                <w:color w:val="auto"/>
                <w:sz w:val="24"/>
                <w:szCs w:val="32"/>
                <w:highlight w:val="none"/>
                <w:lang w:val="en-US" w:eastAsia="zh-CN"/>
              </w:rPr>
              <w:t>览表</w:t>
            </w:r>
          </w:p>
          <w:tbl>
            <w:tblPr>
              <w:tblStyle w:val="30"/>
              <w:tblW w:w="8195"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2"/>
              <w:gridCol w:w="1503"/>
              <w:gridCol w:w="1185"/>
              <w:gridCol w:w="1185"/>
              <w:gridCol w:w="900"/>
              <w:gridCol w:w="1035"/>
              <w:gridCol w:w="735"/>
              <w:gridCol w:w="1000"/>
            </w:tblGrid>
            <w:tr w14:paraId="1A385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652" w:type="dxa"/>
                  <w:vMerge w:val="restart"/>
                  <w:tcBorders>
                    <w:top w:val="single" w:color="000000" w:sz="12" w:space="0"/>
                    <w:left w:val="single" w:color="000000" w:sz="12" w:space="0"/>
                    <w:bottom w:val="single" w:color="000000" w:sz="4" w:space="0"/>
                    <w:right w:val="single" w:color="000000" w:sz="4" w:space="0"/>
                  </w:tcBorders>
                  <w:shd w:val="clear" w:color="auto" w:fill="auto"/>
                  <w:vAlign w:val="center"/>
                </w:tcPr>
                <w:p w14:paraId="071DECF7">
                  <w:pPr>
                    <w:keepNext w:val="0"/>
                    <w:keepLines w:val="0"/>
                    <w:widowControl/>
                    <w:suppressLineNumbers w:val="0"/>
                    <w:jc w:val="center"/>
                    <w:textAlignment w:val="auto"/>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生 活 污 水</w:t>
                  </w:r>
                </w:p>
              </w:tc>
              <w:tc>
                <w:tcPr>
                  <w:tcW w:w="1503"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057155AE">
                  <w:pPr>
                    <w:keepNext w:val="0"/>
                    <w:keepLines w:val="0"/>
                    <w:widowControl/>
                    <w:suppressLineNumbers w:val="0"/>
                    <w:jc w:val="center"/>
                    <w:textAlignment w:val="auto"/>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污染物</w:t>
                  </w:r>
                </w:p>
              </w:tc>
              <w:tc>
                <w:tcPr>
                  <w:tcW w:w="1185"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18C08839">
                  <w:pPr>
                    <w:keepNext w:val="0"/>
                    <w:keepLines w:val="0"/>
                    <w:widowControl/>
                    <w:suppressLineNumbers w:val="0"/>
                    <w:jc w:val="center"/>
                    <w:textAlignment w:val="auto"/>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1185"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6B43F835">
                  <w:pPr>
                    <w:keepNext w:val="0"/>
                    <w:keepLines w:val="0"/>
                    <w:widowControl/>
                    <w:suppressLineNumbers w:val="0"/>
                    <w:jc w:val="center"/>
                    <w:textAlignment w:val="auto"/>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900"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0F40B450">
                  <w:pPr>
                    <w:keepNext w:val="0"/>
                    <w:keepLines w:val="0"/>
                    <w:widowControl/>
                    <w:suppressLineNumbers w:val="0"/>
                    <w:jc w:val="center"/>
                    <w:textAlignment w:val="auto"/>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1035"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7D8B470D">
                  <w:pPr>
                    <w:keepNext w:val="0"/>
                    <w:keepLines w:val="0"/>
                    <w:widowControl/>
                    <w:suppressLineNumbers w:val="0"/>
                    <w:jc w:val="center"/>
                    <w:textAlignment w:val="auto"/>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735"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17742C3C">
                  <w:pPr>
                    <w:keepNext w:val="0"/>
                    <w:keepLines w:val="0"/>
                    <w:widowControl/>
                    <w:suppressLineNumbers w:val="0"/>
                    <w:jc w:val="center"/>
                    <w:textAlignment w:val="auto"/>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TN</w:t>
                  </w:r>
                </w:p>
              </w:tc>
              <w:tc>
                <w:tcPr>
                  <w:tcW w:w="1000" w:type="dxa"/>
                  <w:tcBorders>
                    <w:top w:val="single" w:color="000000" w:sz="12" w:space="0"/>
                    <w:left w:val="single" w:color="000000" w:sz="4" w:space="0"/>
                    <w:bottom w:val="single" w:color="000000" w:sz="4" w:space="0"/>
                    <w:right w:val="single" w:color="000000" w:sz="12" w:space="0"/>
                  </w:tcBorders>
                  <w:shd w:val="clear" w:color="auto" w:fill="auto"/>
                  <w:vAlign w:val="center"/>
                </w:tcPr>
                <w:p w14:paraId="1FB19180">
                  <w:pPr>
                    <w:keepNext w:val="0"/>
                    <w:keepLines w:val="0"/>
                    <w:widowControl/>
                    <w:suppressLineNumbers w:val="0"/>
                    <w:jc w:val="center"/>
                    <w:textAlignment w:val="auto"/>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TP</w:t>
                  </w:r>
                </w:p>
              </w:tc>
            </w:tr>
            <w:tr w14:paraId="68418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52"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1D8A053">
                  <w:pPr>
                    <w:jc w:val="center"/>
                    <w:rPr>
                      <w:rFonts w:hint="eastAsia" w:ascii="宋体" w:hAnsi="宋体" w:eastAsia="宋体" w:cs="宋体"/>
                      <w:b/>
                      <w:bCs/>
                      <w:i w:val="0"/>
                      <w:iCs w:val="0"/>
                      <w:color w:val="auto"/>
                      <w:sz w:val="21"/>
                      <w:szCs w:val="21"/>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5FDE">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废水量</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/d</w:t>
                  </w:r>
                </w:p>
              </w:tc>
              <w:tc>
                <w:tcPr>
                  <w:tcW w:w="6040" w:type="dxa"/>
                  <w:gridSpan w:val="6"/>
                  <w:tcBorders>
                    <w:top w:val="single" w:color="000000" w:sz="4" w:space="0"/>
                    <w:left w:val="single" w:color="000000" w:sz="4" w:space="0"/>
                    <w:bottom w:val="single" w:color="000000" w:sz="4" w:space="0"/>
                    <w:right w:val="single" w:color="000000" w:sz="12" w:space="0"/>
                  </w:tcBorders>
                  <w:shd w:val="clear" w:color="auto" w:fill="auto"/>
                  <w:vAlign w:val="center"/>
                </w:tcPr>
                <w:p w14:paraId="1F5B2B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2.45</w:t>
                  </w:r>
                </w:p>
              </w:tc>
            </w:tr>
            <w:tr w14:paraId="2D655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52"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797F499">
                  <w:pPr>
                    <w:jc w:val="center"/>
                    <w:rPr>
                      <w:rFonts w:hint="eastAsia" w:ascii="宋体" w:hAnsi="宋体" w:eastAsia="宋体" w:cs="宋体"/>
                      <w:b/>
                      <w:bCs/>
                      <w:i w:val="0"/>
                      <w:iCs w:val="0"/>
                      <w:color w:val="auto"/>
                      <w:sz w:val="21"/>
                      <w:szCs w:val="21"/>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2CC2">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排放浓度</w:t>
                  </w:r>
                  <w:r>
                    <w:rPr>
                      <w:rFonts w:hint="default" w:ascii="Times New Roman" w:hAnsi="Times New Roman" w:eastAsia="宋体" w:cs="Times New Roman"/>
                      <w:b/>
                      <w:bCs/>
                      <w:i w:val="0"/>
                      <w:iCs w:val="0"/>
                      <w:color w:val="auto"/>
                      <w:kern w:val="0"/>
                      <w:sz w:val="21"/>
                      <w:szCs w:val="21"/>
                      <w:u w:val="none"/>
                      <w:lang w:val="en-US" w:eastAsia="zh-CN" w:bidi="ar"/>
                    </w:rPr>
                    <w:t xml:space="preserve"> mg/L</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A24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460</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F24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220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151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EEE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52.2</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117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71.2</w:t>
                  </w:r>
                </w:p>
              </w:tc>
              <w:tc>
                <w:tcPr>
                  <w:tcW w:w="10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FEE413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5.12</w:t>
                  </w:r>
                </w:p>
              </w:tc>
            </w:tr>
            <w:tr w14:paraId="5A510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52"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2A29EF1B">
                  <w:pPr>
                    <w:jc w:val="center"/>
                    <w:rPr>
                      <w:rFonts w:hint="eastAsia" w:ascii="宋体" w:hAnsi="宋体" w:eastAsia="宋体" w:cs="宋体"/>
                      <w:b/>
                      <w:bCs/>
                      <w:i w:val="0"/>
                      <w:iCs w:val="0"/>
                      <w:color w:val="auto"/>
                      <w:sz w:val="21"/>
                      <w:szCs w:val="21"/>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C38D">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排放量</w:t>
                  </w:r>
                  <w:r>
                    <w:rPr>
                      <w:rFonts w:hint="default" w:ascii="Times New Roman" w:hAnsi="Times New Roman" w:eastAsia="宋体" w:cs="Times New Roman"/>
                      <w:b/>
                      <w:bCs/>
                      <w:i w:val="0"/>
                      <w:iCs w:val="0"/>
                      <w:color w:val="auto"/>
                      <w:kern w:val="0"/>
                      <w:sz w:val="21"/>
                      <w:szCs w:val="21"/>
                      <w:u w:val="none"/>
                      <w:lang w:val="en-US" w:eastAsia="zh-CN" w:bidi="ar"/>
                    </w:rPr>
                    <w:t xml:space="preserve"> t/a</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A9E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0.28</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182A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898F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0.12</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5AF1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0.031</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52F6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0.043</w:t>
                  </w:r>
                </w:p>
              </w:tc>
              <w:tc>
                <w:tcPr>
                  <w:tcW w:w="10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C3A250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0.0031</w:t>
                  </w:r>
                </w:p>
              </w:tc>
            </w:tr>
            <w:tr w14:paraId="19F16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52" w:type="dxa"/>
                  <w:vMerge w:val="restart"/>
                  <w:tcBorders>
                    <w:top w:val="single" w:color="000000" w:sz="4" w:space="0"/>
                    <w:left w:val="single" w:color="000000" w:sz="12" w:space="0"/>
                    <w:right w:val="single" w:color="000000" w:sz="4" w:space="0"/>
                  </w:tcBorders>
                  <w:shd w:val="clear" w:color="auto" w:fill="auto"/>
                  <w:vAlign w:val="center"/>
                </w:tcPr>
                <w:p w14:paraId="6B6F1496">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生产</w:t>
                  </w:r>
                </w:p>
                <w:p w14:paraId="6EA9D3E4">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废水</w:t>
                  </w: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62BD">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指标</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EE4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COD</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FCC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DAE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SS</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319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NH</w:t>
                  </w:r>
                  <w:r>
                    <w:rPr>
                      <w:rFonts w:hint="default" w:ascii="Times New Roman" w:hAnsi="Times New Roman" w:eastAsia="宋体" w:cs="Times New Roman"/>
                      <w:i w:val="0"/>
                      <w:iCs w:val="0"/>
                      <w:color w:val="auto"/>
                      <w:kern w:val="0"/>
                      <w:sz w:val="21"/>
                      <w:szCs w:val="21"/>
                      <w:u w:val="none"/>
                      <w:vertAlign w:val="sub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-N</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A18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E426BF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r>
            <w:tr w14:paraId="2A5B2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52" w:type="dxa"/>
                  <w:vMerge w:val="continue"/>
                  <w:tcBorders>
                    <w:left w:val="single" w:color="000000" w:sz="12" w:space="0"/>
                    <w:right w:val="single" w:color="000000" w:sz="4" w:space="0"/>
                  </w:tcBorders>
                  <w:shd w:val="clear" w:color="auto" w:fill="auto"/>
                  <w:vAlign w:val="center"/>
                </w:tcPr>
                <w:p w14:paraId="6D154A93">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C87C8">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废水量</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/d</w:t>
                  </w:r>
                </w:p>
              </w:tc>
              <w:tc>
                <w:tcPr>
                  <w:tcW w:w="6040" w:type="dxa"/>
                  <w:gridSpan w:val="6"/>
                  <w:tcBorders>
                    <w:top w:val="single" w:color="000000" w:sz="4" w:space="0"/>
                    <w:left w:val="single" w:color="000000" w:sz="4" w:space="0"/>
                    <w:bottom w:val="single" w:color="000000" w:sz="4" w:space="0"/>
                    <w:right w:val="single" w:color="000000" w:sz="12" w:space="0"/>
                  </w:tcBorders>
                  <w:shd w:val="clear" w:color="auto" w:fill="auto"/>
                  <w:vAlign w:val="center"/>
                </w:tcPr>
                <w:p w14:paraId="485DDAE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w:t>
                  </w:r>
                </w:p>
              </w:tc>
            </w:tr>
            <w:tr w14:paraId="400DE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52" w:type="dxa"/>
                  <w:vMerge w:val="continue"/>
                  <w:tcBorders>
                    <w:left w:val="single" w:color="000000" w:sz="12" w:space="0"/>
                    <w:right w:val="single" w:color="000000" w:sz="4" w:space="0"/>
                  </w:tcBorders>
                  <w:shd w:val="clear" w:color="auto" w:fill="auto"/>
                  <w:noWrap/>
                  <w:vAlign w:val="center"/>
                </w:tcPr>
                <w:p w14:paraId="5CF99AAF">
                  <w:pPr>
                    <w:jc w:val="center"/>
                    <w:rPr>
                      <w:rFonts w:hint="eastAsia" w:ascii="宋体" w:hAnsi="宋体" w:eastAsia="宋体" w:cs="宋体"/>
                      <w:i w:val="0"/>
                      <w:iCs w:val="0"/>
                      <w:color w:val="auto"/>
                      <w:sz w:val="22"/>
                      <w:szCs w:val="22"/>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04795">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排放浓度</w:t>
                  </w:r>
                  <w:r>
                    <w:rPr>
                      <w:rFonts w:hint="default" w:ascii="Times New Roman" w:hAnsi="Times New Roman" w:eastAsia="宋体" w:cs="Times New Roman"/>
                      <w:b/>
                      <w:bCs/>
                      <w:i w:val="0"/>
                      <w:iCs w:val="0"/>
                      <w:color w:val="auto"/>
                      <w:kern w:val="0"/>
                      <w:sz w:val="21"/>
                      <w:szCs w:val="21"/>
                      <w:u w:val="none"/>
                      <w:lang w:val="en-US" w:eastAsia="zh-CN" w:bidi="ar"/>
                    </w:rPr>
                    <w:t xml:space="preserve"> mg/L</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47B7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12</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C2A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F101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14</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D5E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0.315</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5920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E3F7CB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r>
            <w:tr w14:paraId="6A061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52" w:type="dxa"/>
                  <w:vMerge w:val="continue"/>
                  <w:tcBorders>
                    <w:left w:val="single" w:color="000000" w:sz="12" w:space="0"/>
                    <w:bottom w:val="single" w:color="000000" w:sz="4" w:space="0"/>
                    <w:right w:val="single" w:color="000000" w:sz="4" w:space="0"/>
                  </w:tcBorders>
                  <w:shd w:val="clear" w:color="auto" w:fill="auto"/>
                  <w:noWrap/>
                  <w:vAlign w:val="center"/>
                </w:tcPr>
                <w:p w14:paraId="794232B3">
                  <w:pPr>
                    <w:jc w:val="center"/>
                    <w:rPr>
                      <w:rFonts w:hint="eastAsia" w:ascii="宋体" w:hAnsi="宋体" w:eastAsia="宋体" w:cs="宋体"/>
                      <w:i w:val="0"/>
                      <w:iCs w:val="0"/>
                      <w:color w:val="auto"/>
                      <w:sz w:val="22"/>
                      <w:szCs w:val="22"/>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76418">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排放量</w:t>
                  </w:r>
                  <w:r>
                    <w:rPr>
                      <w:rFonts w:hint="default" w:ascii="Times New Roman" w:hAnsi="Times New Roman" w:eastAsia="宋体" w:cs="Times New Roman"/>
                      <w:b/>
                      <w:bCs/>
                      <w:i w:val="0"/>
                      <w:iCs w:val="0"/>
                      <w:color w:val="auto"/>
                      <w:kern w:val="0"/>
                      <w:sz w:val="21"/>
                      <w:szCs w:val="21"/>
                      <w:u w:val="none"/>
                      <w:lang w:val="en-US" w:eastAsia="zh-CN" w:bidi="ar"/>
                    </w:rPr>
                    <w:t xml:space="preserve"> t/a</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76B1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0.0035</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799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0.0013</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4D1A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0.0041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6C1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0.000093</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211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0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98F306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w:t>
                  </w:r>
                </w:p>
              </w:tc>
            </w:tr>
            <w:tr w14:paraId="52CF5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155" w:type="dxa"/>
                  <w:gridSpan w:val="2"/>
                  <w:tcBorders>
                    <w:top w:val="single" w:color="000000" w:sz="4" w:space="0"/>
                    <w:left w:val="single" w:color="000000" w:sz="12" w:space="0"/>
                    <w:bottom w:val="single" w:color="000000" w:sz="4" w:space="0"/>
                    <w:right w:val="single" w:color="000000" w:sz="4" w:space="0"/>
                  </w:tcBorders>
                  <w:shd w:val="clear" w:color="auto" w:fill="auto"/>
                  <w:vAlign w:val="center"/>
                </w:tcPr>
                <w:p w14:paraId="659BAF2E">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排放规律</w:t>
                  </w:r>
                </w:p>
              </w:tc>
              <w:tc>
                <w:tcPr>
                  <w:tcW w:w="6040" w:type="dxa"/>
                  <w:gridSpan w:val="6"/>
                  <w:tcBorders>
                    <w:top w:val="single" w:color="000000" w:sz="4" w:space="0"/>
                    <w:left w:val="single" w:color="000000" w:sz="4" w:space="0"/>
                    <w:bottom w:val="single" w:color="000000" w:sz="4" w:space="0"/>
                    <w:right w:val="single" w:color="000000" w:sz="12" w:space="0"/>
                  </w:tcBorders>
                  <w:shd w:val="clear" w:color="auto" w:fill="auto"/>
                  <w:vAlign w:val="center"/>
                </w:tcPr>
                <w:p w14:paraId="797541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间断排放</w:t>
                  </w:r>
                </w:p>
              </w:tc>
            </w:tr>
            <w:tr w14:paraId="64587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2155" w:type="dxa"/>
                  <w:gridSpan w:val="2"/>
                  <w:tcBorders>
                    <w:top w:val="single" w:color="000000" w:sz="4" w:space="0"/>
                    <w:left w:val="single" w:color="000000" w:sz="12" w:space="0"/>
                    <w:bottom w:val="single" w:color="000000" w:sz="12" w:space="0"/>
                    <w:right w:val="single" w:color="000000" w:sz="4" w:space="0"/>
                  </w:tcBorders>
                  <w:shd w:val="clear" w:color="auto" w:fill="auto"/>
                  <w:vAlign w:val="center"/>
                </w:tcPr>
                <w:p w14:paraId="5D348872">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去向</w:t>
                  </w:r>
                </w:p>
              </w:tc>
              <w:tc>
                <w:tcPr>
                  <w:tcW w:w="6040" w:type="dxa"/>
                  <w:gridSpan w:val="6"/>
                  <w:tcBorders>
                    <w:top w:val="single" w:color="000000" w:sz="4" w:space="0"/>
                    <w:left w:val="single" w:color="000000" w:sz="4" w:space="0"/>
                    <w:bottom w:val="single" w:color="000000" w:sz="12" w:space="0"/>
                    <w:right w:val="single" w:color="000000" w:sz="12" w:space="0"/>
                  </w:tcBorders>
                  <w:shd w:val="clear" w:color="auto" w:fill="auto"/>
                  <w:vAlign w:val="center"/>
                </w:tcPr>
                <w:p w14:paraId="2D405F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vertAlign w:val="baseli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先园区</w:t>
                  </w:r>
                  <w:r>
                    <w:rPr>
                      <w:rFonts w:hint="default" w:ascii="Times New Roman" w:hAnsi="Times New Roman" w:eastAsia="宋体" w:cs="Times New Roman"/>
                      <w:i w:val="0"/>
                      <w:iCs w:val="0"/>
                      <w:color w:val="auto"/>
                      <w:kern w:val="0"/>
                      <w:sz w:val="21"/>
                      <w:szCs w:val="21"/>
                      <w:u w:val="none"/>
                      <w:lang w:val="en-US" w:eastAsia="zh-CN" w:bidi="ar"/>
                    </w:rPr>
                    <w:t>化粪池150m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/d</w:t>
                  </w:r>
                  <w:r>
                    <w:rPr>
                      <w:rFonts w:hint="eastAsia" w:ascii="Times New Roman" w:hAnsi="Times New Roman" w:eastAsia="宋体" w:cs="Times New Roman"/>
                      <w:i w:val="0"/>
                      <w:iCs w:val="0"/>
                      <w:color w:val="auto"/>
                      <w:kern w:val="0"/>
                      <w:sz w:val="21"/>
                      <w:szCs w:val="21"/>
                      <w:u w:val="none"/>
                      <w:vertAlign w:val="baseline"/>
                      <w:lang w:val="en-US" w:eastAsia="zh-CN" w:bidi="ar"/>
                    </w:rPr>
                    <w:t>，</w:t>
                  </w:r>
                  <w:r>
                    <w:rPr>
                      <w:rFonts w:hint="default" w:ascii="Times New Roman" w:hAnsi="Times New Roman" w:eastAsia="宋体" w:cs="Times New Roman"/>
                      <w:i w:val="0"/>
                      <w:iCs w:val="0"/>
                      <w:color w:val="auto"/>
                      <w:kern w:val="0"/>
                      <w:sz w:val="21"/>
                      <w:szCs w:val="21"/>
                      <w:u w:val="none"/>
                      <w:vertAlign w:val="baseline"/>
                      <w:lang w:val="en-US" w:eastAsia="zh-CN" w:bidi="ar"/>
                    </w:rPr>
                    <w:t>后</w:t>
                  </w:r>
                  <w:r>
                    <w:rPr>
                      <w:rFonts w:hint="default" w:ascii="Times New Roman" w:hAnsi="Times New Roman" w:eastAsia="宋体" w:cs="Times New Roman"/>
                      <w:i w:val="0"/>
                      <w:iCs w:val="0"/>
                      <w:color w:val="auto"/>
                      <w:kern w:val="0"/>
                      <w:sz w:val="21"/>
                      <w:szCs w:val="21"/>
                      <w:highlight w:val="none"/>
                      <w:u w:val="none"/>
                      <w:lang w:val="en-US" w:eastAsia="zh-CN" w:bidi="ar"/>
                    </w:rPr>
                    <w:t>西安净水处理有限责任公司第六再生水厂</w:t>
                  </w:r>
                </w:p>
              </w:tc>
            </w:tr>
          </w:tbl>
          <w:p w14:paraId="730EF82F">
            <w:pPr>
              <w:widowControl/>
              <w:snapToGrid/>
              <w:spacing w:before="0" w:beforeLines="-2147483648"/>
              <w:jc w:val="left"/>
              <w:rPr>
                <w:rFonts w:hint="eastAsia"/>
                <w:color w:val="auto"/>
                <w:highlight w:val="none"/>
              </w:rPr>
            </w:pPr>
            <w:r>
              <w:rPr>
                <w:rFonts w:hint="eastAsia"/>
                <w:color w:val="auto"/>
                <w:highlight w:val="none"/>
                <w:lang w:val="en-US" w:eastAsia="zh-CN"/>
              </w:rPr>
              <w:t xml:space="preserve"> 注：现有生活污水为600</w:t>
            </w:r>
            <w:r>
              <w:rPr>
                <w:rFonts w:hint="default" w:ascii="Times New Roman" w:hAnsi="Times New Roman" w:eastAsia="宋体" w:cs="Times New Roman"/>
                <w:b w:val="0"/>
                <w:bCs w:val="0"/>
                <w:i w:val="0"/>
                <w:iCs w:val="0"/>
                <w:color w:val="auto"/>
                <w:kern w:val="0"/>
                <w:sz w:val="21"/>
                <w:szCs w:val="21"/>
                <w:u w:val="none"/>
                <w:lang w:val="en-US" w:eastAsia="zh-CN" w:bidi="ar"/>
              </w:rPr>
              <w:t>m</w:t>
            </w:r>
            <w:r>
              <w:rPr>
                <w:rFonts w:hint="default" w:ascii="Times New Roman" w:hAnsi="Times New Roman" w:eastAsia="宋体" w:cs="Times New Roman"/>
                <w:b w:val="0"/>
                <w:bCs w:val="0"/>
                <w:i w:val="0"/>
                <w:iCs w:val="0"/>
                <w:color w:val="auto"/>
                <w:kern w:val="0"/>
                <w:sz w:val="21"/>
                <w:szCs w:val="21"/>
                <w:u w:val="none"/>
                <w:vertAlign w:val="superscript"/>
                <w:lang w:val="en-US" w:eastAsia="zh-CN" w:bidi="ar"/>
              </w:rPr>
              <w:t>3</w:t>
            </w:r>
            <w:r>
              <w:rPr>
                <w:rFonts w:hint="default" w:ascii="Times New Roman" w:hAnsi="Times New Roman" w:eastAsia="宋体" w:cs="Times New Roman"/>
                <w:b w:val="0"/>
                <w:bCs w:val="0"/>
                <w:i w:val="0"/>
                <w:iCs w:val="0"/>
                <w:color w:val="auto"/>
                <w:kern w:val="0"/>
                <w:sz w:val="21"/>
                <w:szCs w:val="21"/>
                <w:u w:val="none"/>
                <w:lang w:val="en-US" w:eastAsia="zh-CN" w:bidi="ar"/>
              </w:rPr>
              <w:t>/</w:t>
            </w:r>
            <w:r>
              <w:rPr>
                <w:rFonts w:hint="eastAsia" w:ascii="Times New Roman" w:hAnsi="Times New Roman" w:eastAsia="宋体" w:cs="Times New Roman"/>
                <w:b w:val="0"/>
                <w:bCs w:val="0"/>
                <w:i w:val="0"/>
                <w:iCs w:val="0"/>
                <w:color w:val="auto"/>
                <w:kern w:val="0"/>
                <w:sz w:val="21"/>
                <w:szCs w:val="21"/>
                <w:u w:val="none"/>
                <w:lang w:val="en-US" w:eastAsia="zh-CN" w:bidi="ar"/>
              </w:rPr>
              <w:t>a，</w:t>
            </w:r>
            <w:r>
              <w:rPr>
                <w:rFonts w:hint="eastAsia"/>
                <w:color w:val="auto"/>
                <w:highlight w:val="none"/>
              </w:rPr>
              <w:t>职工生活污水参考《生活污染源产排污系数手册》(2021年)中表1-1，COD460mg/L，氨氮52.2mg/L，其他</w:t>
            </w:r>
            <w:r>
              <w:rPr>
                <w:rFonts w:hint="eastAsia"/>
                <w:color w:val="auto"/>
                <w:highlight w:val="none"/>
                <w:lang w:eastAsia="zh-CN"/>
              </w:rPr>
              <w:t>项目</w:t>
            </w:r>
            <w:r>
              <w:rPr>
                <w:rFonts w:hint="eastAsia"/>
                <w:color w:val="auto"/>
                <w:highlight w:val="none"/>
              </w:rPr>
              <w:t>参考《给排水设计手册》（第五册城镇排水）典型生活污水水质示例，本项目生活污水中主要污染指标浓度选取为BOD5220mg/L，SS200mg/L</w:t>
            </w:r>
          </w:p>
          <w:p w14:paraId="77065F1D">
            <w:pPr>
              <w:widowControl/>
              <w:snapToGrid/>
              <w:spacing w:before="0" w:beforeLines="-2147483648"/>
              <w:jc w:val="left"/>
              <w:rPr>
                <w:rFonts w:hint="eastAsia"/>
                <w:color w:val="auto"/>
                <w:highlight w:val="none"/>
                <w:lang w:val="en-US" w:eastAsia="zh-CN"/>
              </w:rPr>
            </w:pPr>
          </w:p>
          <w:p w14:paraId="21D5CCE4">
            <w:pPr>
              <w:widowControl/>
              <w:snapToGrid/>
              <w:spacing w:before="0" w:beforeLines="-2147483648"/>
              <w:jc w:val="left"/>
              <w:rPr>
                <w:rFonts w:hint="default"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2.2 废水达标情况分析</w:t>
            </w:r>
          </w:p>
          <w:p w14:paraId="2EFB3C4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cs="Times New Roman"/>
                <w:b/>
                <w:bCs/>
                <w:color w:val="auto"/>
                <w:sz w:val="24"/>
                <w:szCs w:val="24"/>
                <w:highlight w:val="none"/>
                <w:lang w:val="en-US" w:eastAsia="zh-CN"/>
              </w:rPr>
              <w:t>（1）项目废水监测情况分析</w:t>
            </w:r>
          </w:p>
          <w:p w14:paraId="7506B4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根据DW001出口</w:t>
            </w:r>
            <w:r>
              <w:rPr>
                <w:rFonts w:hint="eastAsia" w:cs="Times New Roman"/>
                <w:color w:val="auto"/>
                <w:sz w:val="24"/>
                <w:szCs w:val="24"/>
                <w:highlight w:val="none"/>
                <w:lang w:val="en-US" w:eastAsia="zh-CN"/>
              </w:rPr>
              <w:t>监</w:t>
            </w:r>
            <w:r>
              <w:rPr>
                <w:rFonts w:hint="default" w:ascii="Times New Roman" w:hAnsi="Times New Roman" w:eastAsia="宋体" w:cs="Times New Roman"/>
                <w:color w:val="auto"/>
                <w:sz w:val="24"/>
                <w:szCs w:val="24"/>
                <w:highlight w:val="none"/>
                <w:lang w:val="en-US" w:eastAsia="zh-CN"/>
              </w:rPr>
              <w:t>测结果，项目</w:t>
            </w:r>
            <w:r>
              <w:rPr>
                <w:rFonts w:hint="eastAsia" w:cs="Times New Roman"/>
                <w:color w:val="auto"/>
                <w:sz w:val="24"/>
                <w:szCs w:val="24"/>
                <w:highlight w:val="none"/>
                <w:lang w:val="en-US" w:eastAsia="zh-CN"/>
              </w:rPr>
              <w:t>清洗</w:t>
            </w:r>
            <w:r>
              <w:rPr>
                <w:rFonts w:hint="default" w:ascii="Times New Roman" w:hAnsi="Times New Roman" w:eastAsia="宋体" w:cs="Times New Roman"/>
                <w:color w:val="auto"/>
                <w:sz w:val="24"/>
                <w:szCs w:val="24"/>
                <w:highlight w:val="none"/>
                <w:lang w:val="en-US" w:eastAsia="zh-CN"/>
              </w:rPr>
              <w:t>废水经自建的酸碱中和+絮凝沉淀+光催化反应+微电解反应+电化学氧化+消毒工艺处理后，废水中各污染因子可满足《污水综合排放标准》（GB8978-1996）三级标准要求及《污水排入城镇下水道水质标准》（GB/T31962-2015）表1中的A级标准。</w:t>
            </w:r>
          </w:p>
          <w:p w14:paraId="4405D090">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firstLine="482" w:firstLineChars="200"/>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（2）依托</w:t>
            </w:r>
            <w:r>
              <w:rPr>
                <w:rFonts w:hint="eastAsia" w:ascii="Times New Roman" w:hAnsi="Times New Roman" w:eastAsia="宋体" w:cs="Times New Roman"/>
                <w:b/>
                <w:bCs/>
                <w:color w:val="auto"/>
                <w:kern w:val="2"/>
                <w:sz w:val="24"/>
                <w:szCs w:val="24"/>
                <w:highlight w:val="none"/>
                <w:lang w:val="en-US" w:eastAsia="zh-CN" w:bidi="ar-SA"/>
              </w:rPr>
              <w:t>废水污染治理设施可行性分析</w:t>
            </w:r>
          </w:p>
          <w:p w14:paraId="7511F1F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本项目清洗废水依托自建的污水处理装置进行预处理，污水处理设施位于10602室小试实验室东侧，建筑面积7.46m</w:t>
            </w:r>
            <w:r>
              <w:rPr>
                <w:rFonts w:hint="eastAsia"/>
                <w:color w:val="auto"/>
                <w:sz w:val="24"/>
                <w:szCs w:val="24"/>
                <w:highlight w:val="none"/>
                <w:vertAlign w:val="superscript"/>
                <w:lang w:val="en-US" w:eastAsia="zh-CN"/>
              </w:rPr>
              <w:t>2</w:t>
            </w:r>
            <w:r>
              <w:rPr>
                <w:rFonts w:hint="eastAsia"/>
                <w:color w:val="auto"/>
                <w:sz w:val="24"/>
                <w:szCs w:val="24"/>
                <w:highlight w:val="none"/>
                <w:lang w:val="en-US" w:eastAsia="zh-CN"/>
              </w:rPr>
              <w:t>。一体化废水处理设备如图4-1所示。</w:t>
            </w:r>
          </w:p>
          <w:p w14:paraId="77C329C8">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drawing>
                <wp:inline distT="0" distB="0" distL="114300" distR="114300">
                  <wp:extent cx="2525395" cy="1894205"/>
                  <wp:effectExtent l="0" t="0" r="8255" b="10795"/>
                  <wp:docPr id="5" name="图片 5" descr="ea8e7cf4cd63cbb37f1daa99f0b78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a8e7cf4cd63cbb37f1daa99f0b78d3"/>
                          <pic:cNvPicPr>
                            <a:picLocks noChangeAspect="1"/>
                          </pic:cNvPicPr>
                        </pic:nvPicPr>
                        <pic:blipFill>
                          <a:blip r:embed="rId23"/>
                          <a:stretch>
                            <a:fillRect/>
                          </a:stretch>
                        </pic:blipFill>
                        <pic:spPr>
                          <a:xfrm>
                            <a:off x="0" y="0"/>
                            <a:ext cx="2525395" cy="1894205"/>
                          </a:xfrm>
                          <a:prstGeom prst="rect">
                            <a:avLst/>
                          </a:prstGeom>
                        </pic:spPr>
                      </pic:pic>
                    </a:graphicData>
                  </a:graphic>
                </wp:inline>
              </w:drawing>
            </w:r>
            <w:r>
              <w:rPr>
                <w:rFonts w:hint="eastAsia" w:cs="Times New Roman"/>
                <w:b/>
                <w:bCs/>
                <w:color w:val="auto"/>
                <w:kern w:val="2"/>
                <w:sz w:val="24"/>
                <w:szCs w:val="24"/>
                <w:highlight w:val="none"/>
                <w:lang w:val="en-US" w:eastAsia="zh-CN" w:bidi="ar-SA"/>
              </w:rPr>
              <w:t xml:space="preserve"> </w:t>
            </w:r>
            <w:r>
              <w:rPr>
                <w:rFonts w:hint="eastAsia" w:ascii="Times New Roman" w:hAnsi="Times New Roman" w:eastAsia="宋体" w:cs="Times New Roman"/>
                <w:b/>
                <w:bCs/>
                <w:color w:val="auto"/>
                <w:kern w:val="2"/>
                <w:sz w:val="24"/>
                <w:szCs w:val="24"/>
                <w:highlight w:val="none"/>
                <w:lang w:val="en-US" w:eastAsia="zh-CN" w:bidi="ar-SA"/>
              </w:rPr>
              <w:drawing>
                <wp:inline distT="0" distB="0" distL="114300" distR="114300">
                  <wp:extent cx="2493645" cy="1869440"/>
                  <wp:effectExtent l="0" t="0" r="1905" b="16510"/>
                  <wp:docPr id="6" name="图片 6" descr="2b2f02de9982fec6d600b18c30afb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b2f02de9982fec6d600b18c30afbfb"/>
                          <pic:cNvPicPr>
                            <a:picLocks noChangeAspect="1"/>
                          </pic:cNvPicPr>
                        </pic:nvPicPr>
                        <pic:blipFill>
                          <a:blip r:embed="rId24"/>
                          <a:stretch>
                            <a:fillRect/>
                          </a:stretch>
                        </pic:blipFill>
                        <pic:spPr>
                          <a:xfrm>
                            <a:off x="0" y="0"/>
                            <a:ext cx="2493645" cy="1869440"/>
                          </a:xfrm>
                          <a:prstGeom prst="rect">
                            <a:avLst/>
                          </a:prstGeom>
                        </pic:spPr>
                      </pic:pic>
                    </a:graphicData>
                  </a:graphic>
                </wp:inline>
              </w:drawing>
            </w:r>
          </w:p>
          <w:p w14:paraId="0AF29770">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 xml:space="preserve">                        图4-1 一体化废水处理设备现状</w:t>
            </w:r>
          </w:p>
          <w:p w14:paraId="66F7E0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szCs w:val="24"/>
                <w:highlight w:val="none"/>
                <w:lang w:val="en-US" w:eastAsia="zh-CN"/>
              </w:rPr>
              <w:t>根据前文计算出的水平衡，可知本次项目扩建后全厂清洗废水产生量为1.2m</w:t>
            </w:r>
            <w:r>
              <w:rPr>
                <w:rFonts w:hint="eastAsia"/>
                <w:color w:val="auto"/>
                <w:sz w:val="24"/>
                <w:szCs w:val="24"/>
                <w:highlight w:val="none"/>
                <w:vertAlign w:val="superscript"/>
                <w:lang w:val="en-US" w:eastAsia="zh-CN"/>
              </w:rPr>
              <w:t>3</w:t>
            </w:r>
            <w:r>
              <w:rPr>
                <w:rFonts w:hint="eastAsia"/>
                <w:color w:val="auto"/>
                <w:sz w:val="24"/>
                <w:szCs w:val="24"/>
                <w:highlight w:val="none"/>
                <w:vertAlign w:val="baseline"/>
                <w:lang w:val="en-US" w:eastAsia="zh-CN"/>
              </w:rPr>
              <w:t>/d（294</w:t>
            </w:r>
            <w:r>
              <w:rPr>
                <w:rFonts w:hint="eastAsia"/>
                <w:color w:val="auto"/>
                <w:sz w:val="24"/>
                <w:szCs w:val="24"/>
                <w:highlight w:val="none"/>
                <w:lang w:val="en-US" w:eastAsia="zh-CN"/>
              </w:rPr>
              <w:t>m</w:t>
            </w:r>
            <w:r>
              <w:rPr>
                <w:rFonts w:hint="eastAsia"/>
                <w:color w:val="auto"/>
                <w:sz w:val="24"/>
                <w:szCs w:val="24"/>
                <w:highlight w:val="none"/>
                <w:vertAlign w:val="superscript"/>
                <w:lang w:val="en-US" w:eastAsia="zh-CN"/>
              </w:rPr>
              <w:t>3</w:t>
            </w:r>
            <w:r>
              <w:rPr>
                <w:rFonts w:hint="eastAsia"/>
                <w:color w:val="auto"/>
                <w:sz w:val="24"/>
                <w:szCs w:val="24"/>
                <w:highlight w:val="none"/>
                <w:vertAlign w:val="baseline"/>
                <w:lang w:val="en-US" w:eastAsia="zh-CN"/>
              </w:rPr>
              <w:t>/a），现有的污水处理设施设计规模为1500L/d，因此污水处理设施剩余</w:t>
            </w:r>
            <w:r>
              <w:rPr>
                <w:rFonts w:hint="eastAsia"/>
                <w:color w:val="auto"/>
                <w:sz w:val="24"/>
                <w:szCs w:val="24"/>
                <w:highlight w:val="none"/>
                <w:lang w:val="en-US" w:eastAsia="zh-CN"/>
              </w:rPr>
              <w:t>处理规模满足本项目新增清洗废水处理水量。</w:t>
            </w:r>
          </w:p>
          <w:p w14:paraId="1C8429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eastAsia"/>
                <w:color w:val="auto"/>
                <w:sz w:val="24"/>
                <w:lang w:val="en-US" w:eastAsia="zh-CN"/>
              </w:rPr>
              <w:t>由于本次扩建项目不涉及反应工艺流程变动，实验器皿清洗流程与现有工程几乎一致。即实验器皿经有机溶剂清洗和第一、二次自来水清洗，已基本上去除了残留的有机溶剂和样品等，其清洗废液均作为危废处置，因此实验第三、四次清洗废水与台面、地面清洗废水成分相似，污染因子主要以pH、SS、COD，BOD</w:t>
            </w:r>
            <w:r>
              <w:rPr>
                <w:rFonts w:hint="eastAsia"/>
                <w:color w:val="auto"/>
                <w:sz w:val="24"/>
                <w:vertAlign w:val="subscript"/>
                <w:lang w:val="en-US" w:eastAsia="zh-CN"/>
              </w:rPr>
              <w:t>5</w:t>
            </w:r>
            <w:r>
              <w:rPr>
                <w:rFonts w:hint="eastAsia"/>
                <w:color w:val="auto"/>
                <w:sz w:val="24"/>
                <w:vertAlign w:val="baseline"/>
                <w:lang w:val="en-US" w:eastAsia="zh-CN"/>
              </w:rPr>
              <w:t>、NH</w:t>
            </w:r>
            <w:r>
              <w:rPr>
                <w:rFonts w:hint="eastAsia"/>
                <w:color w:val="auto"/>
                <w:sz w:val="24"/>
                <w:vertAlign w:val="subscript"/>
                <w:lang w:val="en-US" w:eastAsia="zh-CN"/>
              </w:rPr>
              <w:t>3</w:t>
            </w:r>
            <w:r>
              <w:rPr>
                <w:rFonts w:hint="eastAsia"/>
                <w:color w:val="auto"/>
                <w:sz w:val="24"/>
                <w:vertAlign w:val="baseline"/>
                <w:lang w:val="en-US" w:eastAsia="zh-CN"/>
              </w:rPr>
              <w:t>-N为主，与现有工程</w:t>
            </w:r>
            <w:r>
              <w:rPr>
                <w:rFonts w:hint="eastAsia"/>
                <w:color w:val="auto"/>
                <w:sz w:val="24"/>
                <w:lang w:val="en-US" w:eastAsia="zh-CN"/>
              </w:rPr>
              <w:t>实验器具第三、四次清洗废水和台面、地面清洗废水成分相似</w:t>
            </w:r>
            <w:r>
              <w:rPr>
                <w:rFonts w:hint="eastAsia"/>
                <w:color w:val="auto"/>
                <w:sz w:val="24"/>
                <w:vertAlign w:val="baseline"/>
                <w:lang w:val="en-US" w:eastAsia="zh-CN"/>
              </w:rPr>
              <w:t>。废水处理设施处理工艺为</w:t>
            </w:r>
            <w:r>
              <w:rPr>
                <w:rFonts w:hint="eastAsia"/>
                <w:color w:val="auto"/>
                <w:sz w:val="24"/>
                <w:szCs w:val="24"/>
                <w:highlight w:val="none"/>
                <w:lang w:val="en-US" w:eastAsia="zh-CN"/>
              </w:rPr>
              <w:t>酸碱中和+絮凝沉淀+光催化反应+微电解反应+电化学氧化+消毒，其中光催化反应、微电解反应以及电化学氧化属于高级氧化工艺可较好去除</w:t>
            </w:r>
            <w:r>
              <w:rPr>
                <w:rFonts w:hint="eastAsia"/>
                <w:color w:val="auto"/>
                <w:sz w:val="24"/>
              </w:rPr>
              <w:t>清洗废水</w:t>
            </w:r>
            <w:r>
              <w:rPr>
                <w:rFonts w:hint="eastAsia"/>
                <w:color w:val="auto"/>
                <w:sz w:val="24"/>
                <w:lang w:val="en-US" w:eastAsia="zh-CN"/>
              </w:rPr>
              <w:t>中的存在细小悬浮物、</w:t>
            </w:r>
            <w:r>
              <w:rPr>
                <w:rFonts w:hint="default" w:ascii="Times New Roman" w:hAnsi="Times New Roman" w:cs="Times New Roman"/>
                <w:color w:val="auto"/>
                <w:sz w:val="24"/>
                <w:szCs w:val="24"/>
                <w:highlight w:val="none"/>
                <w:lang w:val="en-US" w:eastAsia="zh-CN"/>
              </w:rPr>
              <w:t>微量金属及极少量的</w:t>
            </w:r>
            <w:r>
              <w:rPr>
                <w:rFonts w:hint="eastAsia" w:ascii="Times New Roman" w:hAnsi="Times New Roman" w:cs="Times New Roman"/>
                <w:color w:val="auto"/>
                <w:sz w:val="24"/>
                <w:szCs w:val="24"/>
                <w:highlight w:val="none"/>
                <w:lang w:val="en-US" w:eastAsia="zh-CN"/>
              </w:rPr>
              <w:t>难降解</w:t>
            </w:r>
            <w:r>
              <w:rPr>
                <w:rFonts w:hint="default" w:ascii="Times New Roman" w:hAnsi="Times New Roman" w:cs="Times New Roman"/>
                <w:color w:val="auto"/>
                <w:sz w:val="24"/>
                <w:szCs w:val="24"/>
                <w:highlight w:val="none"/>
                <w:lang w:val="en-US" w:eastAsia="zh-CN"/>
              </w:rPr>
              <w:t>有机物</w:t>
            </w:r>
            <w:r>
              <w:rPr>
                <w:rFonts w:hint="eastAsia"/>
                <w:color w:val="auto"/>
                <w:sz w:val="24"/>
                <w:lang w:val="en-US" w:eastAsia="zh-CN"/>
              </w:rPr>
              <w:t>。</w:t>
            </w:r>
            <w:r>
              <w:rPr>
                <w:rFonts w:hint="eastAsia"/>
                <w:color w:val="auto"/>
                <w:sz w:val="24"/>
                <w:szCs w:val="24"/>
                <w:highlight w:val="none"/>
                <w:lang w:val="en-US" w:eastAsia="zh-CN"/>
              </w:rPr>
              <w:t>根据现有的废水监测报告，项目全厂清洗废水经预处理后，</w:t>
            </w:r>
            <w:r>
              <w:rPr>
                <w:rFonts w:hint="eastAsia"/>
                <w:color w:val="auto"/>
                <w:sz w:val="24"/>
                <w:lang w:val="en-US" w:eastAsia="zh-CN"/>
              </w:rPr>
              <w:t>pH、SS、COD，BOD</w:t>
            </w:r>
            <w:r>
              <w:rPr>
                <w:rFonts w:hint="eastAsia"/>
                <w:color w:val="auto"/>
                <w:sz w:val="24"/>
                <w:vertAlign w:val="subscript"/>
                <w:lang w:val="en-US" w:eastAsia="zh-CN"/>
              </w:rPr>
              <w:t>5</w:t>
            </w:r>
            <w:r>
              <w:rPr>
                <w:rFonts w:hint="eastAsia"/>
                <w:color w:val="auto"/>
                <w:sz w:val="24"/>
                <w:vertAlign w:val="baseline"/>
                <w:lang w:val="en-US" w:eastAsia="zh-CN"/>
              </w:rPr>
              <w:t>、NH</w:t>
            </w:r>
            <w:r>
              <w:rPr>
                <w:rFonts w:hint="eastAsia"/>
                <w:color w:val="auto"/>
                <w:sz w:val="24"/>
                <w:vertAlign w:val="subscript"/>
                <w:lang w:val="en-US" w:eastAsia="zh-CN"/>
              </w:rPr>
              <w:t>3</w:t>
            </w:r>
            <w:r>
              <w:rPr>
                <w:rFonts w:hint="eastAsia"/>
                <w:color w:val="auto"/>
                <w:sz w:val="24"/>
                <w:vertAlign w:val="baseline"/>
                <w:lang w:val="en-US" w:eastAsia="zh-CN"/>
              </w:rPr>
              <w:t>-N</w:t>
            </w:r>
            <w:r>
              <w:rPr>
                <w:rFonts w:hint="eastAsia"/>
                <w:color w:val="auto"/>
                <w:sz w:val="24"/>
                <w:szCs w:val="24"/>
                <w:highlight w:val="none"/>
                <w:lang w:val="en-US" w:eastAsia="zh-CN"/>
              </w:rPr>
              <w:t>污染物排放浓度满足《污水综合排放标准》（GB8978-1996）中的三级标准及《污水排入城镇下水道水质标准》（GB/T31962-2015）A级标准。其处理工艺见图4-1，一体化废水处理设备如图4-2所示。</w:t>
            </w:r>
          </w:p>
          <w:p w14:paraId="4C7467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p>
          <w:p w14:paraId="72579E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object>
                <v:shape id="_x0000_i1030" o:spt="75" type="#_x0000_t75" style="height:260.2pt;width:338.7pt;" o:ole="t" filled="f" o:preferrelative="t" stroked="f" coordsize="21600,21600">
                  <v:path/>
                  <v:fill on="f" focussize="0,0"/>
                  <v:stroke on="f"/>
                  <v:imagedata r:id="rId26" o:title=""/>
                  <o:lock v:ext="edit" aspectratio="f"/>
                  <w10:wrap type="none"/>
                  <w10:anchorlock/>
                </v:shape>
                <o:OLEObject Type="Embed" ProgID="Visio.Drawing.15" ShapeID="_x0000_i1030" DrawAspect="Content" ObjectID="_1468075730" r:id="rId25">
                  <o:LockedField>false</o:LockedField>
                </o:OLEObject>
              </w:object>
            </w:r>
          </w:p>
          <w:p w14:paraId="339C9D0A">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8" w:leftChars="0" w:firstLine="361" w:firstLineChars="150"/>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图4-</w:t>
            </w:r>
            <w:r>
              <w:rPr>
                <w:rFonts w:hint="eastAsia" w:cs="Times New Roman"/>
                <w:b/>
                <w:bCs/>
                <w:color w:val="auto"/>
                <w:kern w:val="2"/>
                <w:sz w:val="24"/>
                <w:szCs w:val="24"/>
                <w:highlight w:val="none"/>
                <w:lang w:val="en-US" w:eastAsia="zh-CN" w:bidi="ar-SA"/>
              </w:rPr>
              <w:t xml:space="preserve">2 </w:t>
            </w:r>
            <w:r>
              <w:rPr>
                <w:rFonts w:hint="eastAsia" w:ascii="Times New Roman" w:hAnsi="Times New Roman" w:eastAsia="宋体" w:cs="Times New Roman"/>
                <w:b/>
                <w:bCs/>
                <w:color w:val="auto"/>
                <w:kern w:val="2"/>
                <w:sz w:val="24"/>
                <w:szCs w:val="24"/>
                <w:highlight w:val="none"/>
                <w:lang w:val="en-US" w:eastAsia="zh-CN" w:bidi="ar-SA"/>
              </w:rPr>
              <w:t>污水</w:t>
            </w:r>
            <w:r>
              <w:rPr>
                <w:rFonts w:hint="eastAsia" w:cs="Times New Roman"/>
                <w:b/>
                <w:bCs/>
                <w:color w:val="auto"/>
                <w:kern w:val="2"/>
                <w:sz w:val="24"/>
                <w:szCs w:val="24"/>
                <w:highlight w:val="none"/>
                <w:lang w:val="en-US" w:eastAsia="zh-CN" w:bidi="ar-SA"/>
              </w:rPr>
              <w:t>处理设施</w:t>
            </w:r>
            <w:r>
              <w:rPr>
                <w:rFonts w:hint="eastAsia" w:ascii="Times New Roman" w:hAnsi="Times New Roman" w:eastAsia="宋体" w:cs="Times New Roman"/>
                <w:b/>
                <w:bCs/>
                <w:color w:val="auto"/>
                <w:kern w:val="2"/>
                <w:sz w:val="24"/>
                <w:szCs w:val="24"/>
                <w:highlight w:val="none"/>
                <w:lang w:val="en-US" w:eastAsia="zh-CN" w:bidi="ar-SA"/>
              </w:rPr>
              <w:t>工艺流程</w:t>
            </w:r>
          </w:p>
          <w:p w14:paraId="007D88A2">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8" w:leftChars="0" w:firstLine="360" w:firstLineChars="150"/>
              <w:jc w:val="center"/>
              <w:textAlignment w:val="auto"/>
              <w:rPr>
                <w:rFonts w:hint="default" w:ascii="Times New Roman" w:hAnsi="Times New Roman" w:eastAsia="宋体" w:cs="Times New Roman"/>
                <w:b w:val="0"/>
                <w:bCs w:val="0"/>
                <w:color w:val="auto"/>
                <w:kern w:val="2"/>
                <w:sz w:val="24"/>
                <w:szCs w:val="24"/>
                <w:highlight w:val="none"/>
                <w:lang w:val="en-US" w:eastAsia="zh-CN" w:bidi="ar-SA"/>
              </w:rPr>
            </w:pPr>
          </w:p>
          <w:p w14:paraId="5F3920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eastAsia" w:cs="Times New Roman"/>
                <w:color w:val="auto"/>
                <w:sz w:val="24"/>
                <w:szCs w:val="24"/>
                <w:highlight w:val="none"/>
                <w:lang w:val="en-US" w:eastAsia="zh-CN"/>
              </w:rPr>
              <w:t>一体化废水处理设备工作原理：清洗</w:t>
            </w:r>
            <w:r>
              <w:rPr>
                <w:rFonts w:hint="default" w:ascii="Times New Roman" w:hAnsi="Times New Roman" w:cs="Times New Roman"/>
                <w:color w:val="auto"/>
                <w:sz w:val="24"/>
                <w:szCs w:val="24"/>
                <w:highlight w:val="none"/>
                <w:lang w:val="en-US" w:eastAsia="zh-CN"/>
              </w:rPr>
              <w:t>废水经收集系统收集后，通过提升泵定量提升到污水处理设备。在一体化污水处理设备中首先进入酸碱中和调节系统，进行酸碱中和，在此通过pH控制仪，利用计量泵准确投加一定量NaOH水溶液，调节pH值至8~9之间，在碱性条件下，废水中的酸被中和，沉淀物排入污泥干化箱处理。</w:t>
            </w:r>
          </w:p>
          <w:p w14:paraId="0C1DD7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酸碱中和池出水接着流入沉淀池，酸碱中和后产生的沉淀以及污水中其他悬浮物在沉淀池中通过泥水间的异向流动实现污泥与水的分离。</w:t>
            </w:r>
          </w:p>
          <w:p w14:paraId="39526D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沉淀池出水依次进入光催化反应器、微电解</w:t>
            </w:r>
            <w:r>
              <w:rPr>
                <w:rFonts w:hint="eastAsia" w:cs="Times New Roman"/>
                <w:color w:val="auto"/>
                <w:sz w:val="24"/>
                <w:szCs w:val="24"/>
                <w:highlight w:val="none"/>
                <w:lang w:val="en-US" w:eastAsia="zh-CN"/>
              </w:rPr>
              <w:t>反应</w:t>
            </w:r>
            <w:r>
              <w:rPr>
                <w:rFonts w:hint="default" w:ascii="Times New Roman" w:hAnsi="Times New Roman" w:cs="Times New Roman"/>
                <w:color w:val="auto"/>
                <w:sz w:val="24"/>
                <w:szCs w:val="24"/>
                <w:highlight w:val="none"/>
                <w:lang w:val="en-US" w:eastAsia="zh-CN"/>
              </w:rPr>
              <w:t>器后进入电化学氧化装置，</w:t>
            </w:r>
            <w:r>
              <w:rPr>
                <w:rFonts w:hint="eastAsia" w:ascii="Times New Roman" w:hAnsi="Times New Roman" w:cs="Times New Roman"/>
                <w:color w:val="auto"/>
                <w:sz w:val="24"/>
                <w:szCs w:val="24"/>
                <w:highlight w:val="none"/>
                <w:lang w:val="en-US" w:eastAsia="zh-CN"/>
              </w:rPr>
              <w:t>通过光催化反应、微电解反应以及电化学氧化反应</w:t>
            </w:r>
            <w:r>
              <w:rPr>
                <w:rFonts w:hint="default" w:ascii="Times New Roman" w:hAnsi="Times New Roman" w:cs="Times New Roman"/>
                <w:color w:val="auto"/>
                <w:sz w:val="24"/>
                <w:szCs w:val="24"/>
                <w:highlight w:val="none"/>
                <w:lang w:val="en-US" w:eastAsia="zh-CN"/>
              </w:rPr>
              <w:t>，深度净化处理除</w:t>
            </w:r>
            <w:r>
              <w:rPr>
                <w:rFonts w:hint="eastAsia" w:ascii="Times New Roman" w:hAnsi="Times New Roman" w:cs="Times New Roman"/>
                <w:color w:val="auto"/>
                <w:sz w:val="24"/>
                <w:szCs w:val="24"/>
                <w:highlight w:val="none"/>
                <w:lang w:val="en-US" w:eastAsia="zh-CN"/>
              </w:rPr>
              <w:t>废水中含细小悬浮物、</w:t>
            </w:r>
            <w:r>
              <w:rPr>
                <w:rFonts w:hint="default" w:ascii="Times New Roman" w:hAnsi="Times New Roman" w:cs="Times New Roman"/>
                <w:color w:val="auto"/>
                <w:sz w:val="24"/>
                <w:szCs w:val="24"/>
                <w:highlight w:val="none"/>
                <w:lang w:val="en-US" w:eastAsia="zh-CN"/>
              </w:rPr>
              <w:t>微量金属及极少量的</w:t>
            </w:r>
            <w:r>
              <w:rPr>
                <w:rFonts w:hint="eastAsia" w:ascii="Times New Roman" w:hAnsi="Times New Roman" w:cs="Times New Roman"/>
                <w:color w:val="auto"/>
                <w:sz w:val="24"/>
                <w:szCs w:val="24"/>
                <w:highlight w:val="none"/>
                <w:lang w:val="en-US" w:eastAsia="zh-CN"/>
              </w:rPr>
              <w:t>难降解</w:t>
            </w:r>
            <w:r>
              <w:rPr>
                <w:rFonts w:hint="default" w:ascii="Times New Roman" w:hAnsi="Times New Roman" w:cs="Times New Roman"/>
                <w:color w:val="auto"/>
                <w:sz w:val="24"/>
                <w:szCs w:val="24"/>
                <w:highlight w:val="none"/>
                <w:lang w:val="en-US" w:eastAsia="zh-CN"/>
              </w:rPr>
              <w:t>有机物等</w:t>
            </w:r>
            <w:r>
              <w:rPr>
                <w:rFonts w:hint="eastAsia" w:ascii="Times New Roman" w:hAnsi="Times New Roman" w:cs="Times New Roman"/>
                <w:color w:val="auto"/>
                <w:sz w:val="24"/>
                <w:szCs w:val="24"/>
                <w:highlight w:val="none"/>
                <w:lang w:val="en-US" w:eastAsia="zh-CN"/>
              </w:rPr>
              <w:t>。最</w:t>
            </w:r>
            <w:r>
              <w:rPr>
                <w:rFonts w:hint="default" w:ascii="Times New Roman" w:hAnsi="Times New Roman" w:cs="Times New Roman"/>
                <w:color w:val="auto"/>
                <w:sz w:val="24"/>
                <w:szCs w:val="24"/>
                <w:highlight w:val="none"/>
                <w:lang w:val="en-US" w:eastAsia="zh-CN"/>
              </w:rPr>
              <w:t>后进入消毒系统，经三重消毒工序后达标排放。</w:t>
            </w:r>
          </w:p>
          <w:p w14:paraId="751938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整个废水处理流程，通过自动控制系统控制，中和调节系统设有浮球液位控制仪，低液位自动停泵，高液位自动启动，可基本实现无人值守。</w:t>
            </w:r>
            <w:r>
              <w:rPr>
                <w:rFonts w:hint="eastAsia" w:cs="Times New Roman"/>
                <w:color w:val="auto"/>
                <w:sz w:val="24"/>
                <w:szCs w:val="24"/>
                <w:highlight w:val="none"/>
                <w:lang w:val="en-US" w:eastAsia="zh-CN"/>
              </w:rPr>
              <w:t>同时建议建设单位加强污水处理设施运营管理，安排专人定期检修，及时按需添加药剂确保污水处理设施稳定运行，污染物达标排放。</w:t>
            </w:r>
          </w:p>
          <w:p w14:paraId="7B56868E">
            <w:pPr>
              <w:pStyle w:val="3"/>
              <w:rPr>
                <w:rFonts w:hint="default"/>
                <w:color w:val="auto"/>
                <w:sz w:val="24"/>
                <w:highlight w:val="none"/>
                <w:lang w:val="en-US" w:eastAsia="zh-CN"/>
              </w:rPr>
            </w:pPr>
            <w:r>
              <w:rPr>
                <w:rFonts w:hint="eastAsia"/>
                <w:color w:val="auto"/>
                <w:lang w:val="en-US" w:eastAsia="zh-CN"/>
              </w:rPr>
              <w:t xml:space="preserve">  </w:t>
            </w:r>
            <w:r>
              <w:rPr>
                <w:rFonts w:hint="default"/>
                <w:color w:val="auto"/>
                <w:sz w:val="24"/>
                <w:highlight w:val="none"/>
                <w:lang w:val="en-US" w:eastAsia="zh-CN"/>
              </w:rPr>
              <w:t xml:space="preserve"> 综上所述，本次扩建项目新增的清洗废水依托现有的污水处理设施可行</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szCs w:val="24"/>
                <w:highlight w:val="none"/>
                <w:lang w:val="en-US" w:eastAsia="zh-CN"/>
              </w:rPr>
              <w:t>本项目废水对环境影响较小</w:t>
            </w:r>
            <w:r>
              <w:rPr>
                <w:rFonts w:hint="default"/>
                <w:color w:val="auto"/>
                <w:sz w:val="24"/>
                <w:highlight w:val="none"/>
                <w:lang w:val="en-US" w:eastAsia="zh-CN"/>
              </w:rPr>
              <w:t>。</w:t>
            </w:r>
          </w:p>
          <w:p w14:paraId="04E8F02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 xml:space="preserve">2.3 </w:t>
            </w:r>
            <w:r>
              <w:rPr>
                <w:rFonts w:hint="eastAsia" w:ascii="Times New Roman" w:hAnsi="Times New Roman" w:eastAsia="宋体" w:cs="Times New Roman"/>
                <w:b/>
                <w:bCs/>
                <w:color w:val="auto"/>
                <w:kern w:val="2"/>
                <w:sz w:val="24"/>
                <w:szCs w:val="24"/>
                <w:highlight w:val="none"/>
                <w:lang w:val="en-US" w:eastAsia="zh-CN" w:bidi="ar-SA"/>
              </w:rPr>
              <w:t>西安净水处理有限责任公司第六再生水厂依托可行性分析</w:t>
            </w:r>
          </w:p>
          <w:p w14:paraId="6612BDE4">
            <w:pPr>
              <w:spacing w:line="360" w:lineRule="auto"/>
              <w:ind w:firstLine="480" w:firstLineChars="200"/>
            </w:pPr>
            <w:r>
              <w:rPr>
                <w:rFonts w:hint="eastAsia"/>
                <w:color w:val="auto"/>
                <w:sz w:val="24"/>
                <w:szCs w:val="24"/>
                <w:highlight w:val="none"/>
                <w:lang w:val="en-US" w:eastAsia="zh-CN"/>
              </w:rPr>
              <w:t>西安净水处理有限责任公司第六再生水厂位于西安市北郊六村堡的北绕城高速以北，太平河、郑西高铁以南，尚航路以东，福银高速以西，总占地面积16.95公顷，该污水处理厂分两期建设，采用以A</w:t>
            </w:r>
            <w:r>
              <w:rPr>
                <w:rFonts w:hint="eastAsia"/>
                <w:color w:val="auto"/>
                <w:sz w:val="24"/>
                <w:szCs w:val="24"/>
                <w:highlight w:val="none"/>
                <w:vertAlign w:val="superscript"/>
                <w:lang w:val="en-US" w:eastAsia="zh-CN"/>
              </w:rPr>
              <w:t>2</w:t>
            </w:r>
            <w:r>
              <w:rPr>
                <w:rFonts w:hint="eastAsia"/>
                <w:color w:val="auto"/>
                <w:sz w:val="24"/>
                <w:szCs w:val="24"/>
                <w:highlight w:val="none"/>
                <w:lang w:val="en-US" w:eastAsia="zh-CN"/>
              </w:rPr>
              <w:t>/O为主的生物处理工艺。一期工程10</w:t>
            </w:r>
            <w:r>
              <w:rPr>
                <w:rFonts w:hint="default"/>
                <w:color w:val="auto"/>
                <w:sz w:val="24"/>
                <w:szCs w:val="24"/>
                <w:highlight w:val="none"/>
                <w:lang w:val="en-US" w:eastAsia="zh-CN"/>
              </w:rPr>
              <w:t>×</w:t>
            </w:r>
            <w:r>
              <w:rPr>
                <w:rFonts w:hint="eastAsia"/>
                <w:color w:val="auto"/>
                <w:sz w:val="24"/>
                <w:szCs w:val="24"/>
                <w:highlight w:val="none"/>
                <w:lang w:val="en-US" w:eastAsia="zh-CN"/>
              </w:rPr>
              <w:t>10</w:t>
            </w:r>
            <w:r>
              <w:rPr>
                <w:rFonts w:hint="eastAsia"/>
                <w:color w:val="auto"/>
                <w:sz w:val="24"/>
                <w:szCs w:val="24"/>
                <w:highlight w:val="none"/>
                <w:vertAlign w:val="superscript"/>
                <w:lang w:val="en-US" w:eastAsia="zh-CN"/>
              </w:rPr>
              <w:t>4</w:t>
            </w:r>
            <w:r>
              <w:rPr>
                <w:rFonts w:hint="eastAsia"/>
                <w:color w:val="auto"/>
                <w:sz w:val="24"/>
                <w:szCs w:val="24"/>
                <w:highlight w:val="none"/>
                <w:lang w:val="en-US" w:eastAsia="zh-CN"/>
              </w:rPr>
              <w:t>m</w:t>
            </w:r>
            <w:r>
              <w:rPr>
                <w:rFonts w:hint="eastAsia"/>
                <w:color w:val="auto"/>
                <w:sz w:val="24"/>
                <w:szCs w:val="24"/>
                <w:highlight w:val="none"/>
                <w:vertAlign w:val="superscript"/>
                <w:lang w:val="en-US" w:eastAsia="zh-CN"/>
              </w:rPr>
              <w:t>3</w:t>
            </w:r>
            <w:r>
              <w:rPr>
                <w:rFonts w:hint="eastAsia"/>
                <w:color w:val="auto"/>
                <w:sz w:val="24"/>
                <w:szCs w:val="24"/>
                <w:highlight w:val="none"/>
                <w:lang w:val="en-US" w:eastAsia="zh-CN"/>
              </w:rPr>
              <w:t>/d及二期的5</w:t>
            </w:r>
            <w:r>
              <w:rPr>
                <w:rFonts w:hint="default"/>
                <w:color w:val="auto"/>
                <w:sz w:val="24"/>
                <w:szCs w:val="24"/>
                <w:highlight w:val="none"/>
                <w:lang w:val="en-US" w:eastAsia="zh-CN"/>
              </w:rPr>
              <w:t>×</w:t>
            </w:r>
            <w:r>
              <w:rPr>
                <w:rFonts w:hint="eastAsia"/>
                <w:color w:val="auto"/>
                <w:sz w:val="24"/>
                <w:szCs w:val="24"/>
                <w:highlight w:val="none"/>
                <w:lang w:val="en-US" w:eastAsia="zh-CN"/>
              </w:rPr>
              <w:t>10</w:t>
            </w:r>
            <w:r>
              <w:rPr>
                <w:rFonts w:hint="eastAsia"/>
                <w:color w:val="auto"/>
                <w:sz w:val="24"/>
                <w:szCs w:val="24"/>
                <w:highlight w:val="none"/>
                <w:vertAlign w:val="superscript"/>
                <w:lang w:val="en-US" w:eastAsia="zh-CN"/>
              </w:rPr>
              <w:t>4</w:t>
            </w:r>
            <w:r>
              <w:rPr>
                <w:rFonts w:hint="eastAsia"/>
                <w:color w:val="auto"/>
                <w:sz w:val="24"/>
                <w:szCs w:val="24"/>
                <w:highlight w:val="none"/>
                <w:lang w:val="en-US" w:eastAsia="zh-CN"/>
              </w:rPr>
              <w:t>m</w:t>
            </w:r>
            <w:r>
              <w:rPr>
                <w:rFonts w:hint="eastAsia"/>
                <w:color w:val="auto"/>
                <w:sz w:val="24"/>
                <w:szCs w:val="24"/>
                <w:highlight w:val="none"/>
                <w:vertAlign w:val="superscript"/>
                <w:lang w:val="en-US" w:eastAsia="zh-CN"/>
              </w:rPr>
              <w:t>3</w:t>
            </w:r>
            <w:r>
              <w:rPr>
                <w:rFonts w:hint="eastAsia"/>
                <w:color w:val="auto"/>
                <w:sz w:val="24"/>
                <w:szCs w:val="24"/>
                <w:highlight w:val="none"/>
                <w:lang w:val="en-US" w:eastAsia="zh-CN"/>
              </w:rPr>
              <w:t>/d工程于2016年8月进行验收，并于2016年10月28日取得西安市环境保护局沣渭新区分局关于西安市污水处理有限责任公司西安净水处理有限责任公司第六再生水厂工程（15万吨/天处理规模）竣工环保验收的批复，市环沣渭验〔2016〕10号。二期工程剩余5×10</w:t>
            </w:r>
            <w:r>
              <w:rPr>
                <w:rFonts w:hint="eastAsia"/>
                <w:color w:val="auto"/>
                <w:sz w:val="24"/>
                <w:szCs w:val="24"/>
                <w:highlight w:val="none"/>
                <w:vertAlign w:val="superscript"/>
                <w:lang w:val="en-US" w:eastAsia="zh-CN"/>
              </w:rPr>
              <w:t>4</w:t>
            </w:r>
            <w:r>
              <w:rPr>
                <w:rFonts w:hint="eastAsia"/>
                <w:color w:val="auto"/>
                <w:sz w:val="24"/>
                <w:szCs w:val="24"/>
                <w:highlight w:val="none"/>
                <w:lang w:val="en-US" w:eastAsia="zh-CN"/>
              </w:rPr>
              <w:t>m</w:t>
            </w:r>
            <w:r>
              <w:rPr>
                <w:rFonts w:hint="eastAsia"/>
                <w:color w:val="auto"/>
                <w:sz w:val="24"/>
                <w:szCs w:val="24"/>
                <w:highlight w:val="none"/>
                <w:vertAlign w:val="superscript"/>
                <w:lang w:val="en-US" w:eastAsia="zh-CN"/>
              </w:rPr>
              <w:t>3</w:t>
            </w:r>
            <w:r>
              <w:rPr>
                <w:rFonts w:hint="eastAsia"/>
                <w:color w:val="auto"/>
                <w:sz w:val="24"/>
                <w:szCs w:val="24"/>
                <w:highlight w:val="none"/>
                <w:lang w:val="en-US" w:eastAsia="zh-CN"/>
              </w:rPr>
              <w:t>/d已建成并完成调试。于2018年4月完成竣工环保验收并全部正式投入使用。处理后的水质达到《城镇污水处理厂污染物排放标准》（GB18918-2002）表1中A级标准。</w:t>
            </w:r>
            <w:r>
              <w:rPr>
                <w:rFonts w:hint="default" w:ascii="Times New Roman" w:hAnsi="Times New Roman" w:eastAsia="宋体" w:cs="Times New Roman"/>
                <w:b w:val="0"/>
                <w:bCs w:val="0"/>
                <w:color w:val="auto"/>
                <w:kern w:val="2"/>
                <w:sz w:val="24"/>
                <w:szCs w:val="24"/>
                <w:highlight w:val="none"/>
                <w:lang w:val="en-US" w:eastAsia="zh-CN" w:bidi="ar-SA"/>
              </w:rPr>
              <w:t>西安净水处理有限责任公司第六再生水厂服务范围具体包括</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主要收集和处理西安市主城区西北端沿皂河流域</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包括三桥工业区</w:t>
            </w:r>
            <w:r>
              <w:rPr>
                <w:rFonts w:hint="eastAsia" w:cs="Times New Roman"/>
                <w:b w:val="0"/>
                <w:bCs w:val="0"/>
                <w:color w:val="auto"/>
                <w:kern w:val="2"/>
                <w:sz w:val="24"/>
                <w:szCs w:val="24"/>
                <w:highlight w:val="none"/>
                <w:lang w:val="en-US" w:eastAsia="zh-CN" w:bidi="ar-SA"/>
              </w:rPr>
              <w:t>）</w:t>
            </w:r>
            <w:r>
              <w:rPr>
                <w:rFonts w:hint="default" w:ascii="Times New Roman" w:hAnsi="Times New Roman" w:eastAsia="宋体" w:cs="Times New Roman"/>
                <w:b w:val="0"/>
                <w:bCs w:val="0"/>
                <w:color w:val="auto"/>
                <w:kern w:val="2"/>
                <w:sz w:val="24"/>
                <w:szCs w:val="24"/>
                <w:highlight w:val="none"/>
                <w:lang w:val="en-US" w:eastAsia="zh-CN" w:bidi="ar-SA"/>
              </w:rPr>
              <w:t>、六村堡组团及纪阳组团范围内的生产废水和生活污水，服务面积约3388公顷，其服务范围目前绝大部分位于沣东新城。本项</w:t>
            </w:r>
            <w:r>
              <w:rPr>
                <w:rFonts w:hint="eastAsia" w:cs="Times New Roman"/>
                <w:b w:val="0"/>
                <w:bCs w:val="0"/>
                <w:color w:val="auto"/>
                <w:kern w:val="2"/>
                <w:sz w:val="24"/>
                <w:szCs w:val="24"/>
                <w:highlight w:val="none"/>
                <w:lang w:val="en-US" w:eastAsia="zh-CN" w:bidi="ar-SA"/>
              </w:rPr>
              <w:t>目在</w:t>
            </w:r>
            <w:r>
              <w:rPr>
                <w:rFonts w:hint="default" w:ascii="Times New Roman" w:hAnsi="Times New Roman" w:eastAsia="宋体" w:cs="Times New Roman"/>
                <w:b w:val="0"/>
                <w:bCs w:val="0"/>
                <w:color w:val="auto"/>
                <w:kern w:val="2"/>
                <w:sz w:val="24"/>
                <w:szCs w:val="24"/>
                <w:highlight w:val="none"/>
                <w:lang w:val="en-US" w:eastAsia="zh-CN" w:bidi="ar-SA"/>
              </w:rPr>
              <w:t>西安净水处理有限责任公司第六再生水厂的收水范围之内，</w:t>
            </w:r>
            <w:r>
              <w:rPr>
                <w:rFonts w:hint="eastAsia" w:cs="Times New Roman"/>
                <w:b w:val="0"/>
                <w:bCs w:val="0"/>
                <w:color w:val="auto"/>
                <w:sz w:val="24"/>
                <w:highlight w:val="none"/>
                <w:lang w:val="en-US" w:eastAsia="zh-CN"/>
              </w:rPr>
              <w:t>本次扩建项目实施后全厂清洗</w:t>
            </w:r>
            <w:r>
              <w:rPr>
                <w:rFonts w:hint="default" w:ascii="Times New Roman" w:hAnsi="Times New Roman" w:eastAsia="宋体" w:cs="Times New Roman"/>
                <w:b w:val="0"/>
                <w:bCs w:val="0"/>
                <w:color w:val="auto"/>
                <w:kern w:val="2"/>
                <w:sz w:val="24"/>
                <w:szCs w:val="24"/>
                <w:highlight w:val="none"/>
                <w:lang w:val="en-US" w:eastAsia="zh-CN" w:bidi="ar-SA"/>
              </w:rPr>
              <w:t>废水产生量为</w:t>
            </w:r>
            <w:r>
              <w:rPr>
                <w:rFonts w:hint="eastAsia" w:cs="Times New Roman"/>
                <w:b w:val="0"/>
                <w:bCs w:val="0"/>
                <w:color w:val="auto"/>
                <w:kern w:val="2"/>
                <w:sz w:val="24"/>
                <w:szCs w:val="24"/>
                <w:highlight w:val="none"/>
                <w:lang w:val="en-US" w:eastAsia="zh-CN" w:bidi="ar-SA"/>
              </w:rPr>
              <w:t>1.2</w:t>
            </w:r>
            <w:r>
              <w:rPr>
                <w:rFonts w:hint="default" w:ascii="Times New Roman" w:hAnsi="Times New Roman" w:eastAsia="宋体" w:cs="Times New Roman"/>
                <w:b w:val="0"/>
                <w:bCs w:val="0"/>
                <w:color w:val="auto"/>
                <w:kern w:val="2"/>
                <w:sz w:val="24"/>
                <w:szCs w:val="24"/>
                <w:highlight w:val="none"/>
                <w:lang w:val="en-US" w:eastAsia="zh-CN" w:bidi="ar-SA"/>
              </w:rPr>
              <w:t>m</w:t>
            </w:r>
            <w:r>
              <w:rPr>
                <w:rFonts w:hint="default" w:ascii="Times New Roman" w:hAnsi="Times New Roman" w:eastAsia="宋体" w:cs="Times New Roman"/>
                <w:b w:val="0"/>
                <w:bCs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/d。故</w:t>
            </w:r>
            <w:r>
              <w:rPr>
                <w:rFonts w:hint="eastAsia" w:cs="Times New Roman"/>
                <w:b w:val="0"/>
                <w:bCs w:val="0"/>
                <w:color w:val="auto"/>
                <w:sz w:val="24"/>
                <w:highlight w:val="none"/>
                <w:lang w:val="en-US" w:eastAsia="zh-CN"/>
              </w:rPr>
              <w:t>本次扩建项目</w:t>
            </w:r>
            <w:r>
              <w:rPr>
                <w:rFonts w:hint="default" w:ascii="Times New Roman" w:hAnsi="Times New Roman" w:eastAsia="宋体" w:cs="Times New Roman"/>
                <w:b w:val="0"/>
                <w:bCs w:val="0"/>
                <w:color w:val="auto"/>
                <w:kern w:val="2"/>
                <w:sz w:val="24"/>
                <w:szCs w:val="24"/>
                <w:highlight w:val="none"/>
                <w:lang w:val="en-US" w:eastAsia="zh-CN" w:bidi="ar-SA"/>
              </w:rPr>
              <w:t>产生的废水处理达标后依托西安净水处理有限责任公司第六再生水厂处理可行。</w:t>
            </w:r>
          </w:p>
          <w:p w14:paraId="120BEA6C">
            <w:pPr>
              <w:rPr>
                <w:vertAlign w:val="baseline"/>
              </w:rPr>
            </w:pPr>
          </w:p>
        </w:tc>
      </w:tr>
    </w:tbl>
    <w:p w14:paraId="0AA693D8">
      <w:pPr>
        <w:sectPr>
          <w:pgSz w:w="11907" w:h="16840"/>
          <w:pgMar w:top="1417" w:right="1440" w:bottom="1417" w:left="1440"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0"/>
        <w:tblW w:w="495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5"/>
        <w:gridCol w:w="12304"/>
      </w:tblGrid>
      <w:tr w14:paraId="682376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2" w:type="pct"/>
            <w:noWrap w:val="0"/>
            <w:tcMar>
              <w:left w:w="28" w:type="dxa"/>
              <w:right w:w="28" w:type="dxa"/>
            </w:tcMar>
            <w:vAlign w:val="center"/>
          </w:tcPr>
          <w:p w14:paraId="649544F0">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运营</w:t>
            </w:r>
          </w:p>
          <w:p w14:paraId="6D819771">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期环</w:t>
            </w:r>
          </w:p>
          <w:p w14:paraId="27780E39">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境影</w:t>
            </w:r>
          </w:p>
          <w:p w14:paraId="77FDE2E1">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响和</w:t>
            </w:r>
          </w:p>
          <w:p w14:paraId="3D36F5EA">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保护</w:t>
            </w:r>
          </w:p>
          <w:p w14:paraId="1E79FD80">
            <w:pPr>
              <w:adjustRightInd w:val="0"/>
              <w:snapToGrid w:val="0"/>
              <w:jc w:val="center"/>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val="0"/>
                <w:color w:val="auto"/>
                <w:sz w:val="24"/>
                <w:szCs w:val="24"/>
                <w:highlight w:val="none"/>
              </w:rPr>
              <w:t>措施</w:t>
            </w:r>
          </w:p>
        </w:tc>
        <w:tc>
          <w:tcPr>
            <w:tcW w:w="4647" w:type="pct"/>
            <w:noWrap w:val="0"/>
            <w:vAlign w:val="center"/>
          </w:tcPr>
          <w:p w14:paraId="2C8BB98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2.4</w:t>
            </w:r>
            <w:r>
              <w:rPr>
                <w:rFonts w:hint="eastAsia" w:ascii="Times New Roman" w:hAnsi="Times New Roman" w:eastAsia="宋体" w:cs="Times New Roman"/>
                <w:b/>
                <w:bCs/>
                <w:color w:val="auto"/>
                <w:kern w:val="2"/>
                <w:sz w:val="24"/>
                <w:szCs w:val="24"/>
                <w:highlight w:val="none"/>
                <w:lang w:val="en-US" w:eastAsia="zh-CN" w:bidi="ar-SA"/>
              </w:rPr>
              <w:t>废水污染物排放信息</w:t>
            </w:r>
          </w:p>
          <w:p w14:paraId="778E0BC5">
            <w:pPr>
              <w:jc w:val="center"/>
              <w:rPr>
                <w:rFonts w:hint="default" w:ascii="Times New Roman" w:hAnsi="Times New Roman" w:eastAsia="宋体" w:cs="Times New Roman"/>
                <w:b/>
                <w:bCs/>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val="en-US" w:eastAsia="zh-CN"/>
              </w:rPr>
              <w:t>表4-</w:t>
            </w:r>
            <w:r>
              <w:rPr>
                <w:rFonts w:hint="eastAsia" w:cs="Times New Roman"/>
                <w:b/>
                <w:bCs/>
                <w:color w:val="auto"/>
                <w:sz w:val="24"/>
                <w:szCs w:val="32"/>
                <w:highlight w:val="none"/>
                <w:lang w:val="en-US" w:eastAsia="zh-CN"/>
              </w:rPr>
              <w:t>11</w:t>
            </w:r>
            <w:r>
              <w:rPr>
                <w:rFonts w:hint="default" w:ascii="Times New Roman" w:hAnsi="Times New Roman" w:eastAsia="宋体" w:cs="Times New Roman"/>
                <w:b/>
                <w:bCs/>
                <w:color w:val="auto"/>
                <w:sz w:val="24"/>
                <w:szCs w:val="32"/>
                <w:highlight w:val="none"/>
                <w:lang w:val="en-US" w:eastAsia="zh-CN"/>
              </w:rPr>
              <w:t>废水类别、污染物及排放口信息</w:t>
            </w:r>
            <w:r>
              <w:rPr>
                <w:rFonts w:hint="eastAsia" w:cs="Times New Roman"/>
                <w:b/>
                <w:bCs/>
                <w:color w:val="auto"/>
                <w:sz w:val="24"/>
                <w:szCs w:val="32"/>
                <w:highlight w:val="none"/>
                <w:lang w:val="en-US" w:eastAsia="zh-CN"/>
              </w:rPr>
              <w:t>一览表</w:t>
            </w:r>
          </w:p>
          <w:tbl>
            <w:tblPr>
              <w:tblStyle w:val="31"/>
              <w:tblW w:w="498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731"/>
              <w:gridCol w:w="907"/>
              <w:gridCol w:w="845"/>
              <w:gridCol w:w="1209"/>
              <w:gridCol w:w="915"/>
              <w:gridCol w:w="620"/>
              <w:gridCol w:w="1300"/>
              <w:gridCol w:w="1109"/>
              <w:gridCol w:w="1050"/>
              <w:gridCol w:w="2243"/>
            </w:tblGrid>
            <w:tr w14:paraId="72655E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tcBorders>
                    <w:tl2br w:val="nil"/>
                    <w:tr2bl w:val="nil"/>
                  </w:tcBorders>
                  <w:noWrap w:val="0"/>
                  <w:vAlign w:val="center"/>
                </w:tcPr>
                <w:p w14:paraId="1CDDB3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产排污环节</w:t>
                  </w:r>
                </w:p>
              </w:tc>
              <w:tc>
                <w:tcPr>
                  <w:tcW w:w="304" w:type="pct"/>
                  <w:vMerge w:val="restart"/>
                  <w:tcBorders>
                    <w:tl2br w:val="nil"/>
                    <w:tr2bl w:val="nil"/>
                  </w:tcBorders>
                  <w:noWrap w:val="0"/>
                  <w:vAlign w:val="center"/>
                </w:tcPr>
                <w:p w14:paraId="3490CC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类别</w:t>
                  </w:r>
                </w:p>
              </w:tc>
              <w:tc>
                <w:tcPr>
                  <w:tcW w:w="377" w:type="pct"/>
                  <w:vMerge w:val="restart"/>
                  <w:tcBorders>
                    <w:tl2br w:val="nil"/>
                    <w:tr2bl w:val="nil"/>
                  </w:tcBorders>
                  <w:noWrap w:val="0"/>
                  <w:vAlign w:val="center"/>
                </w:tcPr>
                <w:p w14:paraId="591229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污染物种类</w:t>
                  </w:r>
                </w:p>
              </w:tc>
              <w:tc>
                <w:tcPr>
                  <w:tcW w:w="351" w:type="pct"/>
                  <w:vMerge w:val="restart"/>
                  <w:tcBorders>
                    <w:tl2br w:val="nil"/>
                    <w:tr2bl w:val="nil"/>
                  </w:tcBorders>
                  <w:noWrap w:val="0"/>
                  <w:vAlign w:val="center"/>
                </w:tcPr>
                <w:p w14:paraId="3DA26D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排放方式</w:t>
                  </w:r>
                </w:p>
              </w:tc>
              <w:tc>
                <w:tcPr>
                  <w:tcW w:w="503" w:type="pct"/>
                  <w:vMerge w:val="restart"/>
                  <w:tcBorders>
                    <w:tl2br w:val="nil"/>
                    <w:tr2bl w:val="nil"/>
                  </w:tcBorders>
                  <w:noWrap w:val="0"/>
                  <w:vAlign w:val="center"/>
                </w:tcPr>
                <w:p w14:paraId="3C2059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排放去向</w:t>
                  </w:r>
                </w:p>
              </w:tc>
              <w:tc>
                <w:tcPr>
                  <w:tcW w:w="380" w:type="pct"/>
                  <w:vMerge w:val="restart"/>
                  <w:tcBorders>
                    <w:tl2br w:val="nil"/>
                    <w:tr2bl w:val="nil"/>
                  </w:tcBorders>
                  <w:noWrap w:val="0"/>
                  <w:vAlign w:val="center"/>
                </w:tcPr>
                <w:p w14:paraId="186851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color w:val="auto"/>
                      <w:highlight w:val="none"/>
                      <w:lang w:val="en-US" w:eastAsia="zh-CN"/>
                    </w:rPr>
                  </w:pPr>
                  <w:r>
                    <w:rPr>
                      <w:rFonts w:hint="eastAsia"/>
                      <w:b/>
                      <w:bCs/>
                      <w:color w:val="auto"/>
                      <w:highlight w:val="none"/>
                      <w:lang w:val="en-US" w:eastAsia="zh-CN"/>
                    </w:rPr>
                    <w:t>排放</w:t>
                  </w:r>
                </w:p>
                <w:p w14:paraId="393359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规律</w:t>
                  </w:r>
                </w:p>
              </w:tc>
              <w:tc>
                <w:tcPr>
                  <w:tcW w:w="1260" w:type="pct"/>
                  <w:gridSpan w:val="3"/>
                  <w:tcBorders>
                    <w:tl2br w:val="nil"/>
                    <w:tr2bl w:val="nil"/>
                  </w:tcBorders>
                  <w:noWrap w:val="0"/>
                  <w:vAlign w:val="center"/>
                </w:tcPr>
                <w:p w14:paraId="3E9814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排放口基本情况</w:t>
                  </w:r>
                </w:p>
              </w:tc>
              <w:tc>
                <w:tcPr>
                  <w:tcW w:w="1370" w:type="pct"/>
                  <w:gridSpan w:val="2"/>
                  <w:tcBorders>
                    <w:tl2br w:val="nil"/>
                    <w:tr2bl w:val="nil"/>
                  </w:tcBorders>
                  <w:noWrap w:val="0"/>
                  <w:vAlign w:val="center"/>
                </w:tcPr>
                <w:p w14:paraId="0070C6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排放标准</w:t>
                  </w:r>
                </w:p>
              </w:tc>
            </w:tr>
            <w:tr w14:paraId="36A52E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6DC8E6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color w:val="auto"/>
                      <w:highlight w:val="none"/>
                    </w:rPr>
                  </w:pPr>
                </w:p>
              </w:tc>
              <w:tc>
                <w:tcPr>
                  <w:tcW w:w="304" w:type="pct"/>
                  <w:vMerge w:val="continue"/>
                  <w:tcBorders>
                    <w:tl2br w:val="nil"/>
                    <w:tr2bl w:val="nil"/>
                  </w:tcBorders>
                  <w:noWrap w:val="0"/>
                  <w:vAlign w:val="center"/>
                </w:tcPr>
                <w:p w14:paraId="188B45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color w:val="auto"/>
                      <w:highlight w:val="none"/>
                    </w:rPr>
                  </w:pPr>
                </w:p>
              </w:tc>
              <w:tc>
                <w:tcPr>
                  <w:tcW w:w="377" w:type="pct"/>
                  <w:vMerge w:val="continue"/>
                  <w:tcBorders>
                    <w:tl2br w:val="nil"/>
                    <w:tr2bl w:val="nil"/>
                  </w:tcBorders>
                  <w:noWrap w:val="0"/>
                  <w:vAlign w:val="center"/>
                </w:tcPr>
                <w:p w14:paraId="7D3808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color w:val="auto"/>
                      <w:highlight w:val="none"/>
                    </w:rPr>
                  </w:pPr>
                </w:p>
              </w:tc>
              <w:tc>
                <w:tcPr>
                  <w:tcW w:w="351" w:type="pct"/>
                  <w:vMerge w:val="continue"/>
                  <w:tcBorders>
                    <w:tl2br w:val="nil"/>
                    <w:tr2bl w:val="nil"/>
                  </w:tcBorders>
                  <w:noWrap w:val="0"/>
                  <w:vAlign w:val="center"/>
                </w:tcPr>
                <w:p w14:paraId="0B2F56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color w:val="auto"/>
                      <w:highlight w:val="none"/>
                    </w:rPr>
                  </w:pPr>
                </w:p>
              </w:tc>
              <w:tc>
                <w:tcPr>
                  <w:tcW w:w="503" w:type="pct"/>
                  <w:vMerge w:val="continue"/>
                  <w:tcBorders>
                    <w:tl2br w:val="nil"/>
                    <w:tr2bl w:val="nil"/>
                  </w:tcBorders>
                  <w:noWrap w:val="0"/>
                  <w:vAlign w:val="center"/>
                </w:tcPr>
                <w:p w14:paraId="277B58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color w:val="auto"/>
                      <w:highlight w:val="none"/>
                    </w:rPr>
                  </w:pPr>
                </w:p>
              </w:tc>
              <w:tc>
                <w:tcPr>
                  <w:tcW w:w="380" w:type="pct"/>
                  <w:vMerge w:val="continue"/>
                  <w:tcBorders>
                    <w:tl2br w:val="nil"/>
                    <w:tr2bl w:val="nil"/>
                  </w:tcBorders>
                  <w:noWrap w:val="0"/>
                  <w:vAlign w:val="center"/>
                </w:tcPr>
                <w:p w14:paraId="5C1E693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b/>
                      <w:bCs/>
                      <w:color w:val="auto"/>
                      <w:highlight w:val="none"/>
                    </w:rPr>
                  </w:pPr>
                </w:p>
              </w:tc>
              <w:tc>
                <w:tcPr>
                  <w:tcW w:w="258" w:type="pct"/>
                  <w:tcBorders>
                    <w:tl2br w:val="nil"/>
                    <w:tr2bl w:val="nil"/>
                  </w:tcBorders>
                  <w:noWrap w:val="0"/>
                  <w:vAlign w:val="center"/>
                </w:tcPr>
                <w:p w14:paraId="43CBBD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编号及名称</w:t>
                  </w:r>
                </w:p>
              </w:tc>
              <w:tc>
                <w:tcPr>
                  <w:tcW w:w="541" w:type="pct"/>
                  <w:tcBorders>
                    <w:tl2br w:val="nil"/>
                    <w:tr2bl w:val="nil"/>
                  </w:tcBorders>
                  <w:noWrap w:val="0"/>
                  <w:vAlign w:val="center"/>
                </w:tcPr>
                <w:p w14:paraId="55EABD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类型</w:t>
                  </w:r>
                </w:p>
              </w:tc>
              <w:tc>
                <w:tcPr>
                  <w:tcW w:w="461" w:type="pct"/>
                  <w:tcBorders>
                    <w:tl2br w:val="nil"/>
                    <w:tr2bl w:val="nil"/>
                  </w:tcBorders>
                  <w:noWrap w:val="0"/>
                  <w:vAlign w:val="center"/>
                </w:tcPr>
                <w:p w14:paraId="1A2F140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地理坐标</w:t>
                  </w:r>
                </w:p>
              </w:tc>
              <w:tc>
                <w:tcPr>
                  <w:tcW w:w="436" w:type="pct"/>
                  <w:tcBorders>
                    <w:tl2br w:val="nil"/>
                    <w:tr2bl w:val="nil"/>
                  </w:tcBorders>
                  <w:noWrap w:val="0"/>
                  <w:vAlign w:val="center"/>
                </w:tcPr>
                <w:p w14:paraId="5CE2031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标准限值（mg/L）</w:t>
                  </w:r>
                </w:p>
              </w:tc>
              <w:tc>
                <w:tcPr>
                  <w:tcW w:w="933" w:type="pct"/>
                  <w:tcBorders>
                    <w:tl2br w:val="nil"/>
                    <w:tr2bl w:val="nil"/>
                  </w:tcBorders>
                  <w:noWrap w:val="0"/>
                  <w:vAlign w:val="center"/>
                </w:tcPr>
                <w:p w14:paraId="1DD84B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highlight w:val="none"/>
                      <w:lang w:val="en-US" w:eastAsia="zh-CN"/>
                    </w:rPr>
                  </w:pPr>
                  <w:r>
                    <w:rPr>
                      <w:rFonts w:hint="eastAsia"/>
                      <w:b/>
                      <w:bCs/>
                      <w:color w:val="auto"/>
                      <w:highlight w:val="none"/>
                      <w:lang w:val="en-US" w:eastAsia="zh-CN"/>
                    </w:rPr>
                    <w:t>标准来源</w:t>
                  </w:r>
                </w:p>
              </w:tc>
            </w:tr>
            <w:tr w14:paraId="4FC2F2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tcBorders>
                    <w:tl2br w:val="nil"/>
                    <w:tr2bl w:val="nil"/>
                  </w:tcBorders>
                  <w:noWrap w:val="0"/>
                  <w:vAlign w:val="center"/>
                </w:tcPr>
                <w:p w14:paraId="2C264515">
                  <w:pPr>
                    <w:bidi w:val="0"/>
                    <w:jc w:val="center"/>
                    <w:rPr>
                      <w:rFonts w:hint="default"/>
                      <w:color w:val="auto"/>
                      <w:highlight w:val="none"/>
                      <w:lang w:val="en-US" w:eastAsia="zh-CN"/>
                    </w:rPr>
                  </w:pPr>
                  <w:r>
                    <w:rPr>
                      <w:rFonts w:hint="eastAsia"/>
                      <w:color w:val="auto"/>
                      <w:highlight w:val="none"/>
                      <w:lang w:val="en-US" w:eastAsia="zh-CN"/>
                    </w:rPr>
                    <w:t>实验室</w:t>
                  </w:r>
                </w:p>
              </w:tc>
              <w:tc>
                <w:tcPr>
                  <w:tcW w:w="304" w:type="pct"/>
                  <w:vMerge w:val="restart"/>
                  <w:tcBorders>
                    <w:tl2br w:val="nil"/>
                    <w:tr2bl w:val="nil"/>
                  </w:tcBorders>
                  <w:noWrap w:val="0"/>
                  <w:vAlign w:val="center"/>
                </w:tcPr>
                <w:p w14:paraId="34820EAB">
                  <w:pPr>
                    <w:bidi w:val="0"/>
                    <w:jc w:val="center"/>
                    <w:rPr>
                      <w:rFonts w:hint="default"/>
                      <w:color w:val="auto"/>
                      <w:highlight w:val="none"/>
                      <w:lang w:val="en-US" w:eastAsia="zh-CN"/>
                    </w:rPr>
                  </w:pPr>
                  <w:r>
                    <w:rPr>
                      <w:rFonts w:hint="eastAsia"/>
                      <w:color w:val="auto"/>
                      <w:highlight w:val="none"/>
                      <w:lang w:val="en-US" w:eastAsia="zh-CN"/>
                    </w:rPr>
                    <w:t>清洗废水</w:t>
                  </w:r>
                </w:p>
              </w:tc>
              <w:tc>
                <w:tcPr>
                  <w:tcW w:w="377" w:type="pct"/>
                  <w:tcBorders>
                    <w:tl2br w:val="nil"/>
                    <w:tr2bl w:val="nil"/>
                  </w:tcBorders>
                  <w:noWrap w:val="0"/>
                  <w:vAlign w:val="center"/>
                </w:tcPr>
                <w:p w14:paraId="09C328F8">
                  <w:pPr>
                    <w:bidi w:val="0"/>
                    <w:jc w:val="center"/>
                    <w:rPr>
                      <w:rFonts w:hint="default"/>
                      <w:color w:val="auto"/>
                      <w:highlight w:val="none"/>
                      <w:lang w:val="en-US" w:eastAsia="zh-CN"/>
                    </w:rPr>
                  </w:pPr>
                  <w:r>
                    <w:rPr>
                      <w:rFonts w:hint="eastAsia"/>
                      <w:color w:val="auto"/>
                      <w:highlight w:val="none"/>
                      <w:lang w:val="en-US" w:eastAsia="zh-CN"/>
                    </w:rPr>
                    <w:t>pH</w:t>
                  </w:r>
                </w:p>
              </w:tc>
              <w:tc>
                <w:tcPr>
                  <w:tcW w:w="351" w:type="pct"/>
                  <w:vMerge w:val="restart"/>
                  <w:tcBorders>
                    <w:tl2br w:val="nil"/>
                    <w:tr2bl w:val="nil"/>
                  </w:tcBorders>
                  <w:noWrap w:val="0"/>
                  <w:vAlign w:val="center"/>
                </w:tcPr>
                <w:p w14:paraId="57B22B1F">
                  <w:pPr>
                    <w:bidi w:val="0"/>
                    <w:jc w:val="center"/>
                    <w:rPr>
                      <w:rFonts w:hint="default"/>
                      <w:color w:val="auto"/>
                      <w:highlight w:val="none"/>
                      <w:lang w:val="en-US" w:eastAsia="zh-CN"/>
                    </w:rPr>
                  </w:pPr>
                  <w:r>
                    <w:rPr>
                      <w:rFonts w:hint="eastAsia"/>
                      <w:color w:val="auto"/>
                      <w:highlight w:val="none"/>
                      <w:lang w:val="en-US" w:eastAsia="zh-CN"/>
                    </w:rPr>
                    <w:t>间接排放</w:t>
                  </w:r>
                </w:p>
              </w:tc>
              <w:tc>
                <w:tcPr>
                  <w:tcW w:w="503" w:type="pct"/>
                  <w:vMerge w:val="restart"/>
                  <w:tcBorders>
                    <w:tl2br w:val="nil"/>
                    <w:tr2bl w:val="nil"/>
                  </w:tcBorders>
                  <w:noWrap w:val="0"/>
                  <w:vAlign w:val="center"/>
                </w:tcPr>
                <w:p w14:paraId="2BF1A2E2">
                  <w:pPr>
                    <w:bidi w:val="0"/>
                    <w:jc w:val="center"/>
                    <w:rPr>
                      <w:rFonts w:hint="default"/>
                      <w:color w:val="auto"/>
                      <w:highlight w:val="none"/>
                      <w:lang w:val="en-US" w:eastAsia="zh-CN"/>
                    </w:rPr>
                  </w:pPr>
                  <w:r>
                    <w:rPr>
                      <w:rFonts w:hint="eastAsia"/>
                      <w:color w:val="auto"/>
                      <w:highlight w:val="none"/>
                      <w:lang w:val="en-US" w:eastAsia="zh-CN"/>
                    </w:rPr>
                    <w:t>通过自建的污水处理间处理再经园区化粪池处理后，排入第六污水处理厂</w:t>
                  </w:r>
                </w:p>
              </w:tc>
              <w:tc>
                <w:tcPr>
                  <w:tcW w:w="380" w:type="pct"/>
                  <w:vMerge w:val="restart"/>
                  <w:tcBorders>
                    <w:tl2br w:val="nil"/>
                    <w:tr2bl w:val="nil"/>
                  </w:tcBorders>
                  <w:noWrap w:val="0"/>
                  <w:vAlign w:val="center"/>
                </w:tcPr>
                <w:p w14:paraId="34F3A0BF">
                  <w:pPr>
                    <w:bidi w:val="0"/>
                    <w:jc w:val="center"/>
                    <w:rPr>
                      <w:rFonts w:hint="default"/>
                      <w:color w:val="auto"/>
                      <w:highlight w:val="none"/>
                      <w:lang w:val="en-US" w:eastAsia="zh-CN"/>
                    </w:rPr>
                  </w:pPr>
                  <w:r>
                    <w:rPr>
                      <w:color w:val="auto"/>
                      <w:highlight w:val="none"/>
                    </w:rPr>
                    <w:t>间断排放，排放期间流量不稳定且无规律，但不属于冲击型排放</w:t>
                  </w:r>
                </w:p>
              </w:tc>
              <w:tc>
                <w:tcPr>
                  <w:tcW w:w="258" w:type="pct"/>
                  <w:vMerge w:val="restart"/>
                  <w:tcBorders>
                    <w:tl2br w:val="nil"/>
                    <w:tr2bl w:val="nil"/>
                  </w:tcBorders>
                  <w:noWrap w:val="0"/>
                  <w:vAlign w:val="center"/>
                </w:tcPr>
                <w:p w14:paraId="26173963">
                  <w:pPr>
                    <w:bidi w:val="0"/>
                    <w:jc w:val="center"/>
                    <w:rPr>
                      <w:rFonts w:hint="default"/>
                      <w:color w:val="auto"/>
                      <w:highlight w:val="none"/>
                      <w:lang w:val="en-US" w:eastAsia="zh-CN"/>
                    </w:rPr>
                  </w:pPr>
                  <w:r>
                    <w:rPr>
                      <w:rFonts w:hint="eastAsia"/>
                      <w:color w:val="auto"/>
                      <w:highlight w:val="none"/>
                      <w:lang w:val="en-US" w:eastAsia="zh-CN"/>
                    </w:rPr>
                    <w:t>DW001</w:t>
                  </w:r>
                </w:p>
              </w:tc>
              <w:tc>
                <w:tcPr>
                  <w:tcW w:w="541" w:type="pct"/>
                  <w:vMerge w:val="restart"/>
                  <w:tcBorders>
                    <w:tl2br w:val="nil"/>
                    <w:tr2bl w:val="nil"/>
                  </w:tcBorders>
                  <w:noWrap w:val="0"/>
                  <w:vAlign w:val="center"/>
                </w:tcPr>
                <w:p w14:paraId="611033B4">
                  <w:pPr>
                    <w:bidi w:val="0"/>
                    <w:jc w:val="center"/>
                    <w:rPr>
                      <w:rFonts w:hint="default"/>
                      <w:color w:val="auto"/>
                      <w:highlight w:val="none"/>
                      <w:lang w:val="en-US" w:eastAsia="zh-CN"/>
                    </w:rPr>
                  </w:pPr>
                  <w:r>
                    <w:rPr>
                      <w:rFonts w:hint="eastAsia"/>
                      <w:color w:val="auto"/>
                      <w:highlight w:val="none"/>
                      <w:lang w:val="en-US" w:eastAsia="zh-CN"/>
                    </w:rPr>
                    <w:t>一般排放口</w:t>
                  </w:r>
                </w:p>
              </w:tc>
              <w:tc>
                <w:tcPr>
                  <w:tcW w:w="461" w:type="pct"/>
                  <w:vMerge w:val="restart"/>
                  <w:tcBorders>
                    <w:tl2br w:val="nil"/>
                    <w:tr2bl w:val="nil"/>
                  </w:tcBorders>
                  <w:noWrap w:val="0"/>
                  <w:vAlign w:val="center"/>
                </w:tcPr>
                <w:p w14:paraId="015545A4">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E</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108°48′22.610″</w:t>
                  </w:r>
                </w:p>
                <w:p w14:paraId="2F2B7D56">
                  <w:pPr>
                    <w:bidi w:val="0"/>
                    <w:jc w:val="center"/>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N</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34°19′28.410″</w:t>
                  </w:r>
                </w:p>
              </w:tc>
              <w:tc>
                <w:tcPr>
                  <w:tcW w:w="436" w:type="pct"/>
                  <w:tcBorders>
                    <w:tl2br w:val="nil"/>
                    <w:tr2bl w:val="nil"/>
                  </w:tcBorders>
                  <w:noWrap w:val="0"/>
                  <w:vAlign w:val="center"/>
                </w:tcPr>
                <w:p w14:paraId="08ABED2F">
                  <w:pPr>
                    <w:bidi w:val="0"/>
                    <w:jc w:val="center"/>
                    <w:rPr>
                      <w:rFonts w:hint="default"/>
                      <w:color w:val="auto"/>
                      <w:highlight w:val="none"/>
                      <w:lang w:val="en-US" w:eastAsia="zh-CN"/>
                    </w:rPr>
                  </w:pPr>
                  <w:r>
                    <w:rPr>
                      <w:rFonts w:hint="eastAsia"/>
                      <w:color w:val="auto"/>
                      <w:highlight w:val="none"/>
                      <w:lang w:val="en-US" w:eastAsia="zh-CN"/>
                    </w:rPr>
                    <w:t>6~9</w:t>
                  </w:r>
                </w:p>
              </w:tc>
              <w:tc>
                <w:tcPr>
                  <w:tcW w:w="933" w:type="pct"/>
                  <w:vMerge w:val="restart"/>
                  <w:tcBorders>
                    <w:tl2br w:val="nil"/>
                    <w:tr2bl w:val="nil"/>
                  </w:tcBorders>
                  <w:noWrap w:val="0"/>
                  <w:vAlign w:val="center"/>
                </w:tcPr>
                <w:p w14:paraId="673CACED">
                  <w:pPr>
                    <w:bidi w:val="0"/>
                    <w:jc w:val="center"/>
                    <w:rPr>
                      <w:rFonts w:hint="default"/>
                      <w:color w:val="auto"/>
                      <w:highlight w:val="none"/>
                      <w:lang w:val="en-US" w:eastAsia="zh-CN"/>
                    </w:rPr>
                  </w:pPr>
                  <w:r>
                    <w:rPr>
                      <w:color w:val="auto"/>
                      <w:highlight w:val="none"/>
                    </w:rPr>
                    <w:t>《污水综合排放标准》（GB8978-1996）</w:t>
                  </w:r>
                  <w:r>
                    <w:rPr>
                      <w:rFonts w:hint="eastAsia"/>
                      <w:color w:val="auto"/>
                      <w:highlight w:val="none"/>
                      <w:lang w:val="en-US" w:eastAsia="zh-CN"/>
                    </w:rPr>
                    <w:t>表2</w:t>
                  </w:r>
                  <w:r>
                    <w:rPr>
                      <w:color w:val="auto"/>
                      <w:highlight w:val="none"/>
                    </w:rPr>
                    <w:t>三级标准及《污水排入城镇下水道水质标准》（</w:t>
                  </w:r>
                  <w:r>
                    <w:rPr>
                      <w:rFonts w:hint="default"/>
                      <w:color w:val="auto"/>
                      <w:highlight w:val="none"/>
                    </w:rPr>
                    <w:t>GB/T31962-2015</w:t>
                  </w:r>
                  <w:r>
                    <w:rPr>
                      <w:color w:val="auto"/>
                      <w:highlight w:val="none"/>
                    </w:rPr>
                    <w:t>）</w:t>
                  </w:r>
                  <w:r>
                    <w:rPr>
                      <w:rFonts w:hint="eastAsia"/>
                      <w:color w:val="auto"/>
                      <w:highlight w:val="none"/>
                      <w:lang w:val="en-US" w:eastAsia="zh-CN"/>
                    </w:rPr>
                    <w:t>A</w:t>
                  </w:r>
                  <w:r>
                    <w:rPr>
                      <w:color w:val="auto"/>
                      <w:highlight w:val="none"/>
                    </w:rPr>
                    <w:t>等级标准</w:t>
                  </w:r>
                </w:p>
              </w:tc>
            </w:tr>
            <w:tr w14:paraId="3EAB66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58AA1351">
                  <w:pPr>
                    <w:bidi w:val="0"/>
                    <w:jc w:val="center"/>
                    <w:rPr>
                      <w:color w:val="auto"/>
                      <w:highlight w:val="none"/>
                    </w:rPr>
                  </w:pPr>
                </w:p>
              </w:tc>
              <w:tc>
                <w:tcPr>
                  <w:tcW w:w="304" w:type="pct"/>
                  <w:vMerge w:val="continue"/>
                  <w:tcBorders>
                    <w:tl2br w:val="nil"/>
                    <w:tr2bl w:val="nil"/>
                  </w:tcBorders>
                  <w:noWrap w:val="0"/>
                  <w:vAlign w:val="center"/>
                </w:tcPr>
                <w:p w14:paraId="65968F43">
                  <w:pPr>
                    <w:bidi w:val="0"/>
                    <w:jc w:val="center"/>
                    <w:rPr>
                      <w:color w:val="auto"/>
                      <w:highlight w:val="none"/>
                    </w:rPr>
                  </w:pPr>
                </w:p>
              </w:tc>
              <w:tc>
                <w:tcPr>
                  <w:tcW w:w="377" w:type="pct"/>
                  <w:tcBorders>
                    <w:tl2br w:val="nil"/>
                    <w:tr2bl w:val="nil"/>
                  </w:tcBorders>
                  <w:noWrap w:val="0"/>
                  <w:vAlign w:val="center"/>
                </w:tcPr>
                <w:p w14:paraId="5805A51D">
                  <w:pPr>
                    <w:bidi w:val="0"/>
                    <w:jc w:val="center"/>
                    <w:rPr>
                      <w:rFonts w:hint="default"/>
                      <w:color w:val="auto"/>
                      <w:highlight w:val="none"/>
                      <w:lang w:val="en-US" w:eastAsia="zh-CN"/>
                    </w:rPr>
                  </w:pPr>
                  <w:r>
                    <w:rPr>
                      <w:rFonts w:hint="eastAsia"/>
                      <w:color w:val="auto"/>
                      <w:highlight w:val="none"/>
                      <w:lang w:val="en-US" w:eastAsia="zh-CN"/>
                    </w:rPr>
                    <w:t>COD</w:t>
                  </w:r>
                </w:p>
              </w:tc>
              <w:tc>
                <w:tcPr>
                  <w:tcW w:w="351" w:type="pct"/>
                  <w:vMerge w:val="continue"/>
                  <w:tcBorders>
                    <w:tl2br w:val="nil"/>
                    <w:tr2bl w:val="nil"/>
                  </w:tcBorders>
                  <w:noWrap w:val="0"/>
                  <w:vAlign w:val="center"/>
                </w:tcPr>
                <w:p w14:paraId="270AE3EB">
                  <w:pPr>
                    <w:bidi w:val="0"/>
                    <w:jc w:val="center"/>
                    <w:rPr>
                      <w:rFonts w:hint="default"/>
                      <w:color w:val="auto"/>
                      <w:highlight w:val="none"/>
                      <w:lang w:val="en-US" w:eastAsia="zh-CN"/>
                    </w:rPr>
                  </w:pPr>
                </w:p>
              </w:tc>
              <w:tc>
                <w:tcPr>
                  <w:tcW w:w="503" w:type="pct"/>
                  <w:vMerge w:val="continue"/>
                  <w:tcBorders>
                    <w:tl2br w:val="nil"/>
                    <w:tr2bl w:val="nil"/>
                  </w:tcBorders>
                  <w:noWrap w:val="0"/>
                  <w:vAlign w:val="center"/>
                </w:tcPr>
                <w:p w14:paraId="3B7E4BE2">
                  <w:pPr>
                    <w:bidi w:val="0"/>
                    <w:jc w:val="center"/>
                    <w:rPr>
                      <w:rFonts w:hint="default"/>
                      <w:color w:val="auto"/>
                      <w:highlight w:val="none"/>
                      <w:lang w:val="en-US" w:eastAsia="zh-CN"/>
                    </w:rPr>
                  </w:pPr>
                </w:p>
              </w:tc>
              <w:tc>
                <w:tcPr>
                  <w:tcW w:w="380" w:type="pct"/>
                  <w:vMerge w:val="continue"/>
                  <w:tcBorders>
                    <w:tl2br w:val="nil"/>
                    <w:tr2bl w:val="nil"/>
                  </w:tcBorders>
                  <w:noWrap w:val="0"/>
                  <w:vAlign w:val="center"/>
                </w:tcPr>
                <w:p w14:paraId="2C28C0B1">
                  <w:pPr>
                    <w:bidi w:val="0"/>
                    <w:jc w:val="center"/>
                    <w:rPr>
                      <w:rFonts w:hint="default"/>
                      <w:color w:val="auto"/>
                      <w:highlight w:val="none"/>
                      <w:lang w:val="en-US" w:eastAsia="zh-CN"/>
                    </w:rPr>
                  </w:pPr>
                </w:p>
              </w:tc>
              <w:tc>
                <w:tcPr>
                  <w:tcW w:w="258" w:type="pct"/>
                  <w:vMerge w:val="continue"/>
                  <w:tcBorders>
                    <w:tl2br w:val="nil"/>
                    <w:tr2bl w:val="nil"/>
                  </w:tcBorders>
                  <w:noWrap w:val="0"/>
                  <w:vAlign w:val="center"/>
                </w:tcPr>
                <w:p w14:paraId="7C076D6E">
                  <w:pPr>
                    <w:bidi w:val="0"/>
                    <w:jc w:val="center"/>
                    <w:rPr>
                      <w:rFonts w:hint="default"/>
                      <w:color w:val="auto"/>
                      <w:highlight w:val="none"/>
                      <w:lang w:val="en-US" w:eastAsia="zh-CN"/>
                    </w:rPr>
                  </w:pPr>
                </w:p>
              </w:tc>
              <w:tc>
                <w:tcPr>
                  <w:tcW w:w="541" w:type="pct"/>
                  <w:vMerge w:val="continue"/>
                  <w:tcBorders>
                    <w:tl2br w:val="nil"/>
                    <w:tr2bl w:val="nil"/>
                  </w:tcBorders>
                  <w:noWrap w:val="0"/>
                  <w:vAlign w:val="center"/>
                </w:tcPr>
                <w:p w14:paraId="3566AC03">
                  <w:pPr>
                    <w:bidi w:val="0"/>
                    <w:jc w:val="center"/>
                    <w:rPr>
                      <w:rFonts w:hint="default"/>
                      <w:color w:val="auto"/>
                      <w:highlight w:val="none"/>
                      <w:lang w:val="en-US" w:eastAsia="zh-CN"/>
                    </w:rPr>
                  </w:pPr>
                </w:p>
              </w:tc>
              <w:tc>
                <w:tcPr>
                  <w:tcW w:w="461" w:type="pct"/>
                  <w:vMerge w:val="continue"/>
                  <w:tcBorders>
                    <w:tl2br w:val="nil"/>
                    <w:tr2bl w:val="nil"/>
                  </w:tcBorders>
                  <w:noWrap w:val="0"/>
                  <w:vAlign w:val="center"/>
                </w:tcPr>
                <w:p w14:paraId="7FAA71AA">
                  <w:pPr>
                    <w:bidi w:val="0"/>
                    <w:jc w:val="center"/>
                    <w:rPr>
                      <w:rFonts w:hint="default"/>
                      <w:color w:val="auto"/>
                      <w:highlight w:val="none"/>
                      <w:lang w:val="en-US" w:eastAsia="zh-CN"/>
                    </w:rPr>
                  </w:pPr>
                </w:p>
              </w:tc>
              <w:tc>
                <w:tcPr>
                  <w:tcW w:w="436" w:type="pct"/>
                  <w:tcBorders>
                    <w:tl2br w:val="nil"/>
                    <w:tr2bl w:val="nil"/>
                  </w:tcBorders>
                  <w:noWrap w:val="0"/>
                  <w:vAlign w:val="center"/>
                </w:tcPr>
                <w:p w14:paraId="6A5DE414">
                  <w:pPr>
                    <w:bidi w:val="0"/>
                    <w:jc w:val="center"/>
                    <w:rPr>
                      <w:rFonts w:hint="default"/>
                      <w:color w:val="auto"/>
                      <w:highlight w:val="none"/>
                      <w:lang w:val="en-US" w:eastAsia="zh-CN"/>
                    </w:rPr>
                  </w:pPr>
                  <w:r>
                    <w:rPr>
                      <w:rFonts w:hint="eastAsia"/>
                      <w:color w:val="auto"/>
                      <w:highlight w:val="none"/>
                      <w:lang w:val="en-US" w:eastAsia="zh-CN"/>
                    </w:rPr>
                    <w:t>500</w:t>
                  </w:r>
                </w:p>
              </w:tc>
              <w:tc>
                <w:tcPr>
                  <w:tcW w:w="933" w:type="pct"/>
                  <w:vMerge w:val="continue"/>
                  <w:tcBorders>
                    <w:tl2br w:val="nil"/>
                    <w:tr2bl w:val="nil"/>
                  </w:tcBorders>
                  <w:noWrap w:val="0"/>
                  <w:vAlign w:val="center"/>
                </w:tcPr>
                <w:p w14:paraId="6657756D">
                  <w:pPr>
                    <w:bidi w:val="0"/>
                    <w:jc w:val="center"/>
                    <w:rPr>
                      <w:rFonts w:hint="default"/>
                      <w:color w:val="auto"/>
                      <w:highlight w:val="none"/>
                      <w:lang w:val="en-US" w:eastAsia="zh-CN"/>
                    </w:rPr>
                  </w:pPr>
                </w:p>
              </w:tc>
            </w:tr>
            <w:tr w14:paraId="5741CD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530EA537">
                  <w:pPr>
                    <w:bidi w:val="0"/>
                    <w:jc w:val="center"/>
                    <w:rPr>
                      <w:rFonts w:hint="default"/>
                      <w:color w:val="auto"/>
                      <w:highlight w:val="none"/>
                      <w:lang w:val="en-US" w:eastAsia="zh-CN"/>
                    </w:rPr>
                  </w:pPr>
                </w:p>
              </w:tc>
              <w:tc>
                <w:tcPr>
                  <w:tcW w:w="304" w:type="pct"/>
                  <w:vMerge w:val="continue"/>
                  <w:tcBorders>
                    <w:tl2br w:val="nil"/>
                    <w:tr2bl w:val="nil"/>
                  </w:tcBorders>
                  <w:noWrap w:val="0"/>
                  <w:vAlign w:val="center"/>
                </w:tcPr>
                <w:p w14:paraId="70C29ED1">
                  <w:pPr>
                    <w:bidi w:val="0"/>
                    <w:jc w:val="center"/>
                    <w:rPr>
                      <w:rFonts w:hint="default"/>
                      <w:color w:val="auto"/>
                      <w:highlight w:val="none"/>
                      <w:lang w:val="en-US" w:eastAsia="zh-CN"/>
                    </w:rPr>
                  </w:pPr>
                </w:p>
              </w:tc>
              <w:tc>
                <w:tcPr>
                  <w:tcW w:w="377" w:type="pct"/>
                  <w:tcBorders>
                    <w:tl2br w:val="nil"/>
                    <w:tr2bl w:val="nil"/>
                  </w:tcBorders>
                  <w:noWrap w:val="0"/>
                  <w:vAlign w:val="center"/>
                </w:tcPr>
                <w:p w14:paraId="48C100B4">
                  <w:pPr>
                    <w:bidi w:val="0"/>
                    <w:jc w:val="center"/>
                    <w:rPr>
                      <w:rFonts w:hint="default"/>
                      <w:color w:val="auto"/>
                      <w:highlight w:val="none"/>
                      <w:lang w:val="en-US" w:eastAsia="zh-CN"/>
                    </w:rPr>
                  </w:pPr>
                  <w:r>
                    <w:rPr>
                      <w:rFonts w:hint="eastAsia"/>
                      <w:color w:val="auto"/>
                      <w:highlight w:val="none"/>
                      <w:lang w:val="en-US" w:eastAsia="zh-CN"/>
                    </w:rPr>
                    <w:t>BOD</w:t>
                  </w:r>
                  <w:r>
                    <w:rPr>
                      <w:rFonts w:hint="eastAsia"/>
                      <w:color w:val="auto"/>
                      <w:highlight w:val="none"/>
                      <w:vertAlign w:val="subscript"/>
                      <w:lang w:val="en-US" w:eastAsia="zh-CN"/>
                    </w:rPr>
                    <w:t>5</w:t>
                  </w:r>
                </w:p>
              </w:tc>
              <w:tc>
                <w:tcPr>
                  <w:tcW w:w="351" w:type="pct"/>
                  <w:vMerge w:val="continue"/>
                  <w:tcBorders>
                    <w:tl2br w:val="nil"/>
                    <w:tr2bl w:val="nil"/>
                  </w:tcBorders>
                  <w:noWrap w:val="0"/>
                  <w:vAlign w:val="center"/>
                </w:tcPr>
                <w:p w14:paraId="72C817F0">
                  <w:pPr>
                    <w:bidi w:val="0"/>
                    <w:jc w:val="center"/>
                    <w:rPr>
                      <w:rFonts w:hint="default"/>
                      <w:color w:val="auto"/>
                      <w:highlight w:val="none"/>
                      <w:lang w:val="en-US" w:eastAsia="zh-CN"/>
                    </w:rPr>
                  </w:pPr>
                </w:p>
              </w:tc>
              <w:tc>
                <w:tcPr>
                  <w:tcW w:w="503" w:type="pct"/>
                  <w:vMerge w:val="continue"/>
                  <w:tcBorders>
                    <w:tl2br w:val="nil"/>
                    <w:tr2bl w:val="nil"/>
                  </w:tcBorders>
                  <w:noWrap w:val="0"/>
                  <w:vAlign w:val="center"/>
                </w:tcPr>
                <w:p w14:paraId="071589D3">
                  <w:pPr>
                    <w:bidi w:val="0"/>
                    <w:jc w:val="center"/>
                    <w:rPr>
                      <w:rFonts w:hint="default"/>
                      <w:color w:val="auto"/>
                      <w:highlight w:val="none"/>
                      <w:lang w:val="en-US" w:eastAsia="zh-CN"/>
                    </w:rPr>
                  </w:pPr>
                </w:p>
              </w:tc>
              <w:tc>
                <w:tcPr>
                  <w:tcW w:w="380" w:type="pct"/>
                  <w:vMerge w:val="continue"/>
                  <w:tcBorders>
                    <w:tl2br w:val="nil"/>
                    <w:tr2bl w:val="nil"/>
                  </w:tcBorders>
                  <w:noWrap w:val="0"/>
                  <w:vAlign w:val="center"/>
                </w:tcPr>
                <w:p w14:paraId="4B4AB4D2">
                  <w:pPr>
                    <w:bidi w:val="0"/>
                    <w:jc w:val="center"/>
                    <w:rPr>
                      <w:rFonts w:hint="default"/>
                      <w:color w:val="auto"/>
                      <w:highlight w:val="none"/>
                      <w:lang w:val="en-US" w:eastAsia="zh-CN"/>
                    </w:rPr>
                  </w:pPr>
                </w:p>
              </w:tc>
              <w:tc>
                <w:tcPr>
                  <w:tcW w:w="258" w:type="pct"/>
                  <w:vMerge w:val="continue"/>
                  <w:tcBorders>
                    <w:tl2br w:val="nil"/>
                    <w:tr2bl w:val="nil"/>
                  </w:tcBorders>
                  <w:noWrap w:val="0"/>
                  <w:vAlign w:val="center"/>
                </w:tcPr>
                <w:p w14:paraId="7561C420">
                  <w:pPr>
                    <w:bidi w:val="0"/>
                    <w:jc w:val="center"/>
                    <w:rPr>
                      <w:rFonts w:hint="default"/>
                      <w:color w:val="auto"/>
                      <w:highlight w:val="none"/>
                      <w:lang w:val="en-US" w:eastAsia="zh-CN"/>
                    </w:rPr>
                  </w:pPr>
                </w:p>
              </w:tc>
              <w:tc>
                <w:tcPr>
                  <w:tcW w:w="541" w:type="pct"/>
                  <w:vMerge w:val="continue"/>
                  <w:tcBorders>
                    <w:tl2br w:val="nil"/>
                    <w:tr2bl w:val="nil"/>
                  </w:tcBorders>
                  <w:noWrap w:val="0"/>
                  <w:vAlign w:val="center"/>
                </w:tcPr>
                <w:p w14:paraId="01431F3D">
                  <w:pPr>
                    <w:bidi w:val="0"/>
                    <w:jc w:val="center"/>
                    <w:rPr>
                      <w:rFonts w:hint="default"/>
                      <w:color w:val="auto"/>
                      <w:highlight w:val="none"/>
                      <w:lang w:val="en-US" w:eastAsia="zh-CN"/>
                    </w:rPr>
                  </w:pPr>
                </w:p>
              </w:tc>
              <w:tc>
                <w:tcPr>
                  <w:tcW w:w="461" w:type="pct"/>
                  <w:vMerge w:val="continue"/>
                  <w:tcBorders>
                    <w:tl2br w:val="nil"/>
                    <w:tr2bl w:val="nil"/>
                  </w:tcBorders>
                  <w:noWrap w:val="0"/>
                  <w:vAlign w:val="center"/>
                </w:tcPr>
                <w:p w14:paraId="7C16862D">
                  <w:pPr>
                    <w:bidi w:val="0"/>
                    <w:jc w:val="center"/>
                    <w:rPr>
                      <w:rFonts w:hint="default"/>
                      <w:color w:val="auto"/>
                      <w:highlight w:val="none"/>
                      <w:lang w:val="en-US" w:eastAsia="zh-CN"/>
                    </w:rPr>
                  </w:pPr>
                </w:p>
              </w:tc>
              <w:tc>
                <w:tcPr>
                  <w:tcW w:w="436" w:type="pct"/>
                  <w:tcBorders>
                    <w:tl2br w:val="nil"/>
                    <w:tr2bl w:val="nil"/>
                  </w:tcBorders>
                  <w:noWrap w:val="0"/>
                  <w:vAlign w:val="center"/>
                </w:tcPr>
                <w:p w14:paraId="00F444F2">
                  <w:pPr>
                    <w:bidi w:val="0"/>
                    <w:jc w:val="center"/>
                    <w:rPr>
                      <w:rFonts w:hint="default"/>
                      <w:color w:val="auto"/>
                      <w:highlight w:val="none"/>
                      <w:lang w:val="en-US" w:eastAsia="zh-CN"/>
                    </w:rPr>
                  </w:pPr>
                  <w:r>
                    <w:rPr>
                      <w:rFonts w:hint="eastAsia"/>
                      <w:color w:val="auto"/>
                      <w:highlight w:val="none"/>
                      <w:lang w:val="en-US" w:eastAsia="zh-CN"/>
                    </w:rPr>
                    <w:t>300</w:t>
                  </w:r>
                </w:p>
              </w:tc>
              <w:tc>
                <w:tcPr>
                  <w:tcW w:w="933" w:type="pct"/>
                  <w:vMerge w:val="continue"/>
                  <w:tcBorders>
                    <w:tl2br w:val="nil"/>
                    <w:tr2bl w:val="nil"/>
                  </w:tcBorders>
                  <w:noWrap w:val="0"/>
                  <w:vAlign w:val="center"/>
                </w:tcPr>
                <w:p w14:paraId="58AC34F2">
                  <w:pPr>
                    <w:bidi w:val="0"/>
                    <w:jc w:val="center"/>
                    <w:rPr>
                      <w:rFonts w:hint="default"/>
                      <w:color w:val="auto"/>
                      <w:highlight w:val="none"/>
                      <w:lang w:val="en-US" w:eastAsia="zh-CN"/>
                    </w:rPr>
                  </w:pPr>
                </w:p>
              </w:tc>
            </w:tr>
            <w:tr w14:paraId="25932D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73D9EF06">
                  <w:pPr>
                    <w:bidi w:val="0"/>
                    <w:jc w:val="center"/>
                    <w:rPr>
                      <w:rFonts w:hint="default"/>
                      <w:color w:val="auto"/>
                      <w:highlight w:val="none"/>
                      <w:lang w:val="en-US" w:eastAsia="zh-CN"/>
                    </w:rPr>
                  </w:pPr>
                </w:p>
              </w:tc>
              <w:tc>
                <w:tcPr>
                  <w:tcW w:w="304" w:type="pct"/>
                  <w:vMerge w:val="continue"/>
                  <w:tcBorders>
                    <w:tl2br w:val="nil"/>
                    <w:tr2bl w:val="nil"/>
                  </w:tcBorders>
                  <w:noWrap w:val="0"/>
                  <w:vAlign w:val="center"/>
                </w:tcPr>
                <w:p w14:paraId="0EE57AD1">
                  <w:pPr>
                    <w:bidi w:val="0"/>
                    <w:jc w:val="center"/>
                    <w:rPr>
                      <w:rFonts w:hint="default"/>
                      <w:color w:val="auto"/>
                      <w:highlight w:val="none"/>
                      <w:lang w:val="en-US" w:eastAsia="zh-CN"/>
                    </w:rPr>
                  </w:pPr>
                </w:p>
              </w:tc>
              <w:tc>
                <w:tcPr>
                  <w:tcW w:w="377" w:type="pct"/>
                  <w:tcBorders>
                    <w:tl2br w:val="nil"/>
                    <w:tr2bl w:val="nil"/>
                  </w:tcBorders>
                  <w:noWrap w:val="0"/>
                  <w:vAlign w:val="center"/>
                </w:tcPr>
                <w:p w14:paraId="5D79FB3B">
                  <w:pPr>
                    <w:bidi w:val="0"/>
                    <w:jc w:val="center"/>
                    <w:rPr>
                      <w:rFonts w:hint="default"/>
                      <w:color w:val="auto"/>
                      <w:highlight w:val="none"/>
                      <w:lang w:val="en-US" w:eastAsia="zh-CN"/>
                    </w:rPr>
                  </w:pPr>
                  <w:r>
                    <w:rPr>
                      <w:rFonts w:hint="eastAsia"/>
                      <w:color w:val="auto"/>
                      <w:highlight w:val="none"/>
                      <w:lang w:val="en-US" w:eastAsia="zh-CN"/>
                    </w:rPr>
                    <w:t>SS</w:t>
                  </w:r>
                </w:p>
              </w:tc>
              <w:tc>
                <w:tcPr>
                  <w:tcW w:w="351" w:type="pct"/>
                  <w:vMerge w:val="continue"/>
                  <w:tcBorders>
                    <w:tl2br w:val="nil"/>
                    <w:tr2bl w:val="nil"/>
                  </w:tcBorders>
                  <w:noWrap w:val="0"/>
                  <w:vAlign w:val="center"/>
                </w:tcPr>
                <w:p w14:paraId="3909394F">
                  <w:pPr>
                    <w:bidi w:val="0"/>
                    <w:jc w:val="center"/>
                    <w:rPr>
                      <w:rFonts w:hint="default"/>
                      <w:color w:val="auto"/>
                      <w:highlight w:val="none"/>
                      <w:lang w:val="en-US" w:eastAsia="zh-CN"/>
                    </w:rPr>
                  </w:pPr>
                </w:p>
              </w:tc>
              <w:tc>
                <w:tcPr>
                  <w:tcW w:w="503" w:type="pct"/>
                  <w:vMerge w:val="continue"/>
                  <w:tcBorders>
                    <w:tl2br w:val="nil"/>
                    <w:tr2bl w:val="nil"/>
                  </w:tcBorders>
                  <w:noWrap w:val="0"/>
                  <w:vAlign w:val="center"/>
                </w:tcPr>
                <w:p w14:paraId="5113D1DF">
                  <w:pPr>
                    <w:bidi w:val="0"/>
                    <w:jc w:val="center"/>
                    <w:rPr>
                      <w:rFonts w:hint="default"/>
                      <w:color w:val="auto"/>
                      <w:highlight w:val="none"/>
                      <w:lang w:val="en-US" w:eastAsia="zh-CN"/>
                    </w:rPr>
                  </w:pPr>
                </w:p>
              </w:tc>
              <w:tc>
                <w:tcPr>
                  <w:tcW w:w="380" w:type="pct"/>
                  <w:vMerge w:val="continue"/>
                  <w:tcBorders>
                    <w:tl2br w:val="nil"/>
                    <w:tr2bl w:val="nil"/>
                  </w:tcBorders>
                  <w:noWrap w:val="0"/>
                  <w:vAlign w:val="center"/>
                </w:tcPr>
                <w:p w14:paraId="2C600BE5">
                  <w:pPr>
                    <w:bidi w:val="0"/>
                    <w:jc w:val="center"/>
                    <w:rPr>
                      <w:rFonts w:hint="default"/>
                      <w:color w:val="auto"/>
                      <w:highlight w:val="none"/>
                      <w:lang w:val="en-US" w:eastAsia="zh-CN"/>
                    </w:rPr>
                  </w:pPr>
                </w:p>
              </w:tc>
              <w:tc>
                <w:tcPr>
                  <w:tcW w:w="258" w:type="pct"/>
                  <w:vMerge w:val="continue"/>
                  <w:tcBorders>
                    <w:tl2br w:val="nil"/>
                    <w:tr2bl w:val="nil"/>
                  </w:tcBorders>
                  <w:noWrap w:val="0"/>
                  <w:vAlign w:val="center"/>
                </w:tcPr>
                <w:p w14:paraId="6BD81734">
                  <w:pPr>
                    <w:bidi w:val="0"/>
                    <w:jc w:val="center"/>
                    <w:rPr>
                      <w:rFonts w:hint="default"/>
                      <w:color w:val="auto"/>
                      <w:highlight w:val="none"/>
                      <w:lang w:val="en-US" w:eastAsia="zh-CN"/>
                    </w:rPr>
                  </w:pPr>
                </w:p>
              </w:tc>
              <w:tc>
                <w:tcPr>
                  <w:tcW w:w="541" w:type="pct"/>
                  <w:vMerge w:val="continue"/>
                  <w:tcBorders>
                    <w:tl2br w:val="nil"/>
                    <w:tr2bl w:val="nil"/>
                  </w:tcBorders>
                  <w:noWrap w:val="0"/>
                  <w:vAlign w:val="center"/>
                </w:tcPr>
                <w:p w14:paraId="3FC6787B">
                  <w:pPr>
                    <w:bidi w:val="0"/>
                    <w:jc w:val="center"/>
                    <w:rPr>
                      <w:rFonts w:hint="default"/>
                      <w:color w:val="auto"/>
                      <w:highlight w:val="none"/>
                      <w:lang w:val="en-US" w:eastAsia="zh-CN"/>
                    </w:rPr>
                  </w:pPr>
                </w:p>
              </w:tc>
              <w:tc>
                <w:tcPr>
                  <w:tcW w:w="461" w:type="pct"/>
                  <w:vMerge w:val="continue"/>
                  <w:tcBorders>
                    <w:tl2br w:val="nil"/>
                    <w:tr2bl w:val="nil"/>
                  </w:tcBorders>
                  <w:noWrap w:val="0"/>
                  <w:vAlign w:val="center"/>
                </w:tcPr>
                <w:p w14:paraId="5BB07F71">
                  <w:pPr>
                    <w:bidi w:val="0"/>
                    <w:jc w:val="center"/>
                    <w:rPr>
                      <w:rFonts w:hint="default"/>
                      <w:color w:val="auto"/>
                      <w:highlight w:val="none"/>
                      <w:lang w:val="en-US" w:eastAsia="zh-CN"/>
                    </w:rPr>
                  </w:pPr>
                </w:p>
              </w:tc>
              <w:tc>
                <w:tcPr>
                  <w:tcW w:w="436" w:type="pct"/>
                  <w:tcBorders>
                    <w:tl2br w:val="nil"/>
                    <w:tr2bl w:val="nil"/>
                  </w:tcBorders>
                  <w:noWrap w:val="0"/>
                  <w:vAlign w:val="center"/>
                </w:tcPr>
                <w:p w14:paraId="7BFCD46F">
                  <w:pPr>
                    <w:bidi w:val="0"/>
                    <w:jc w:val="center"/>
                    <w:rPr>
                      <w:rFonts w:hint="default"/>
                      <w:color w:val="auto"/>
                      <w:highlight w:val="none"/>
                      <w:lang w:val="en-US" w:eastAsia="zh-CN"/>
                    </w:rPr>
                  </w:pPr>
                  <w:r>
                    <w:rPr>
                      <w:rFonts w:hint="eastAsia"/>
                      <w:color w:val="auto"/>
                      <w:highlight w:val="none"/>
                      <w:lang w:val="en-US" w:eastAsia="zh-CN"/>
                    </w:rPr>
                    <w:t>400</w:t>
                  </w:r>
                </w:p>
              </w:tc>
              <w:tc>
                <w:tcPr>
                  <w:tcW w:w="933" w:type="pct"/>
                  <w:vMerge w:val="continue"/>
                  <w:tcBorders>
                    <w:tl2br w:val="nil"/>
                    <w:tr2bl w:val="nil"/>
                  </w:tcBorders>
                  <w:noWrap w:val="0"/>
                  <w:vAlign w:val="center"/>
                </w:tcPr>
                <w:p w14:paraId="28B24286">
                  <w:pPr>
                    <w:bidi w:val="0"/>
                    <w:jc w:val="center"/>
                    <w:rPr>
                      <w:rFonts w:hint="default"/>
                      <w:color w:val="auto"/>
                      <w:highlight w:val="none"/>
                      <w:lang w:val="en-US" w:eastAsia="zh-CN"/>
                    </w:rPr>
                  </w:pPr>
                </w:p>
              </w:tc>
            </w:tr>
            <w:tr w14:paraId="49EACF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7CFDB09E">
                  <w:pPr>
                    <w:bidi w:val="0"/>
                    <w:jc w:val="center"/>
                    <w:rPr>
                      <w:rFonts w:hint="default"/>
                      <w:color w:val="auto"/>
                      <w:highlight w:val="none"/>
                      <w:lang w:val="en-US" w:eastAsia="zh-CN"/>
                    </w:rPr>
                  </w:pPr>
                </w:p>
              </w:tc>
              <w:tc>
                <w:tcPr>
                  <w:tcW w:w="304" w:type="pct"/>
                  <w:vMerge w:val="continue"/>
                  <w:tcBorders>
                    <w:tl2br w:val="nil"/>
                    <w:tr2bl w:val="nil"/>
                  </w:tcBorders>
                  <w:noWrap w:val="0"/>
                  <w:vAlign w:val="center"/>
                </w:tcPr>
                <w:p w14:paraId="3F107FAE">
                  <w:pPr>
                    <w:bidi w:val="0"/>
                    <w:jc w:val="center"/>
                    <w:rPr>
                      <w:rFonts w:hint="default"/>
                      <w:color w:val="auto"/>
                      <w:highlight w:val="none"/>
                      <w:lang w:val="en-US" w:eastAsia="zh-CN"/>
                    </w:rPr>
                  </w:pPr>
                </w:p>
              </w:tc>
              <w:tc>
                <w:tcPr>
                  <w:tcW w:w="377" w:type="pct"/>
                  <w:tcBorders>
                    <w:tl2br w:val="nil"/>
                    <w:tr2bl w:val="nil"/>
                  </w:tcBorders>
                  <w:noWrap w:val="0"/>
                  <w:vAlign w:val="center"/>
                </w:tcPr>
                <w:p w14:paraId="650885C6">
                  <w:pPr>
                    <w:bidi w:val="0"/>
                    <w:jc w:val="center"/>
                    <w:rPr>
                      <w:rFonts w:hint="default"/>
                      <w:color w:val="auto"/>
                      <w:highlight w:val="none"/>
                      <w:lang w:val="en-US" w:eastAsia="zh-CN"/>
                    </w:rPr>
                  </w:pPr>
                  <w:r>
                    <w:rPr>
                      <w:rFonts w:hint="eastAsia"/>
                      <w:color w:val="auto"/>
                      <w:highlight w:val="none"/>
                      <w:lang w:val="en-US" w:eastAsia="zh-CN"/>
                    </w:rPr>
                    <w:t>NH</w:t>
                  </w:r>
                  <w:r>
                    <w:rPr>
                      <w:rFonts w:hint="eastAsia"/>
                      <w:color w:val="auto"/>
                      <w:highlight w:val="none"/>
                      <w:vertAlign w:val="subscript"/>
                      <w:lang w:val="en-US" w:eastAsia="zh-CN"/>
                    </w:rPr>
                    <w:t>3</w:t>
                  </w:r>
                  <w:r>
                    <w:rPr>
                      <w:rFonts w:hint="eastAsia"/>
                      <w:color w:val="auto"/>
                      <w:highlight w:val="none"/>
                      <w:lang w:val="en-US" w:eastAsia="zh-CN"/>
                    </w:rPr>
                    <w:t>-N</w:t>
                  </w:r>
                </w:p>
              </w:tc>
              <w:tc>
                <w:tcPr>
                  <w:tcW w:w="351" w:type="pct"/>
                  <w:vMerge w:val="continue"/>
                  <w:tcBorders>
                    <w:tl2br w:val="nil"/>
                    <w:tr2bl w:val="nil"/>
                  </w:tcBorders>
                  <w:noWrap w:val="0"/>
                  <w:vAlign w:val="center"/>
                </w:tcPr>
                <w:p w14:paraId="153DD1B0">
                  <w:pPr>
                    <w:bidi w:val="0"/>
                    <w:jc w:val="center"/>
                    <w:rPr>
                      <w:rFonts w:hint="default"/>
                      <w:color w:val="auto"/>
                      <w:highlight w:val="none"/>
                      <w:lang w:val="en-US" w:eastAsia="zh-CN"/>
                    </w:rPr>
                  </w:pPr>
                </w:p>
              </w:tc>
              <w:tc>
                <w:tcPr>
                  <w:tcW w:w="503" w:type="pct"/>
                  <w:vMerge w:val="continue"/>
                  <w:tcBorders>
                    <w:tl2br w:val="nil"/>
                    <w:tr2bl w:val="nil"/>
                  </w:tcBorders>
                  <w:noWrap w:val="0"/>
                  <w:vAlign w:val="center"/>
                </w:tcPr>
                <w:p w14:paraId="6E60DAB9">
                  <w:pPr>
                    <w:bidi w:val="0"/>
                    <w:jc w:val="center"/>
                    <w:rPr>
                      <w:rFonts w:hint="default"/>
                      <w:color w:val="auto"/>
                      <w:highlight w:val="none"/>
                      <w:lang w:val="en-US" w:eastAsia="zh-CN"/>
                    </w:rPr>
                  </w:pPr>
                </w:p>
              </w:tc>
              <w:tc>
                <w:tcPr>
                  <w:tcW w:w="380" w:type="pct"/>
                  <w:vMerge w:val="continue"/>
                  <w:tcBorders>
                    <w:tl2br w:val="nil"/>
                    <w:tr2bl w:val="nil"/>
                  </w:tcBorders>
                  <w:noWrap w:val="0"/>
                  <w:vAlign w:val="center"/>
                </w:tcPr>
                <w:p w14:paraId="388C8CDF">
                  <w:pPr>
                    <w:bidi w:val="0"/>
                    <w:jc w:val="center"/>
                    <w:rPr>
                      <w:rFonts w:hint="default"/>
                      <w:color w:val="auto"/>
                      <w:highlight w:val="none"/>
                      <w:lang w:val="en-US" w:eastAsia="zh-CN"/>
                    </w:rPr>
                  </w:pPr>
                </w:p>
              </w:tc>
              <w:tc>
                <w:tcPr>
                  <w:tcW w:w="258" w:type="pct"/>
                  <w:vMerge w:val="continue"/>
                  <w:tcBorders>
                    <w:tl2br w:val="nil"/>
                    <w:tr2bl w:val="nil"/>
                  </w:tcBorders>
                  <w:noWrap w:val="0"/>
                  <w:vAlign w:val="center"/>
                </w:tcPr>
                <w:p w14:paraId="6F5ED35E">
                  <w:pPr>
                    <w:bidi w:val="0"/>
                    <w:jc w:val="center"/>
                    <w:rPr>
                      <w:rFonts w:hint="default"/>
                      <w:color w:val="auto"/>
                      <w:highlight w:val="none"/>
                      <w:lang w:val="en-US" w:eastAsia="zh-CN"/>
                    </w:rPr>
                  </w:pPr>
                </w:p>
              </w:tc>
              <w:tc>
                <w:tcPr>
                  <w:tcW w:w="541" w:type="pct"/>
                  <w:vMerge w:val="continue"/>
                  <w:tcBorders>
                    <w:tl2br w:val="nil"/>
                    <w:tr2bl w:val="nil"/>
                  </w:tcBorders>
                  <w:noWrap w:val="0"/>
                  <w:vAlign w:val="center"/>
                </w:tcPr>
                <w:p w14:paraId="0CE43263">
                  <w:pPr>
                    <w:bidi w:val="0"/>
                    <w:jc w:val="center"/>
                    <w:rPr>
                      <w:rFonts w:hint="default"/>
                      <w:color w:val="auto"/>
                      <w:highlight w:val="none"/>
                      <w:lang w:val="en-US" w:eastAsia="zh-CN"/>
                    </w:rPr>
                  </w:pPr>
                </w:p>
              </w:tc>
              <w:tc>
                <w:tcPr>
                  <w:tcW w:w="461" w:type="pct"/>
                  <w:vMerge w:val="continue"/>
                  <w:tcBorders>
                    <w:tl2br w:val="nil"/>
                    <w:tr2bl w:val="nil"/>
                  </w:tcBorders>
                  <w:noWrap w:val="0"/>
                  <w:vAlign w:val="center"/>
                </w:tcPr>
                <w:p w14:paraId="3439042D">
                  <w:pPr>
                    <w:bidi w:val="0"/>
                    <w:jc w:val="center"/>
                    <w:rPr>
                      <w:rFonts w:hint="default"/>
                      <w:color w:val="auto"/>
                      <w:highlight w:val="none"/>
                      <w:lang w:val="en-US" w:eastAsia="zh-CN"/>
                    </w:rPr>
                  </w:pPr>
                </w:p>
              </w:tc>
              <w:tc>
                <w:tcPr>
                  <w:tcW w:w="436" w:type="pct"/>
                  <w:tcBorders>
                    <w:tl2br w:val="nil"/>
                    <w:tr2bl w:val="nil"/>
                  </w:tcBorders>
                  <w:noWrap w:val="0"/>
                  <w:vAlign w:val="center"/>
                </w:tcPr>
                <w:p w14:paraId="723B5187">
                  <w:pPr>
                    <w:bidi w:val="0"/>
                    <w:jc w:val="center"/>
                    <w:rPr>
                      <w:rFonts w:hint="default"/>
                      <w:color w:val="auto"/>
                      <w:highlight w:val="none"/>
                      <w:lang w:val="en-US" w:eastAsia="zh-CN"/>
                    </w:rPr>
                  </w:pPr>
                  <w:r>
                    <w:rPr>
                      <w:rFonts w:hint="eastAsia"/>
                      <w:color w:val="auto"/>
                      <w:highlight w:val="none"/>
                      <w:lang w:val="en-US" w:eastAsia="zh-CN"/>
                    </w:rPr>
                    <w:t>45</w:t>
                  </w:r>
                </w:p>
              </w:tc>
              <w:tc>
                <w:tcPr>
                  <w:tcW w:w="933" w:type="pct"/>
                  <w:vMerge w:val="continue"/>
                  <w:tcBorders>
                    <w:tl2br w:val="nil"/>
                    <w:tr2bl w:val="nil"/>
                  </w:tcBorders>
                  <w:noWrap w:val="0"/>
                  <w:vAlign w:val="center"/>
                </w:tcPr>
                <w:p w14:paraId="064C08E8">
                  <w:pPr>
                    <w:bidi w:val="0"/>
                    <w:jc w:val="center"/>
                    <w:rPr>
                      <w:rFonts w:hint="default"/>
                      <w:color w:val="auto"/>
                      <w:highlight w:val="none"/>
                      <w:lang w:val="en-US" w:eastAsia="zh-CN"/>
                    </w:rPr>
                  </w:pPr>
                </w:p>
              </w:tc>
            </w:tr>
            <w:tr w14:paraId="75DEEC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restart"/>
                  <w:tcBorders>
                    <w:tl2br w:val="nil"/>
                    <w:tr2bl w:val="nil"/>
                  </w:tcBorders>
                  <w:noWrap w:val="0"/>
                  <w:vAlign w:val="center"/>
                </w:tcPr>
                <w:p w14:paraId="3ECE14B5">
                  <w:pPr>
                    <w:bidi w:val="0"/>
                    <w:jc w:val="center"/>
                    <w:rPr>
                      <w:rFonts w:hint="default"/>
                      <w:color w:val="auto"/>
                      <w:highlight w:val="none"/>
                      <w:lang w:val="en-US" w:eastAsia="zh-CN"/>
                    </w:rPr>
                  </w:pPr>
                  <w:r>
                    <w:rPr>
                      <w:rFonts w:hint="eastAsia"/>
                      <w:color w:val="auto"/>
                      <w:highlight w:val="none"/>
                      <w:lang w:val="en-US" w:eastAsia="zh-CN"/>
                    </w:rPr>
                    <w:t>职工办公</w:t>
                  </w:r>
                </w:p>
              </w:tc>
              <w:tc>
                <w:tcPr>
                  <w:tcW w:w="304" w:type="pct"/>
                  <w:vMerge w:val="restart"/>
                  <w:tcBorders>
                    <w:tl2br w:val="nil"/>
                    <w:tr2bl w:val="nil"/>
                  </w:tcBorders>
                  <w:noWrap w:val="0"/>
                  <w:vAlign w:val="center"/>
                </w:tcPr>
                <w:p w14:paraId="00CAF714">
                  <w:pPr>
                    <w:bidi w:val="0"/>
                    <w:jc w:val="center"/>
                    <w:rPr>
                      <w:rFonts w:hint="default"/>
                      <w:color w:val="auto"/>
                      <w:highlight w:val="none"/>
                      <w:lang w:val="en-US" w:eastAsia="zh-CN"/>
                    </w:rPr>
                  </w:pPr>
                  <w:r>
                    <w:rPr>
                      <w:rFonts w:hint="eastAsia"/>
                      <w:color w:val="auto"/>
                      <w:highlight w:val="none"/>
                      <w:lang w:val="en-US" w:eastAsia="zh-CN"/>
                    </w:rPr>
                    <w:t>生活污水</w:t>
                  </w:r>
                </w:p>
              </w:tc>
              <w:tc>
                <w:tcPr>
                  <w:tcW w:w="377" w:type="pct"/>
                  <w:tcBorders>
                    <w:tl2br w:val="nil"/>
                    <w:tr2bl w:val="nil"/>
                  </w:tcBorders>
                  <w:noWrap w:val="0"/>
                  <w:vAlign w:val="center"/>
                </w:tcPr>
                <w:p w14:paraId="46B85BD7">
                  <w:pPr>
                    <w:bidi w:val="0"/>
                    <w:jc w:val="center"/>
                    <w:rPr>
                      <w:rFonts w:hint="default"/>
                      <w:color w:val="auto"/>
                      <w:highlight w:val="none"/>
                      <w:lang w:val="en-US" w:eastAsia="zh-CN"/>
                    </w:rPr>
                  </w:pPr>
                  <w:r>
                    <w:rPr>
                      <w:rFonts w:hint="eastAsia"/>
                      <w:color w:val="auto"/>
                      <w:highlight w:val="none"/>
                      <w:lang w:val="en-US" w:eastAsia="zh-CN"/>
                    </w:rPr>
                    <w:t>pH</w:t>
                  </w:r>
                </w:p>
              </w:tc>
              <w:tc>
                <w:tcPr>
                  <w:tcW w:w="351" w:type="pct"/>
                  <w:vMerge w:val="restart"/>
                  <w:tcBorders>
                    <w:tl2br w:val="nil"/>
                    <w:tr2bl w:val="nil"/>
                  </w:tcBorders>
                  <w:noWrap w:val="0"/>
                  <w:vAlign w:val="center"/>
                </w:tcPr>
                <w:p w14:paraId="600B367B">
                  <w:pPr>
                    <w:bidi w:val="0"/>
                    <w:jc w:val="center"/>
                    <w:rPr>
                      <w:rFonts w:hint="default"/>
                      <w:color w:val="auto"/>
                      <w:highlight w:val="none"/>
                      <w:lang w:val="en-US" w:eastAsia="zh-CN"/>
                    </w:rPr>
                  </w:pPr>
                  <w:r>
                    <w:rPr>
                      <w:rFonts w:hint="eastAsia"/>
                      <w:color w:val="auto"/>
                      <w:highlight w:val="none"/>
                      <w:lang w:val="en-US" w:eastAsia="zh-CN"/>
                    </w:rPr>
                    <w:t>间接排放</w:t>
                  </w:r>
                </w:p>
              </w:tc>
              <w:tc>
                <w:tcPr>
                  <w:tcW w:w="503" w:type="pct"/>
                  <w:vMerge w:val="restart"/>
                  <w:tcBorders>
                    <w:tl2br w:val="nil"/>
                    <w:tr2bl w:val="nil"/>
                  </w:tcBorders>
                  <w:noWrap w:val="0"/>
                  <w:vAlign w:val="center"/>
                </w:tcPr>
                <w:p w14:paraId="0E6FBB62">
                  <w:pPr>
                    <w:bidi w:val="0"/>
                    <w:jc w:val="center"/>
                    <w:rPr>
                      <w:rFonts w:hint="default"/>
                      <w:color w:val="auto"/>
                      <w:highlight w:val="none"/>
                      <w:lang w:val="en-US" w:eastAsia="zh-CN"/>
                    </w:rPr>
                  </w:pPr>
                  <w:r>
                    <w:rPr>
                      <w:rFonts w:hint="eastAsia"/>
                      <w:color w:val="auto"/>
                      <w:highlight w:val="none"/>
                      <w:lang w:val="en-US" w:eastAsia="zh-CN"/>
                    </w:rPr>
                    <w:t>进入园区化粪池处理后，排入西安市污水处理有限公司第六再生水厂</w:t>
                  </w:r>
                </w:p>
              </w:tc>
              <w:tc>
                <w:tcPr>
                  <w:tcW w:w="380" w:type="pct"/>
                  <w:vMerge w:val="restart"/>
                  <w:tcBorders>
                    <w:tl2br w:val="nil"/>
                    <w:tr2bl w:val="nil"/>
                  </w:tcBorders>
                  <w:noWrap w:val="0"/>
                  <w:vAlign w:val="center"/>
                </w:tcPr>
                <w:p w14:paraId="2B1A0A35">
                  <w:pPr>
                    <w:bidi w:val="0"/>
                    <w:jc w:val="center"/>
                    <w:rPr>
                      <w:rFonts w:hint="default"/>
                      <w:color w:val="auto"/>
                      <w:highlight w:val="none"/>
                      <w:lang w:val="en-US" w:eastAsia="zh-CN"/>
                    </w:rPr>
                  </w:pPr>
                  <w:r>
                    <w:rPr>
                      <w:color w:val="auto"/>
                      <w:highlight w:val="none"/>
                    </w:rPr>
                    <w:t>间断排放，排放期间流量不稳定且无规律，但不属于冲击型排放</w:t>
                  </w:r>
                </w:p>
              </w:tc>
              <w:tc>
                <w:tcPr>
                  <w:tcW w:w="258" w:type="pct"/>
                  <w:vMerge w:val="restart"/>
                  <w:tcBorders>
                    <w:tl2br w:val="nil"/>
                    <w:tr2bl w:val="nil"/>
                  </w:tcBorders>
                  <w:noWrap w:val="0"/>
                  <w:vAlign w:val="center"/>
                </w:tcPr>
                <w:p w14:paraId="79B9F006">
                  <w:pPr>
                    <w:bidi w:val="0"/>
                    <w:jc w:val="center"/>
                    <w:rPr>
                      <w:rFonts w:hint="default"/>
                      <w:color w:val="auto"/>
                      <w:highlight w:val="none"/>
                      <w:lang w:val="en-US" w:eastAsia="zh-CN"/>
                    </w:rPr>
                  </w:pPr>
                  <w:r>
                    <w:rPr>
                      <w:rFonts w:hint="eastAsia"/>
                      <w:color w:val="auto"/>
                      <w:highlight w:val="none"/>
                      <w:lang w:val="en-US" w:eastAsia="zh-CN"/>
                    </w:rPr>
                    <w:t>DW002</w:t>
                  </w:r>
                </w:p>
              </w:tc>
              <w:tc>
                <w:tcPr>
                  <w:tcW w:w="541" w:type="pct"/>
                  <w:vMerge w:val="restart"/>
                  <w:tcBorders>
                    <w:tl2br w:val="nil"/>
                    <w:tr2bl w:val="nil"/>
                  </w:tcBorders>
                  <w:noWrap w:val="0"/>
                  <w:vAlign w:val="center"/>
                </w:tcPr>
                <w:p w14:paraId="3B8CF3A6">
                  <w:pPr>
                    <w:bidi w:val="0"/>
                    <w:jc w:val="center"/>
                    <w:rPr>
                      <w:rFonts w:hint="default"/>
                      <w:color w:val="auto"/>
                      <w:highlight w:val="none"/>
                      <w:lang w:val="en-US" w:eastAsia="zh-CN"/>
                    </w:rPr>
                  </w:pPr>
                  <w:r>
                    <w:rPr>
                      <w:rFonts w:hint="eastAsia"/>
                      <w:color w:val="auto"/>
                      <w:highlight w:val="none"/>
                      <w:lang w:val="en-US" w:eastAsia="zh-CN"/>
                    </w:rPr>
                    <w:t>一般排放口（依托园区）</w:t>
                  </w:r>
                </w:p>
              </w:tc>
              <w:tc>
                <w:tcPr>
                  <w:tcW w:w="461" w:type="pct"/>
                  <w:vMerge w:val="restart"/>
                  <w:tcBorders>
                    <w:tl2br w:val="nil"/>
                    <w:tr2bl w:val="nil"/>
                  </w:tcBorders>
                  <w:noWrap w:val="0"/>
                  <w:vAlign w:val="center"/>
                </w:tcPr>
                <w:p w14:paraId="7BCD0095">
                  <w:pPr>
                    <w:bidi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E</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108°48′22.610″</w:t>
                  </w:r>
                </w:p>
                <w:p w14:paraId="38E3004C">
                  <w:pPr>
                    <w:bidi w:val="0"/>
                    <w:jc w:val="center"/>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N</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34°19′28.410″</w:t>
                  </w:r>
                </w:p>
              </w:tc>
              <w:tc>
                <w:tcPr>
                  <w:tcW w:w="436" w:type="pct"/>
                  <w:tcBorders>
                    <w:tl2br w:val="nil"/>
                    <w:tr2bl w:val="nil"/>
                  </w:tcBorders>
                  <w:noWrap w:val="0"/>
                  <w:vAlign w:val="center"/>
                </w:tcPr>
                <w:p w14:paraId="2A20CA33">
                  <w:pPr>
                    <w:bidi w:val="0"/>
                    <w:jc w:val="center"/>
                    <w:rPr>
                      <w:rFonts w:hint="default"/>
                      <w:color w:val="auto"/>
                      <w:highlight w:val="none"/>
                      <w:lang w:val="en-US" w:eastAsia="zh-CN"/>
                    </w:rPr>
                  </w:pPr>
                  <w:r>
                    <w:rPr>
                      <w:rFonts w:hint="eastAsia"/>
                      <w:color w:val="auto"/>
                      <w:highlight w:val="none"/>
                      <w:lang w:val="en-US" w:eastAsia="zh-CN"/>
                    </w:rPr>
                    <w:t>6~9</w:t>
                  </w:r>
                </w:p>
              </w:tc>
              <w:tc>
                <w:tcPr>
                  <w:tcW w:w="933" w:type="pct"/>
                  <w:vMerge w:val="restart"/>
                  <w:tcBorders>
                    <w:tl2br w:val="nil"/>
                    <w:tr2bl w:val="nil"/>
                  </w:tcBorders>
                  <w:noWrap w:val="0"/>
                  <w:vAlign w:val="center"/>
                </w:tcPr>
                <w:p w14:paraId="10CB9B36">
                  <w:pPr>
                    <w:bidi w:val="0"/>
                    <w:jc w:val="center"/>
                    <w:rPr>
                      <w:rFonts w:hint="default"/>
                      <w:color w:val="auto"/>
                      <w:highlight w:val="none"/>
                      <w:lang w:val="en-US" w:eastAsia="zh-CN"/>
                    </w:rPr>
                  </w:pPr>
                  <w:r>
                    <w:rPr>
                      <w:color w:val="auto"/>
                      <w:highlight w:val="none"/>
                    </w:rPr>
                    <w:t>《污水综合排放标准》（GB8978-1996）</w:t>
                  </w:r>
                  <w:r>
                    <w:rPr>
                      <w:rFonts w:hint="eastAsia"/>
                      <w:color w:val="auto"/>
                      <w:highlight w:val="none"/>
                      <w:lang w:val="en-US" w:eastAsia="zh-CN"/>
                    </w:rPr>
                    <w:t>表</w:t>
                  </w:r>
                  <w:r>
                    <w:rPr>
                      <w:rFonts w:hint="default"/>
                      <w:color w:val="auto"/>
                      <w:highlight w:val="none"/>
                      <w:lang w:val="en-US" w:eastAsia="zh-CN"/>
                    </w:rPr>
                    <w:t>2</w:t>
                  </w:r>
                  <w:r>
                    <w:rPr>
                      <w:color w:val="auto"/>
                      <w:highlight w:val="none"/>
                    </w:rPr>
                    <w:t>三级标准及《污水排入城镇下水道水质标准》（</w:t>
                  </w:r>
                  <w:r>
                    <w:rPr>
                      <w:rFonts w:hint="default"/>
                      <w:color w:val="auto"/>
                      <w:highlight w:val="none"/>
                    </w:rPr>
                    <w:t>GB/T31962-2015</w:t>
                  </w:r>
                  <w:r>
                    <w:rPr>
                      <w:color w:val="auto"/>
                      <w:highlight w:val="none"/>
                    </w:rPr>
                    <w:t>）</w:t>
                  </w:r>
                  <w:r>
                    <w:rPr>
                      <w:rFonts w:hint="eastAsia"/>
                      <w:color w:val="auto"/>
                      <w:highlight w:val="none"/>
                      <w:lang w:val="en-US" w:eastAsia="zh-CN"/>
                    </w:rPr>
                    <w:t>A</w:t>
                  </w:r>
                  <w:r>
                    <w:rPr>
                      <w:color w:val="auto"/>
                      <w:highlight w:val="none"/>
                    </w:rPr>
                    <w:t>等级标准</w:t>
                  </w:r>
                </w:p>
              </w:tc>
            </w:tr>
            <w:tr w14:paraId="4D66E0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1E8CD032">
                  <w:pPr>
                    <w:bidi w:val="0"/>
                    <w:jc w:val="center"/>
                    <w:rPr>
                      <w:rFonts w:hint="eastAsia"/>
                      <w:color w:val="auto"/>
                      <w:highlight w:val="none"/>
                      <w:lang w:val="en-US" w:eastAsia="zh-CN"/>
                    </w:rPr>
                  </w:pPr>
                </w:p>
              </w:tc>
              <w:tc>
                <w:tcPr>
                  <w:tcW w:w="304" w:type="pct"/>
                  <w:vMerge w:val="continue"/>
                  <w:tcBorders>
                    <w:tl2br w:val="nil"/>
                    <w:tr2bl w:val="nil"/>
                  </w:tcBorders>
                  <w:noWrap w:val="0"/>
                  <w:vAlign w:val="center"/>
                </w:tcPr>
                <w:p w14:paraId="3197EEF1">
                  <w:pPr>
                    <w:bidi w:val="0"/>
                    <w:jc w:val="center"/>
                    <w:rPr>
                      <w:rFonts w:hint="eastAsia"/>
                      <w:color w:val="auto"/>
                      <w:highlight w:val="none"/>
                      <w:lang w:val="en-US" w:eastAsia="zh-CN"/>
                    </w:rPr>
                  </w:pPr>
                </w:p>
              </w:tc>
              <w:tc>
                <w:tcPr>
                  <w:tcW w:w="377" w:type="pct"/>
                  <w:tcBorders>
                    <w:tl2br w:val="nil"/>
                    <w:tr2bl w:val="nil"/>
                  </w:tcBorders>
                  <w:noWrap w:val="0"/>
                  <w:vAlign w:val="center"/>
                </w:tcPr>
                <w:p w14:paraId="5C3189D1">
                  <w:pPr>
                    <w:bidi w:val="0"/>
                    <w:jc w:val="center"/>
                    <w:rPr>
                      <w:rFonts w:hint="eastAsia"/>
                      <w:color w:val="auto"/>
                      <w:highlight w:val="none"/>
                      <w:lang w:val="en-US" w:eastAsia="zh-CN"/>
                    </w:rPr>
                  </w:pPr>
                  <w:r>
                    <w:rPr>
                      <w:rFonts w:hint="eastAsia"/>
                      <w:color w:val="auto"/>
                      <w:highlight w:val="none"/>
                      <w:lang w:val="en-US" w:eastAsia="zh-CN"/>
                    </w:rPr>
                    <w:t>COD</w:t>
                  </w:r>
                </w:p>
              </w:tc>
              <w:tc>
                <w:tcPr>
                  <w:tcW w:w="351" w:type="pct"/>
                  <w:vMerge w:val="continue"/>
                  <w:tcBorders>
                    <w:tl2br w:val="nil"/>
                    <w:tr2bl w:val="nil"/>
                  </w:tcBorders>
                  <w:noWrap w:val="0"/>
                  <w:vAlign w:val="center"/>
                </w:tcPr>
                <w:p w14:paraId="26748D5B">
                  <w:pPr>
                    <w:bidi w:val="0"/>
                    <w:jc w:val="center"/>
                    <w:rPr>
                      <w:rFonts w:hint="eastAsia"/>
                      <w:color w:val="auto"/>
                      <w:highlight w:val="none"/>
                      <w:lang w:val="en-US" w:eastAsia="zh-CN"/>
                    </w:rPr>
                  </w:pPr>
                </w:p>
              </w:tc>
              <w:tc>
                <w:tcPr>
                  <w:tcW w:w="503" w:type="pct"/>
                  <w:vMerge w:val="continue"/>
                  <w:tcBorders>
                    <w:tl2br w:val="nil"/>
                    <w:tr2bl w:val="nil"/>
                  </w:tcBorders>
                  <w:noWrap w:val="0"/>
                  <w:vAlign w:val="center"/>
                </w:tcPr>
                <w:p w14:paraId="0B03AB83">
                  <w:pPr>
                    <w:bidi w:val="0"/>
                    <w:jc w:val="center"/>
                    <w:rPr>
                      <w:rFonts w:hint="eastAsia"/>
                      <w:color w:val="auto"/>
                      <w:highlight w:val="none"/>
                      <w:lang w:val="en-US" w:eastAsia="zh-CN"/>
                    </w:rPr>
                  </w:pPr>
                </w:p>
              </w:tc>
              <w:tc>
                <w:tcPr>
                  <w:tcW w:w="380" w:type="pct"/>
                  <w:vMerge w:val="continue"/>
                  <w:tcBorders>
                    <w:tl2br w:val="nil"/>
                    <w:tr2bl w:val="nil"/>
                  </w:tcBorders>
                  <w:noWrap w:val="0"/>
                  <w:vAlign w:val="center"/>
                </w:tcPr>
                <w:p w14:paraId="10DC5F2F">
                  <w:pPr>
                    <w:bidi w:val="0"/>
                    <w:jc w:val="center"/>
                    <w:rPr>
                      <w:color w:val="auto"/>
                      <w:highlight w:val="none"/>
                    </w:rPr>
                  </w:pPr>
                </w:p>
              </w:tc>
              <w:tc>
                <w:tcPr>
                  <w:tcW w:w="258" w:type="pct"/>
                  <w:vMerge w:val="continue"/>
                  <w:tcBorders>
                    <w:tl2br w:val="nil"/>
                    <w:tr2bl w:val="nil"/>
                  </w:tcBorders>
                  <w:noWrap w:val="0"/>
                  <w:vAlign w:val="center"/>
                </w:tcPr>
                <w:p w14:paraId="2AD776D0">
                  <w:pPr>
                    <w:bidi w:val="0"/>
                    <w:jc w:val="center"/>
                    <w:rPr>
                      <w:rFonts w:hint="eastAsia"/>
                      <w:color w:val="auto"/>
                      <w:highlight w:val="none"/>
                      <w:lang w:val="en-US" w:eastAsia="zh-CN"/>
                    </w:rPr>
                  </w:pPr>
                </w:p>
              </w:tc>
              <w:tc>
                <w:tcPr>
                  <w:tcW w:w="541" w:type="pct"/>
                  <w:vMerge w:val="continue"/>
                  <w:tcBorders>
                    <w:tl2br w:val="nil"/>
                    <w:tr2bl w:val="nil"/>
                  </w:tcBorders>
                  <w:noWrap w:val="0"/>
                  <w:vAlign w:val="center"/>
                </w:tcPr>
                <w:p w14:paraId="77FF8A86">
                  <w:pPr>
                    <w:bidi w:val="0"/>
                    <w:jc w:val="center"/>
                    <w:rPr>
                      <w:rFonts w:hint="eastAsia"/>
                      <w:color w:val="auto"/>
                      <w:highlight w:val="none"/>
                      <w:lang w:val="en-US" w:eastAsia="zh-CN"/>
                    </w:rPr>
                  </w:pPr>
                </w:p>
              </w:tc>
              <w:tc>
                <w:tcPr>
                  <w:tcW w:w="461" w:type="pct"/>
                  <w:vMerge w:val="continue"/>
                  <w:tcBorders>
                    <w:tl2br w:val="nil"/>
                    <w:tr2bl w:val="nil"/>
                  </w:tcBorders>
                  <w:noWrap w:val="0"/>
                  <w:vAlign w:val="center"/>
                </w:tcPr>
                <w:p w14:paraId="59EBA869">
                  <w:pPr>
                    <w:bidi w:val="0"/>
                    <w:jc w:val="center"/>
                    <w:rPr>
                      <w:rFonts w:hint="eastAsia"/>
                      <w:color w:val="auto"/>
                      <w:highlight w:val="none"/>
                      <w:lang w:val="en-US" w:eastAsia="zh-CN"/>
                    </w:rPr>
                  </w:pPr>
                </w:p>
              </w:tc>
              <w:tc>
                <w:tcPr>
                  <w:tcW w:w="436" w:type="pct"/>
                  <w:tcBorders>
                    <w:tl2br w:val="nil"/>
                    <w:tr2bl w:val="nil"/>
                  </w:tcBorders>
                  <w:noWrap w:val="0"/>
                  <w:vAlign w:val="center"/>
                </w:tcPr>
                <w:p w14:paraId="123FC749">
                  <w:pPr>
                    <w:bidi w:val="0"/>
                    <w:jc w:val="center"/>
                    <w:rPr>
                      <w:rFonts w:hint="eastAsia"/>
                      <w:color w:val="auto"/>
                      <w:highlight w:val="none"/>
                      <w:lang w:val="en-US" w:eastAsia="zh-CN"/>
                    </w:rPr>
                  </w:pPr>
                  <w:r>
                    <w:rPr>
                      <w:rFonts w:hint="eastAsia"/>
                      <w:color w:val="auto"/>
                      <w:highlight w:val="none"/>
                      <w:lang w:val="en-US" w:eastAsia="zh-CN"/>
                    </w:rPr>
                    <w:t>500</w:t>
                  </w:r>
                </w:p>
              </w:tc>
              <w:tc>
                <w:tcPr>
                  <w:tcW w:w="933" w:type="pct"/>
                  <w:vMerge w:val="continue"/>
                  <w:tcBorders>
                    <w:tl2br w:val="nil"/>
                    <w:tr2bl w:val="nil"/>
                  </w:tcBorders>
                  <w:noWrap w:val="0"/>
                  <w:vAlign w:val="center"/>
                </w:tcPr>
                <w:p w14:paraId="74AB7842">
                  <w:pPr>
                    <w:bidi w:val="0"/>
                    <w:jc w:val="center"/>
                    <w:rPr>
                      <w:color w:val="auto"/>
                      <w:highlight w:val="none"/>
                    </w:rPr>
                  </w:pPr>
                </w:p>
              </w:tc>
            </w:tr>
            <w:tr w14:paraId="1C2A0B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4FC0B52C">
                  <w:pPr>
                    <w:bidi w:val="0"/>
                    <w:jc w:val="center"/>
                    <w:rPr>
                      <w:rFonts w:hint="eastAsia"/>
                      <w:color w:val="auto"/>
                      <w:highlight w:val="none"/>
                      <w:lang w:val="en-US" w:eastAsia="zh-CN"/>
                    </w:rPr>
                  </w:pPr>
                </w:p>
              </w:tc>
              <w:tc>
                <w:tcPr>
                  <w:tcW w:w="304" w:type="pct"/>
                  <w:vMerge w:val="continue"/>
                  <w:tcBorders>
                    <w:tl2br w:val="nil"/>
                    <w:tr2bl w:val="nil"/>
                  </w:tcBorders>
                  <w:noWrap w:val="0"/>
                  <w:vAlign w:val="center"/>
                </w:tcPr>
                <w:p w14:paraId="07D04B20">
                  <w:pPr>
                    <w:bidi w:val="0"/>
                    <w:jc w:val="center"/>
                    <w:rPr>
                      <w:rFonts w:hint="eastAsia"/>
                      <w:color w:val="auto"/>
                      <w:highlight w:val="none"/>
                      <w:lang w:val="en-US" w:eastAsia="zh-CN"/>
                    </w:rPr>
                  </w:pPr>
                </w:p>
              </w:tc>
              <w:tc>
                <w:tcPr>
                  <w:tcW w:w="377" w:type="pct"/>
                  <w:tcBorders>
                    <w:tl2br w:val="nil"/>
                    <w:tr2bl w:val="nil"/>
                  </w:tcBorders>
                  <w:noWrap w:val="0"/>
                  <w:vAlign w:val="center"/>
                </w:tcPr>
                <w:p w14:paraId="6A784F0D">
                  <w:pPr>
                    <w:bidi w:val="0"/>
                    <w:jc w:val="center"/>
                    <w:rPr>
                      <w:rFonts w:hint="eastAsia"/>
                      <w:color w:val="auto"/>
                      <w:highlight w:val="none"/>
                      <w:lang w:val="en-US" w:eastAsia="zh-CN"/>
                    </w:rPr>
                  </w:pPr>
                  <w:r>
                    <w:rPr>
                      <w:rFonts w:hint="eastAsia"/>
                      <w:color w:val="auto"/>
                      <w:highlight w:val="none"/>
                      <w:lang w:val="en-US" w:eastAsia="zh-CN"/>
                    </w:rPr>
                    <w:t>BOD</w:t>
                  </w:r>
                  <w:r>
                    <w:rPr>
                      <w:rFonts w:hint="eastAsia"/>
                      <w:color w:val="auto"/>
                      <w:highlight w:val="none"/>
                      <w:vertAlign w:val="subscript"/>
                      <w:lang w:val="en-US" w:eastAsia="zh-CN"/>
                    </w:rPr>
                    <w:t>5</w:t>
                  </w:r>
                </w:p>
              </w:tc>
              <w:tc>
                <w:tcPr>
                  <w:tcW w:w="351" w:type="pct"/>
                  <w:vMerge w:val="continue"/>
                  <w:tcBorders>
                    <w:tl2br w:val="nil"/>
                    <w:tr2bl w:val="nil"/>
                  </w:tcBorders>
                  <w:noWrap w:val="0"/>
                  <w:vAlign w:val="center"/>
                </w:tcPr>
                <w:p w14:paraId="2D1F4460">
                  <w:pPr>
                    <w:bidi w:val="0"/>
                    <w:jc w:val="center"/>
                    <w:rPr>
                      <w:rFonts w:hint="eastAsia"/>
                      <w:color w:val="auto"/>
                      <w:highlight w:val="none"/>
                      <w:lang w:val="en-US" w:eastAsia="zh-CN"/>
                    </w:rPr>
                  </w:pPr>
                </w:p>
              </w:tc>
              <w:tc>
                <w:tcPr>
                  <w:tcW w:w="503" w:type="pct"/>
                  <w:vMerge w:val="continue"/>
                  <w:tcBorders>
                    <w:tl2br w:val="nil"/>
                    <w:tr2bl w:val="nil"/>
                  </w:tcBorders>
                  <w:noWrap w:val="0"/>
                  <w:vAlign w:val="center"/>
                </w:tcPr>
                <w:p w14:paraId="7A397BC6">
                  <w:pPr>
                    <w:bidi w:val="0"/>
                    <w:jc w:val="center"/>
                    <w:rPr>
                      <w:rFonts w:hint="eastAsia"/>
                      <w:color w:val="auto"/>
                      <w:highlight w:val="none"/>
                      <w:lang w:val="en-US" w:eastAsia="zh-CN"/>
                    </w:rPr>
                  </w:pPr>
                </w:p>
              </w:tc>
              <w:tc>
                <w:tcPr>
                  <w:tcW w:w="380" w:type="pct"/>
                  <w:vMerge w:val="continue"/>
                  <w:tcBorders>
                    <w:tl2br w:val="nil"/>
                    <w:tr2bl w:val="nil"/>
                  </w:tcBorders>
                  <w:noWrap w:val="0"/>
                  <w:vAlign w:val="center"/>
                </w:tcPr>
                <w:p w14:paraId="3B219D05">
                  <w:pPr>
                    <w:bidi w:val="0"/>
                    <w:jc w:val="center"/>
                    <w:rPr>
                      <w:color w:val="auto"/>
                      <w:highlight w:val="none"/>
                    </w:rPr>
                  </w:pPr>
                </w:p>
              </w:tc>
              <w:tc>
                <w:tcPr>
                  <w:tcW w:w="258" w:type="pct"/>
                  <w:vMerge w:val="continue"/>
                  <w:tcBorders>
                    <w:tl2br w:val="nil"/>
                    <w:tr2bl w:val="nil"/>
                  </w:tcBorders>
                  <w:noWrap w:val="0"/>
                  <w:vAlign w:val="center"/>
                </w:tcPr>
                <w:p w14:paraId="2577A664">
                  <w:pPr>
                    <w:bidi w:val="0"/>
                    <w:jc w:val="center"/>
                    <w:rPr>
                      <w:rFonts w:hint="eastAsia"/>
                      <w:color w:val="auto"/>
                      <w:highlight w:val="none"/>
                      <w:lang w:val="en-US" w:eastAsia="zh-CN"/>
                    </w:rPr>
                  </w:pPr>
                </w:p>
              </w:tc>
              <w:tc>
                <w:tcPr>
                  <w:tcW w:w="541" w:type="pct"/>
                  <w:vMerge w:val="continue"/>
                  <w:tcBorders>
                    <w:tl2br w:val="nil"/>
                    <w:tr2bl w:val="nil"/>
                  </w:tcBorders>
                  <w:noWrap w:val="0"/>
                  <w:vAlign w:val="center"/>
                </w:tcPr>
                <w:p w14:paraId="3AA6D605">
                  <w:pPr>
                    <w:bidi w:val="0"/>
                    <w:jc w:val="center"/>
                    <w:rPr>
                      <w:rFonts w:hint="eastAsia"/>
                      <w:color w:val="auto"/>
                      <w:highlight w:val="none"/>
                      <w:lang w:val="en-US" w:eastAsia="zh-CN"/>
                    </w:rPr>
                  </w:pPr>
                </w:p>
              </w:tc>
              <w:tc>
                <w:tcPr>
                  <w:tcW w:w="461" w:type="pct"/>
                  <w:vMerge w:val="continue"/>
                  <w:tcBorders>
                    <w:tl2br w:val="nil"/>
                    <w:tr2bl w:val="nil"/>
                  </w:tcBorders>
                  <w:noWrap w:val="0"/>
                  <w:vAlign w:val="center"/>
                </w:tcPr>
                <w:p w14:paraId="52646FB8">
                  <w:pPr>
                    <w:bidi w:val="0"/>
                    <w:jc w:val="center"/>
                    <w:rPr>
                      <w:rFonts w:hint="eastAsia"/>
                      <w:color w:val="auto"/>
                      <w:highlight w:val="none"/>
                      <w:lang w:val="en-US" w:eastAsia="zh-CN"/>
                    </w:rPr>
                  </w:pPr>
                </w:p>
              </w:tc>
              <w:tc>
                <w:tcPr>
                  <w:tcW w:w="436" w:type="pct"/>
                  <w:tcBorders>
                    <w:tl2br w:val="nil"/>
                    <w:tr2bl w:val="nil"/>
                  </w:tcBorders>
                  <w:noWrap w:val="0"/>
                  <w:vAlign w:val="center"/>
                </w:tcPr>
                <w:p w14:paraId="4A470216">
                  <w:pPr>
                    <w:bidi w:val="0"/>
                    <w:jc w:val="center"/>
                    <w:rPr>
                      <w:rFonts w:hint="eastAsia"/>
                      <w:color w:val="auto"/>
                      <w:highlight w:val="none"/>
                      <w:lang w:val="en-US" w:eastAsia="zh-CN"/>
                    </w:rPr>
                  </w:pPr>
                  <w:r>
                    <w:rPr>
                      <w:rFonts w:hint="eastAsia"/>
                      <w:color w:val="auto"/>
                      <w:highlight w:val="none"/>
                      <w:lang w:val="en-US" w:eastAsia="zh-CN"/>
                    </w:rPr>
                    <w:t>300</w:t>
                  </w:r>
                </w:p>
              </w:tc>
              <w:tc>
                <w:tcPr>
                  <w:tcW w:w="933" w:type="pct"/>
                  <w:vMerge w:val="continue"/>
                  <w:tcBorders>
                    <w:tl2br w:val="nil"/>
                    <w:tr2bl w:val="nil"/>
                  </w:tcBorders>
                  <w:noWrap w:val="0"/>
                  <w:vAlign w:val="center"/>
                </w:tcPr>
                <w:p w14:paraId="6C6580D7">
                  <w:pPr>
                    <w:bidi w:val="0"/>
                    <w:jc w:val="center"/>
                    <w:rPr>
                      <w:color w:val="auto"/>
                      <w:highlight w:val="none"/>
                    </w:rPr>
                  </w:pPr>
                </w:p>
              </w:tc>
            </w:tr>
            <w:tr w14:paraId="7F8A8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3B3ED993">
                  <w:pPr>
                    <w:bidi w:val="0"/>
                    <w:jc w:val="center"/>
                    <w:rPr>
                      <w:rFonts w:hint="eastAsia"/>
                      <w:color w:val="auto"/>
                      <w:highlight w:val="none"/>
                      <w:lang w:val="en-US" w:eastAsia="zh-CN"/>
                    </w:rPr>
                  </w:pPr>
                </w:p>
              </w:tc>
              <w:tc>
                <w:tcPr>
                  <w:tcW w:w="304" w:type="pct"/>
                  <w:vMerge w:val="continue"/>
                  <w:tcBorders>
                    <w:tl2br w:val="nil"/>
                    <w:tr2bl w:val="nil"/>
                  </w:tcBorders>
                  <w:noWrap w:val="0"/>
                  <w:vAlign w:val="center"/>
                </w:tcPr>
                <w:p w14:paraId="6DBAAEFC">
                  <w:pPr>
                    <w:bidi w:val="0"/>
                    <w:jc w:val="center"/>
                    <w:rPr>
                      <w:rFonts w:hint="eastAsia"/>
                      <w:color w:val="auto"/>
                      <w:highlight w:val="none"/>
                      <w:lang w:val="en-US" w:eastAsia="zh-CN"/>
                    </w:rPr>
                  </w:pPr>
                </w:p>
              </w:tc>
              <w:tc>
                <w:tcPr>
                  <w:tcW w:w="377" w:type="pct"/>
                  <w:tcBorders>
                    <w:tl2br w:val="nil"/>
                    <w:tr2bl w:val="nil"/>
                  </w:tcBorders>
                  <w:noWrap w:val="0"/>
                  <w:vAlign w:val="center"/>
                </w:tcPr>
                <w:p w14:paraId="65CAFCAD">
                  <w:pPr>
                    <w:bidi w:val="0"/>
                    <w:jc w:val="center"/>
                    <w:rPr>
                      <w:rFonts w:hint="eastAsia"/>
                      <w:color w:val="auto"/>
                      <w:highlight w:val="none"/>
                      <w:lang w:val="en-US" w:eastAsia="zh-CN"/>
                    </w:rPr>
                  </w:pPr>
                  <w:r>
                    <w:rPr>
                      <w:rFonts w:hint="eastAsia"/>
                      <w:color w:val="auto"/>
                      <w:highlight w:val="none"/>
                      <w:lang w:val="en-US" w:eastAsia="zh-CN"/>
                    </w:rPr>
                    <w:t>SS</w:t>
                  </w:r>
                </w:p>
              </w:tc>
              <w:tc>
                <w:tcPr>
                  <w:tcW w:w="351" w:type="pct"/>
                  <w:vMerge w:val="continue"/>
                  <w:tcBorders>
                    <w:tl2br w:val="nil"/>
                    <w:tr2bl w:val="nil"/>
                  </w:tcBorders>
                  <w:noWrap w:val="0"/>
                  <w:vAlign w:val="center"/>
                </w:tcPr>
                <w:p w14:paraId="43356C55">
                  <w:pPr>
                    <w:bidi w:val="0"/>
                    <w:jc w:val="center"/>
                    <w:rPr>
                      <w:rFonts w:hint="eastAsia"/>
                      <w:color w:val="auto"/>
                      <w:highlight w:val="none"/>
                      <w:lang w:val="en-US" w:eastAsia="zh-CN"/>
                    </w:rPr>
                  </w:pPr>
                </w:p>
              </w:tc>
              <w:tc>
                <w:tcPr>
                  <w:tcW w:w="503" w:type="pct"/>
                  <w:vMerge w:val="continue"/>
                  <w:tcBorders>
                    <w:tl2br w:val="nil"/>
                    <w:tr2bl w:val="nil"/>
                  </w:tcBorders>
                  <w:noWrap w:val="0"/>
                  <w:vAlign w:val="center"/>
                </w:tcPr>
                <w:p w14:paraId="62E0F445">
                  <w:pPr>
                    <w:bidi w:val="0"/>
                    <w:jc w:val="center"/>
                    <w:rPr>
                      <w:rFonts w:hint="eastAsia"/>
                      <w:color w:val="auto"/>
                      <w:highlight w:val="none"/>
                      <w:lang w:val="en-US" w:eastAsia="zh-CN"/>
                    </w:rPr>
                  </w:pPr>
                </w:p>
              </w:tc>
              <w:tc>
                <w:tcPr>
                  <w:tcW w:w="380" w:type="pct"/>
                  <w:vMerge w:val="continue"/>
                  <w:tcBorders>
                    <w:tl2br w:val="nil"/>
                    <w:tr2bl w:val="nil"/>
                  </w:tcBorders>
                  <w:noWrap w:val="0"/>
                  <w:vAlign w:val="center"/>
                </w:tcPr>
                <w:p w14:paraId="4CE4A1FB">
                  <w:pPr>
                    <w:bidi w:val="0"/>
                    <w:jc w:val="center"/>
                    <w:rPr>
                      <w:color w:val="auto"/>
                      <w:highlight w:val="none"/>
                    </w:rPr>
                  </w:pPr>
                </w:p>
              </w:tc>
              <w:tc>
                <w:tcPr>
                  <w:tcW w:w="258" w:type="pct"/>
                  <w:vMerge w:val="continue"/>
                  <w:tcBorders>
                    <w:tl2br w:val="nil"/>
                    <w:tr2bl w:val="nil"/>
                  </w:tcBorders>
                  <w:noWrap w:val="0"/>
                  <w:vAlign w:val="center"/>
                </w:tcPr>
                <w:p w14:paraId="0027B7D3">
                  <w:pPr>
                    <w:bidi w:val="0"/>
                    <w:jc w:val="center"/>
                    <w:rPr>
                      <w:rFonts w:hint="eastAsia"/>
                      <w:color w:val="auto"/>
                      <w:highlight w:val="none"/>
                      <w:lang w:val="en-US" w:eastAsia="zh-CN"/>
                    </w:rPr>
                  </w:pPr>
                </w:p>
              </w:tc>
              <w:tc>
                <w:tcPr>
                  <w:tcW w:w="541" w:type="pct"/>
                  <w:vMerge w:val="continue"/>
                  <w:tcBorders>
                    <w:tl2br w:val="nil"/>
                    <w:tr2bl w:val="nil"/>
                  </w:tcBorders>
                  <w:noWrap w:val="0"/>
                  <w:vAlign w:val="center"/>
                </w:tcPr>
                <w:p w14:paraId="4212EBF3">
                  <w:pPr>
                    <w:bidi w:val="0"/>
                    <w:jc w:val="center"/>
                    <w:rPr>
                      <w:rFonts w:hint="eastAsia"/>
                      <w:color w:val="auto"/>
                      <w:highlight w:val="none"/>
                      <w:lang w:val="en-US" w:eastAsia="zh-CN"/>
                    </w:rPr>
                  </w:pPr>
                </w:p>
              </w:tc>
              <w:tc>
                <w:tcPr>
                  <w:tcW w:w="461" w:type="pct"/>
                  <w:vMerge w:val="continue"/>
                  <w:tcBorders>
                    <w:tl2br w:val="nil"/>
                    <w:tr2bl w:val="nil"/>
                  </w:tcBorders>
                  <w:noWrap w:val="0"/>
                  <w:vAlign w:val="center"/>
                </w:tcPr>
                <w:p w14:paraId="5FDE7770">
                  <w:pPr>
                    <w:bidi w:val="0"/>
                    <w:jc w:val="center"/>
                    <w:rPr>
                      <w:rFonts w:hint="eastAsia"/>
                      <w:color w:val="auto"/>
                      <w:highlight w:val="none"/>
                      <w:lang w:val="en-US" w:eastAsia="zh-CN"/>
                    </w:rPr>
                  </w:pPr>
                </w:p>
              </w:tc>
              <w:tc>
                <w:tcPr>
                  <w:tcW w:w="436" w:type="pct"/>
                  <w:tcBorders>
                    <w:tl2br w:val="nil"/>
                    <w:tr2bl w:val="nil"/>
                  </w:tcBorders>
                  <w:noWrap w:val="0"/>
                  <w:vAlign w:val="center"/>
                </w:tcPr>
                <w:p w14:paraId="6309D9DB">
                  <w:pPr>
                    <w:bidi w:val="0"/>
                    <w:jc w:val="center"/>
                    <w:rPr>
                      <w:rFonts w:hint="eastAsia"/>
                      <w:color w:val="auto"/>
                      <w:highlight w:val="none"/>
                      <w:lang w:val="en-US" w:eastAsia="zh-CN"/>
                    </w:rPr>
                  </w:pPr>
                  <w:r>
                    <w:rPr>
                      <w:rFonts w:hint="eastAsia"/>
                      <w:color w:val="auto"/>
                      <w:highlight w:val="none"/>
                      <w:lang w:val="en-US" w:eastAsia="zh-CN"/>
                    </w:rPr>
                    <w:t>400</w:t>
                  </w:r>
                </w:p>
              </w:tc>
              <w:tc>
                <w:tcPr>
                  <w:tcW w:w="933" w:type="pct"/>
                  <w:vMerge w:val="continue"/>
                  <w:tcBorders>
                    <w:tl2br w:val="nil"/>
                    <w:tr2bl w:val="nil"/>
                  </w:tcBorders>
                  <w:noWrap w:val="0"/>
                  <w:vAlign w:val="center"/>
                </w:tcPr>
                <w:p w14:paraId="0DA04DF0">
                  <w:pPr>
                    <w:bidi w:val="0"/>
                    <w:jc w:val="center"/>
                    <w:rPr>
                      <w:color w:val="auto"/>
                      <w:highlight w:val="none"/>
                    </w:rPr>
                  </w:pPr>
                </w:p>
              </w:tc>
            </w:tr>
            <w:tr w14:paraId="797D3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2A148D37">
                  <w:pPr>
                    <w:bidi w:val="0"/>
                    <w:jc w:val="center"/>
                    <w:rPr>
                      <w:rFonts w:hint="eastAsia"/>
                      <w:color w:val="auto"/>
                      <w:highlight w:val="none"/>
                      <w:lang w:val="en-US" w:eastAsia="zh-CN"/>
                    </w:rPr>
                  </w:pPr>
                </w:p>
              </w:tc>
              <w:tc>
                <w:tcPr>
                  <w:tcW w:w="304" w:type="pct"/>
                  <w:vMerge w:val="continue"/>
                  <w:tcBorders>
                    <w:tl2br w:val="nil"/>
                    <w:tr2bl w:val="nil"/>
                  </w:tcBorders>
                  <w:noWrap w:val="0"/>
                  <w:vAlign w:val="center"/>
                </w:tcPr>
                <w:p w14:paraId="63315B02">
                  <w:pPr>
                    <w:bidi w:val="0"/>
                    <w:jc w:val="center"/>
                    <w:rPr>
                      <w:rFonts w:hint="eastAsia"/>
                      <w:color w:val="auto"/>
                      <w:highlight w:val="none"/>
                      <w:lang w:val="en-US" w:eastAsia="zh-CN"/>
                    </w:rPr>
                  </w:pPr>
                </w:p>
              </w:tc>
              <w:tc>
                <w:tcPr>
                  <w:tcW w:w="377" w:type="pct"/>
                  <w:tcBorders>
                    <w:tl2br w:val="nil"/>
                    <w:tr2bl w:val="nil"/>
                  </w:tcBorders>
                  <w:shd w:val="clear" w:color="auto" w:fill="auto"/>
                  <w:noWrap w:val="0"/>
                  <w:vAlign w:val="center"/>
                </w:tcPr>
                <w:p w14:paraId="7431CFCD">
                  <w:pPr>
                    <w:bidi w:val="0"/>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NH</w:t>
                  </w:r>
                  <w:r>
                    <w:rPr>
                      <w:rFonts w:hint="eastAsia"/>
                      <w:color w:val="auto"/>
                      <w:highlight w:val="none"/>
                      <w:vertAlign w:val="subscript"/>
                      <w:lang w:val="en-US" w:eastAsia="zh-CN"/>
                    </w:rPr>
                    <w:t>3</w:t>
                  </w:r>
                  <w:r>
                    <w:rPr>
                      <w:rFonts w:hint="eastAsia"/>
                      <w:color w:val="auto"/>
                      <w:highlight w:val="none"/>
                      <w:lang w:val="en-US" w:eastAsia="zh-CN"/>
                    </w:rPr>
                    <w:t>-N</w:t>
                  </w:r>
                </w:p>
              </w:tc>
              <w:tc>
                <w:tcPr>
                  <w:tcW w:w="351" w:type="pct"/>
                  <w:vMerge w:val="continue"/>
                  <w:tcBorders>
                    <w:tl2br w:val="nil"/>
                    <w:tr2bl w:val="nil"/>
                  </w:tcBorders>
                  <w:noWrap w:val="0"/>
                  <w:vAlign w:val="center"/>
                </w:tcPr>
                <w:p w14:paraId="56E48B3D">
                  <w:pPr>
                    <w:bidi w:val="0"/>
                    <w:jc w:val="center"/>
                    <w:rPr>
                      <w:rFonts w:hint="eastAsia"/>
                      <w:color w:val="auto"/>
                      <w:highlight w:val="none"/>
                      <w:lang w:val="en-US" w:eastAsia="zh-CN"/>
                    </w:rPr>
                  </w:pPr>
                </w:p>
              </w:tc>
              <w:tc>
                <w:tcPr>
                  <w:tcW w:w="503" w:type="pct"/>
                  <w:vMerge w:val="continue"/>
                  <w:tcBorders>
                    <w:tl2br w:val="nil"/>
                    <w:tr2bl w:val="nil"/>
                  </w:tcBorders>
                  <w:noWrap w:val="0"/>
                  <w:vAlign w:val="center"/>
                </w:tcPr>
                <w:p w14:paraId="718F4C03">
                  <w:pPr>
                    <w:bidi w:val="0"/>
                    <w:jc w:val="center"/>
                    <w:rPr>
                      <w:rFonts w:hint="eastAsia"/>
                      <w:color w:val="auto"/>
                      <w:highlight w:val="none"/>
                      <w:lang w:val="en-US" w:eastAsia="zh-CN"/>
                    </w:rPr>
                  </w:pPr>
                </w:p>
              </w:tc>
              <w:tc>
                <w:tcPr>
                  <w:tcW w:w="380" w:type="pct"/>
                  <w:vMerge w:val="continue"/>
                  <w:tcBorders>
                    <w:tl2br w:val="nil"/>
                    <w:tr2bl w:val="nil"/>
                  </w:tcBorders>
                  <w:noWrap w:val="0"/>
                  <w:vAlign w:val="center"/>
                </w:tcPr>
                <w:p w14:paraId="35214DEE">
                  <w:pPr>
                    <w:bidi w:val="0"/>
                    <w:jc w:val="center"/>
                    <w:rPr>
                      <w:color w:val="auto"/>
                      <w:highlight w:val="none"/>
                    </w:rPr>
                  </w:pPr>
                </w:p>
              </w:tc>
              <w:tc>
                <w:tcPr>
                  <w:tcW w:w="258" w:type="pct"/>
                  <w:vMerge w:val="continue"/>
                  <w:tcBorders>
                    <w:tl2br w:val="nil"/>
                    <w:tr2bl w:val="nil"/>
                  </w:tcBorders>
                  <w:noWrap w:val="0"/>
                  <w:vAlign w:val="center"/>
                </w:tcPr>
                <w:p w14:paraId="052631C9">
                  <w:pPr>
                    <w:bidi w:val="0"/>
                    <w:jc w:val="center"/>
                    <w:rPr>
                      <w:rFonts w:hint="eastAsia"/>
                      <w:color w:val="auto"/>
                      <w:highlight w:val="none"/>
                      <w:lang w:val="en-US" w:eastAsia="zh-CN"/>
                    </w:rPr>
                  </w:pPr>
                </w:p>
              </w:tc>
              <w:tc>
                <w:tcPr>
                  <w:tcW w:w="541" w:type="pct"/>
                  <w:vMerge w:val="continue"/>
                  <w:tcBorders>
                    <w:tl2br w:val="nil"/>
                    <w:tr2bl w:val="nil"/>
                  </w:tcBorders>
                  <w:noWrap w:val="0"/>
                  <w:vAlign w:val="center"/>
                </w:tcPr>
                <w:p w14:paraId="1A3FBB14">
                  <w:pPr>
                    <w:bidi w:val="0"/>
                    <w:jc w:val="center"/>
                    <w:rPr>
                      <w:rFonts w:hint="eastAsia"/>
                      <w:color w:val="auto"/>
                      <w:highlight w:val="none"/>
                      <w:lang w:val="en-US" w:eastAsia="zh-CN"/>
                    </w:rPr>
                  </w:pPr>
                </w:p>
              </w:tc>
              <w:tc>
                <w:tcPr>
                  <w:tcW w:w="461" w:type="pct"/>
                  <w:vMerge w:val="continue"/>
                  <w:tcBorders>
                    <w:tl2br w:val="nil"/>
                    <w:tr2bl w:val="nil"/>
                  </w:tcBorders>
                  <w:noWrap w:val="0"/>
                  <w:vAlign w:val="center"/>
                </w:tcPr>
                <w:p w14:paraId="3CDF5BF6">
                  <w:pPr>
                    <w:bidi w:val="0"/>
                    <w:jc w:val="center"/>
                    <w:rPr>
                      <w:rFonts w:hint="eastAsia"/>
                      <w:color w:val="auto"/>
                      <w:highlight w:val="none"/>
                      <w:lang w:val="en-US" w:eastAsia="zh-CN"/>
                    </w:rPr>
                  </w:pPr>
                </w:p>
              </w:tc>
              <w:tc>
                <w:tcPr>
                  <w:tcW w:w="436" w:type="pct"/>
                  <w:tcBorders>
                    <w:tl2br w:val="nil"/>
                    <w:tr2bl w:val="nil"/>
                  </w:tcBorders>
                  <w:noWrap w:val="0"/>
                  <w:vAlign w:val="center"/>
                </w:tcPr>
                <w:p w14:paraId="70FEF275">
                  <w:pPr>
                    <w:bidi w:val="0"/>
                    <w:jc w:val="center"/>
                    <w:rPr>
                      <w:rFonts w:hint="eastAsia"/>
                      <w:color w:val="auto"/>
                      <w:highlight w:val="none"/>
                      <w:lang w:val="en-US" w:eastAsia="zh-CN"/>
                    </w:rPr>
                  </w:pPr>
                  <w:r>
                    <w:rPr>
                      <w:rFonts w:hint="eastAsia"/>
                      <w:color w:val="auto"/>
                      <w:highlight w:val="none"/>
                      <w:lang w:val="en-US" w:eastAsia="zh-CN"/>
                    </w:rPr>
                    <w:t>45</w:t>
                  </w:r>
                </w:p>
              </w:tc>
              <w:tc>
                <w:tcPr>
                  <w:tcW w:w="933" w:type="pct"/>
                  <w:vMerge w:val="continue"/>
                  <w:tcBorders>
                    <w:tl2br w:val="nil"/>
                    <w:tr2bl w:val="nil"/>
                  </w:tcBorders>
                  <w:noWrap w:val="0"/>
                  <w:vAlign w:val="center"/>
                </w:tcPr>
                <w:p w14:paraId="0F1BDEAA">
                  <w:pPr>
                    <w:bidi w:val="0"/>
                    <w:jc w:val="center"/>
                    <w:rPr>
                      <w:color w:val="auto"/>
                      <w:highlight w:val="none"/>
                    </w:rPr>
                  </w:pPr>
                </w:p>
              </w:tc>
            </w:tr>
            <w:tr w14:paraId="732FA1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4AD450CC">
                  <w:pPr>
                    <w:bidi w:val="0"/>
                    <w:jc w:val="center"/>
                    <w:rPr>
                      <w:rFonts w:hint="eastAsia"/>
                      <w:color w:val="auto"/>
                      <w:highlight w:val="none"/>
                      <w:lang w:val="en-US" w:eastAsia="zh-CN"/>
                    </w:rPr>
                  </w:pPr>
                </w:p>
              </w:tc>
              <w:tc>
                <w:tcPr>
                  <w:tcW w:w="304" w:type="pct"/>
                  <w:vMerge w:val="continue"/>
                  <w:tcBorders>
                    <w:tl2br w:val="nil"/>
                    <w:tr2bl w:val="nil"/>
                  </w:tcBorders>
                  <w:noWrap w:val="0"/>
                  <w:vAlign w:val="center"/>
                </w:tcPr>
                <w:p w14:paraId="7BEABE91">
                  <w:pPr>
                    <w:bidi w:val="0"/>
                    <w:jc w:val="center"/>
                    <w:rPr>
                      <w:rFonts w:hint="eastAsia"/>
                      <w:color w:val="auto"/>
                      <w:highlight w:val="none"/>
                      <w:lang w:val="en-US" w:eastAsia="zh-CN"/>
                    </w:rPr>
                  </w:pPr>
                </w:p>
              </w:tc>
              <w:tc>
                <w:tcPr>
                  <w:tcW w:w="377" w:type="pct"/>
                  <w:tcBorders>
                    <w:tl2br w:val="nil"/>
                    <w:tr2bl w:val="nil"/>
                  </w:tcBorders>
                  <w:shd w:val="clear" w:color="auto" w:fill="auto"/>
                  <w:noWrap w:val="0"/>
                  <w:vAlign w:val="center"/>
                </w:tcPr>
                <w:p w14:paraId="2857F92C">
                  <w:pPr>
                    <w:bidi w:val="0"/>
                    <w:jc w:val="center"/>
                    <w:rPr>
                      <w:rFonts w:hint="default"/>
                      <w:color w:val="auto"/>
                      <w:highlight w:val="none"/>
                      <w:lang w:val="en-US" w:eastAsia="zh-CN"/>
                    </w:rPr>
                  </w:pPr>
                  <w:r>
                    <w:rPr>
                      <w:rFonts w:hint="eastAsia"/>
                      <w:color w:val="auto"/>
                      <w:highlight w:val="none"/>
                      <w:lang w:val="en-US" w:eastAsia="zh-CN"/>
                    </w:rPr>
                    <w:t>TP</w:t>
                  </w:r>
                </w:p>
              </w:tc>
              <w:tc>
                <w:tcPr>
                  <w:tcW w:w="351" w:type="pct"/>
                  <w:vMerge w:val="continue"/>
                  <w:tcBorders>
                    <w:tl2br w:val="nil"/>
                    <w:tr2bl w:val="nil"/>
                  </w:tcBorders>
                  <w:noWrap w:val="0"/>
                  <w:vAlign w:val="center"/>
                </w:tcPr>
                <w:p w14:paraId="59BC5969">
                  <w:pPr>
                    <w:bidi w:val="0"/>
                    <w:jc w:val="center"/>
                    <w:rPr>
                      <w:rFonts w:hint="eastAsia"/>
                      <w:color w:val="auto"/>
                      <w:highlight w:val="none"/>
                      <w:lang w:val="en-US" w:eastAsia="zh-CN"/>
                    </w:rPr>
                  </w:pPr>
                </w:p>
              </w:tc>
              <w:tc>
                <w:tcPr>
                  <w:tcW w:w="503" w:type="pct"/>
                  <w:vMerge w:val="continue"/>
                  <w:tcBorders>
                    <w:tl2br w:val="nil"/>
                    <w:tr2bl w:val="nil"/>
                  </w:tcBorders>
                  <w:noWrap w:val="0"/>
                  <w:vAlign w:val="center"/>
                </w:tcPr>
                <w:p w14:paraId="3D33CEE1">
                  <w:pPr>
                    <w:bidi w:val="0"/>
                    <w:jc w:val="center"/>
                    <w:rPr>
                      <w:rFonts w:hint="eastAsia"/>
                      <w:color w:val="auto"/>
                      <w:highlight w:val="none"/>
                      <w:lang w:val="en-US" w:eastAsia="zh-CN"/>
                    </w:rPr>
                  </w:pPr>
                </w:p>
              </w:tc>
              <w:tc>
                <w:tcPr>
                  <w:tcW w:w="380" w:type="pct"/>
                  <w:vMerge w:val="continue"/>
                  <w:tcBorders>
                    <w:tl2br w:val="nil"/>
                    <w:tr2bl w:val="nil"/>
                  </w:tcBorders>
                  <w:noWrap w:val="0"/>
                  <w:vAlign w:val="center"/>
                </w:tcPr>
                <w:p w14:paraId="4B72CD09">
                  <w:pPr>
                    <w:bidi w:val="0"/>
                    <w:jc w:val="center"/>
                    <w:rPr>
                      <w:color w:val="auto"/>
                      <w:highlight w:val="none"/>
                    </w:rPr>
                  </w:pPr>
                </w:p>
              </w:tc>
              <w:tc>
                <w:tcPr>
                  <w:tcW w:w="258" w:type="pct"/>
                  <w:vMerge w:val="continue"/>
                  <w:tcBorders>
                    <w:tl2br w:val="nil"/>
                    <w:tr2bl w:val="nil"/>
                  </w:tcBorders>
                  <w:noWrap w:val="0"/>
                  <w:vAlign w:val="center"/>
                </w:tcPr>
                <w:p w14:paraId="34374384">
                  <w:pPr>
                    <w:bidi w:val="0"/>
                    <w:jc w:val="center"/>
                    <w:rPr>
                      <w:rFonts w:hint="eastAsia"/>
                      <w:color w:val="auto"/>
                      <w:highlight w:val="none"/>
                      <w:lang w:val="en-US" w:eastAsia="zh-CN"/>
                    </w:rPr>
                  </w:pPr>
                </w:p>
              </w:tc>
              <w:tc>
                <w:tcPr>
                  <w:tcW w:w="541" w:type="pct"/>
                  <w:vMerge w:val="continue"/>
                  <w:tcBorders>
                    <w:tl2br w:val="nil"/>
                    <w:tr2bl w:val="nil"/>
                  </w:tcBorders>
                  <w:noWrap w:val="0"/>
                  <w:vAlign w:val="center"/>
                </w:tcPr>
                <w:p w14:paraId="749A6393">
                  <w:pPr>
                    <w:bidi w:val="0"/>
                    <w:jc w:val="center"/>
                    <w:rPr>
                      <w:rFonts w:hint="eastAsia"/>
                      <w:color w:val="auto"/>
                      <w:highlight w:val="none"/>
                      <w:lang w:val="en-US" w:eastAsia="zh-CN"/>
                    </w:rPr>
                  </w:pPr>
                </w:p>
              </w:tc>
              <w:tc>
                <w:tcPr>
                  <w:tcW w:w="461" w:type="pct"/>
                  <w:vMerge w:val="continue"/>
                  <w:tcBorders>
                    <w:tl2br w:val="nil"/>
                    <w:tr2bl w:val="nil"/>
                  </w:tcBorders>
                  <w:noWrap w:val="0"/>
                  <w:vAlign w:val="center"/>
                </w:tcPr>
                <w:p w14:paraId="45ECDFC8">
                  <w:pPr>
                    <w:bidi w:val="0"/>
                    <w:jc w:val="center"/>
                    <w:rPr>
                      <w:rFonts w:hint="eastAsia"/>
                      <w:color w:val="auto"/>
                      <w:highlight w:val="none"/>
                      <w:lang w:val="en-US" w:eastAsia="zh-CN"/>
                    </w:rPr>
                  </w:pPr>
                </w:p>
              </w:tc>
              <w:tc>
                <w:tcPr>
                  <w:tcW w:w="436" w:type="pct"/>
                  <w:tcBorders>
                    <w:tl2br w:val="nil"/>
                    <w:tr2bl w:val="nil"/>
                  </w:tcBorders>
                  <w:noWrap w:val="0"/>
                  <w:vAlign w:val="center"/>
                </w:tcPr>
                <w:p w14:paraId="107C8B44">
                  <w:pPr>
                    <w:bidi w:val="0"/>
                    <w:jc w:val="center"/>
                    <w:rPr>
                      <w:rFonts w:hint="default"/>
                      <w:color w:val="auto"/>
                      <w:highlight w:val="none"/>
                      <w:lang w:val="en-US" w:eastAsia="zh-CN"/>
                    </w:rPr>
                  </w:pPr>
                  <w:r>
                    <w:rPr>
                      <w:rFonts w:hint="eastAsia"/>
                      <w:color w:val="auto"/>
                      <w:highlight w:val="none"/>
                      <w:lang w:val="en-US" w:eastAsia="zh-CN"/>
                    </w:rPr>
                    <w:t>70</w:t>
                  </w:r>
                </w:p>
              </w:tc>
              <w:tc>
                <w:tcPr>
                  <w:tcW w:w="933" w:type="pct"/>
                  <w:vMerge w:val="continue"/>
                  <w:tcBorders>
                    <w:tl2br w:val="nil"/>
                    <w:tr2bl w:val="nil"/>
                  </w:tcBorders>
                  <w:noWrap w:val="0"/>
                  <w:vAlign w:val="center"/>
                </w:tcPr>
                <w:p w14:paraId="0B52389A">
                  <w:pPr>
                    <w:bidi w:val="0"/>
                    <w:jc w:val="center"/>
                    <w:rPr>
                      <w:color w:val="auto"/>
                      <w:highlight w:val="none"/>
                    </w:rPr>
                  </w:pPr>
                </w:p>
              </w:tc>
            </w:tr>
            <w:tr w14:paraId="3D323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1" w:type="pct"/>
                  <w:vMerge w:val="continue"/>
                  <w:tcBorders>
                    <w:tl2br w:val="nil"/>
                    <w:tr2bl w:val="nil"/>
                  </w:tcBorders>
                  <w:noWrap w:val="0"/>
                  <w:vAlign w:val="center"/>
                </w:tcPr>
                <w:p w14:paraId="19C2A429">
                  <w:pPr>
                    <w:bidi w:val="0"/>
                    <w:jc w:val="center"/>
                    <w:rPr>
                      <w:rFonts w:hint="eastAsia"/>
                      <w:color w:val="auto"/>
                      <w:highlight w:val="none"/>
                      <w:lang w:val="en-US" w:eastAsia="zh-CN"/>
                    </w:rPr>
                  </w:pPr>
                </w:p>
              </w:tc>
              <w:tc>
                <w:tcPr>
                  <w:tcW w:w="304" w:type="pct"/>
                  <w:vMerge w:val="continue"/>
                  <w:tcBorders>
                    <w:tl2br w:val="nil"/>
                    <w:tr2bl w:val="nil"/>
                  </w:tcBorders>
                  <w:noWrap w:val="0"/>
                  <w:vAlign w:val="center"/>
                </w:tcPr>
                <w:p w14:paraId="24BD100F">
                  <w:pPr>
                    <w:bidi w:val="0"/>
                    <w:jc w:val="center"/>
                    <w:rPr>
                      <w:rFonts w:hint="eastAsia"/>
                      <w:color w:val="auto"/>
                      <w:highlight w:val="none"/>
                      <w:lang w:val="en-US" w:eastAsia="zh-CN"/>
                    </w:rPr>
                  </w:pPr>
                </w:p>
              </w:tc>
              <w:tc>
                <w:tcPr>
                  <w:tcW w:w="377" w:type="pct"/>
                  <w:tcBorders>
                    <w:tl2br w:val="nil"/>
                    <w:tr2bl w:val="nil"/>
                  </w:tcBorders>
                  <w:shd w:val="clear" w:color="auto" w:fill="auto"/>
                  <w:noWrap w:val="0"/>
                  <w:vAlign w:val="center"/>
                </w:tcPr>
                <w:p w14:paraId="5F86F071">
                  <w:pPr>
                    <w:bidi w:val="0"/>
                    <w:jc w:val="center"/>
                    <w:rPr>
                      <w:rFonts w:hint="default"/>
                      <w:color w:val="auto"/>
                      <w:highlight w:val="none"/>
                      <w:lang w:val="en-US" w:eastAsia="zh-CN"/>
                    </w:rPr>
                  </w:pPr>
                  <w:r>
                    <w:rPr>
                      <w:rFonts w:hint="eastAsia"/>
                      <w:color w:val="auto"/>
                      <w:highlight w:val="none"/>
                      <w:lang w:val="en-US" w:eastAsia="zh-CN"/>
                    </w:rPr>
                    <w:t>TN</w:t>
                  </w:r>
                </w:p>
              </w:tc>
              <w:tc>
                <w:tcPr>
                  <w:tcW w:w="351" w:type="pct"/>
                  <w:vMerge w:val="continue"/>
                  <w:tcBorders>
                    <w:tl2br w:val="nil"/>
                    <w:tr2bl w:val="nil"/>
                  </w:tcBorders>
                  <w:noWrap w:val="0"/>
                  <w:vAlign w:val="center"/>
                </w:tcPr>
                <w:p w14:paraId="57AD9882">
                  <w:pPr>
                    <w:bidi w:val="0"/>
                    <w:jc w:val="center"/>
                    <w:rPr>
                      <w:rFonts w:hint="eastAsia"/>
                      <w:color w:val="auto"/>
                      <w:highlight w:val="none"/>
                      <w:lang w:val="en-US" w:eastAsia="zh-CN"/>
                    </w:rPr>
                  </w:pPr>
                </w:p>
              </w:tc>
              <w:tc>
                <w:tcPr>
                  <w:tcW w:w="503" w:type="pct"/>
                  <w:vMerge w:val="continue"/>
                  <w:tcBorders>
                    <w:tl2br w:val="nil"/>
                    <w:tr2bl w:val="nil"/>
                  </w:tcBorders>
                  <w:noWrap w:val="0"/>
                  <w:vAlign w:val="center"/>
                </w:tcPr>
                <w:p w14:paraId="1D41AE64">
                  <w:pPr>
                    <w:bidi w:val="0"/>
                    <w:jc w:val="center"/>
                    <w:rPr>
                      <w:rFonts w:hint="eastAsia"/>
                      <w:color w:val="auto"/>
                      <w:highlight w:val="none"/>
                      <w:lang w:val="en-US" w:eastAsia="zh-CN"/>
                    </w:rPr>
                  </w:pPr>
                </w:p>
              </w:tc>
              <w:tc>
                <w:tcPr>
                  <w:tcW w:w="380" w:type="pct"/>
                  <w:vMerge w:val="continue"/>
                  <w:tcBorders>
                    <w:tl2br w:val="nil"/>
                    <w:tr2bl w:val="nil"/>
                  </w:tcBorders>
                  <w:noWrap w:val="0"/>
                  <w:vAlign w:val="center"/>
                </w:tcPr>
                <w:p w14:paraId="2F7531D0">
                  <w:pPr>
                    <w:bidi w:val="0"/>
                    <w:jc w:val="center"/>
                    <w:rPr>
                      <w:color w:val="auto"/>
                      <w:highlight w:val="none"/>
                    </w:rPr>
                  </w:pPr>
                </w:p>
              </w:tc>
              <w:tc>
                <w:tcPr>
                  <w:tcW w:w="258" w:type="pct"/>
                  <w:vMerge w:val="continue"/>
                  <w:tcBorders>
                    <w:tl2br w:val="nil"/>
                    <w:tr2bl w:val="nil"/>
                  </w:tcBorders>
                  <w:noWrap w:val="0"/>
                  <w:vAlign w:val="center"/>
                </w:tcPr>
                <w:p w14:paraId="1BAB0138">
                  <w:pPr>
                    <w:bidi w:val="0"/>
                    <w:jc w:val="center"/>
                    <w:rPr>
                      <w:rFonts w:hint="eastAsia"/>
                      <w:color w:val="auto"/>
                      <w:highlight w:val="none"/>
                      <w:lang w:val="en-US" w:eastAsia="zh-CN"/>
                    </w:rPr>
                  </w:pPr>
                </w:p>
              </w:tc>
              <w:tc>
                <w:tcPr>
                  <w:tcW w:w="541" w:type="pct"/>
                  <w:vMerge w:val="continue"/>
                  <w:tcBorders>
                    <w:tl2br w:val="nil"/>
                    <w:tr2bl w:val="nil"/>
                  </w:tcBorders>
                  <w:noWrap w:val="0"/>
                  <w:vAlign w:val="center"/>
                </w:tcPr>
                <w:p w14:paraId="55F2D80E">
                  <w:pPr>
                    <w:bidi w:val="0"/>
                    <w:jc w:val="center"/>
                    <w:rPr>
                      <w:rFonts w:hint="eastAsia"/>
                      <w:color w:val="auto"/>
                      <w:highlight w:val="none"/>
                      <w:lang w:val="en-US" w:eastAsia="zh-CN"/>
                    </w:rPr>
                  </w:pPr>
                </w:p>
              </w:tc>
              <w:tc>
                <w:tcPr>
                  <w:tcW w:w="461" w:type="pct"/>
                  <w:vMerge w:val="continue"/>
                  <w:tcBorders>
                    <w:tl2br w:val="nil"/>
                    <w:tr2bl w:val="nil"/>
                  </w:tcBorders>
                  <w:noWrap w:val="0"/>
                  <w:vAlign w:val="center"/>
                </w:tcPr>
                <w:p w14:paraId="3D9AE795">
                  <w:pPr>
                    <w:bidi w:val="0"/>
                    <w:jc w:val="center"/>
                    <w:rPr>
                      <w:rFonts w:hint="eastAsia"/>
                      <w:color w:val="auto"/>
                      <w:highlight w:val="none"/>
                      <w:lang w:val="en-US" w:eastAsia="zh-CN"/>
                    </w:rPr>
                  </w:pPr>
                </w:p>
              </w:tc>
              <w:tc>
                <w:tcPr>
                  <w:tcW w:w="436" w:type="pct"/>
                  <w:tcBorders>
                    <w:tl2br w:val="nil"/>
                    <w:tr2bl w:val="nil"/>
                  </w:tcBorders>
                  <w:noWrap w:val="0"/>
                  <w:vAlign w:val="center"/>
                </w:tcPr>
                <w:p w14:paraId="26CE3640">
                  <w:pPr>
                    <w:bidi w:val="0"/>
                    <w:jc w:val="center"/>
                    <w:rPr>
                      <w:rFonts w:hint="default"/>
                      <w:color w:val="auto"/>
                      <w:highlight w:val="none"/>
                      <w:lang w:val="en-US" w:eastAsia="zh-CN"/>
                    </w:rPr>
                  </w:pPr>
                  <w:r>
                    <w:rPr>
                      <w:rFonts w:hint="eastAsia"/>
                      <w:color w:val="auto"/>
                      <w:highlight w:val="none"/>
                      <w:lang w:val="en-US" w:eastAsia="zh-CN"/>
                    </w:rPr>
                    <w:t>8</w:t>
                  </w:r>
                </w:p>
              </w:tc>
              <w:tc>
                <w:tcPr>
                  <w:tcW w:w="933" w:type="pct"/>
                  <w:vMerge w:val="continue"/>
                  <w:tcBorders>
                    <w:tl2br w:val="nil"/>
                    <w:tr2bl w:val="nil"/>
                  </w:tcBorders>
                  <w:noWrap w:val="0"/>
                  <w:vAlign w:val="center"/>
                </w:tcPr>
                <w:p w14:paraId="6A53E056">
                  <w:pPr>
                    <w:bidi w:val="0"/>
                    <w:jc w:val="center"/>
                    <w:rPr>
                      <w:color w:val="auto"/>
                      <w:highlight w:val="none"/>
                    </w:rPr>
                  </w:pPr>
                </w:p>
              </w:tc>
            </w:tr>
          </w:tbl>
          <w:p w14:paraId="6BD9221D">
            <w:pPr>
              <w:pStyle w:val="25"/>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0" w:firstLineChars="0"/>
              <w:jc w:val="both"/>
              <w:textAlignment w:val="auto"/>
              <w:rPr>
                <w:rFonts w:hint="default" w:hAnsi="Cambria Math" w:cs="Times New Roman"/>
                <w:bCs w:val="0"/>
                <w:i w:val="0"/>
                <w:color w:val="auto"/>
                <w:kern w:val="2"/>
                <w:sz w:val="24"/>
                <w:szCs w:val="24"/>
                <w:highlight w:val="none"/>
                <w:lang w:val="en-US" w:eastAsia="zh-CN" w:bidi="ar-SA"/>
              </w:rPr>
            </w:pPr>
          </w:p>
        </w:tc>
      </w:tr>
      <w:tr w14:paraId="2BEFA5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2" w:type="pct"/>
            <w:noWrap w:val="0"/>
            <w:tcMar>
              <w:left w:w="28" w:type="dxa"/>
              <w:right w:w="28" w:type="dxa"/>
            </w:tcMar>
            <w:vAlign w:val="center"/>
          </w:tcPr>
          <w:p w14:paraId="587F7D11">
            <w:pPr>
              <w:adjustRightInd w:val="0"/>
              <w:snapToGrid w:val="0"/>
              <w:jc w:val="center"/>
              <w:rPr>
                <w:rFonts w:hint="default" w:ascii="Times New Roman" w:hAnsi="Times New Roman" w:eastAsia="宋体" w:cs="Times New Roman"/>
                <w:b/>
                <w:bCs w:val="0"/>
                <w:color w:val="auto"/>
                <w:sz w:val="24"/>
                <w:szCs w:val="24"/>
                <w:highlight w:val="none"/>
              </w:rPr>
            </w:pPr>
          </w:p>
        </w:tc>
        <w:tc>
          <w:tcPr>
            <w:tcW w:w="4647" w:type="pct"/>
            <w:noWrap w:val="0"/>
            <w:vAlign w:val="center"/>
          </w:tcPr>
          <w:p w14:paraId="6ACCCC52">
            <w:pPr>
              <w:pStyle w:val="25"/>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default" w:hAnsi="Cambria Math" w:cs="Times New Roman"/>
                <w:bCs w:val="0"/>
                <w:i w:val="0"/>
                <w:color w:val="auto"/>
                <w:kern w:val="2"/>
                <w:sz w:val="24"/>
                <w:szCs w:val="24"/>
                <w:highlight w:val="none"/>
                <w:lang w:val="en-US" w:eastAsia="zh-CN" w:bidi="ar-SA"/>
              </w:rPr>
            </w:pPr>
          </w:p>
        </w:tc>
      </w:tr>
    </w:tbl>
    <w:p w14:paraId="4A9E6490">
      <w:pPr>
        <w:rPr>
          <w:color w:val="auto"/>
          <w:highlight w:val="none"/>
        </w:rPr>
        <w:sectPr>
          <w:pgSz w:w="16840" w:h="11907" w:orient="landscape"/>
          <w:pgMar w:top="1440" w:right="1803" w:bottom="1440" w:left="1803"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30"/>
        <w:tblW w:w="49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0"/>
        <w:gridCol w:w="7773"/>
      </w:tblGrid>
      <w:tr w14:paraId="345A4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8" w:type="pct"/>
            <w:noWrap w:val="0"/>
            <w:tcMar>
              <w:left w:w="28" w:type="dxa"/>
              <w:right w:w="28" w:type="dxa"/>
            </w:tcMar>
            <w:vAlign w:val="center"/>
          </w:tcPr>
          <w:p w14:paraId="05D2C7EB">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运营</w:t>
            </w:r>
          </w:p>
          <w:p w14:paraId="1789882E">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期环</w:t>
            </w:r>
          </w:p>
          <w:p w14:paraId="00B147A0">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境影</w:t>
            </w:r>
          </w:p>
          <w:p w14:paraId="1EBD3519">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响和</w:t>
            </w:r>
          </w:p>
          <w:p w14:paraId="20A725CC">
            <w:pPr>
              <w:adjustRightInd w:val="0"/>
              <w:snapToGrid w:val="0"/>
              <w:jc w:val="center"/>
              <w:rPr>
                <w:rFonts w:hint="default" w:ascii="Times New Roman" w:hAnsi="Times New Roman" w:eastAsia="宋体" w:cs="Times New Roman"/>
                <w:b/>
                <w:bCs w:val="0"/>
                <w:color w:val="auto"/>
                <w:sz w:val="24"/>
                <w:szCs w:val="24"/>
                <w:highlight w:val="none"/>
              </w:rPr>
            </w:pPr>
            <w:r>
              <w:rPr>
                <w:rFonts w:hint="default" w:ascii="Times New Roman" w:hAnsi="Times New Roman" w:eastAsia="宋体" w:cs="Times New Roman"/>
                <w:b/>
                <w:bCs w:val="0"/>
                <w:color w:val="auto"/>
                <w:sz w:val="24"/>
                <w:szCs w:val="24"/>
                <w:highlight w:val="none"/>
              </w:rPr>
              <w:t>保护</w:t>
            </w:r>
          </w:p>
          <w:p w14:paraId="0EC96D86">
            <w:pPr>
              <w:adjustRightInd w:val="0"/>
              <w:snapToGrid w:val="0"/>
              <w:jc w:val="center"/>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bCs w:val="0"/>
                <w:color w:val="auto"/>
                <w:sz w:val="24"/>
                <w:szCs w:val="24"/>
                <w:highlight w:val="none"/>
              </w:rPr>
              <w:t>措施</w:t>
            </w:r>
          </w:p>
        </w:tc>
        <w:tc>
          <w:tcPr>
            <w:tcW w:w="4641" w:type="pct"/>
            <w:noWrap w:val="0"/>
            <w:vAlign w:val="center"/>
          </w:tcPr>
          <w:p w14:paraId="150D9A7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 xml:space="preserve">2.5 </w:t>
            </w:r>
            <w:r>
              <w:rPr>
                <w:rFonts w:hint="eastAsia" w:ascii="Times New Roman" w:hAnsi="Times New Roman" w:eastAsia="宋体" w:cs="Times New Roman"/>
                <w:b/>
                <w:bCs/>
                <w:color w:val="auto"/>
                <w:kern w:val="2"/>
                <w:sz w:val="24"/>
                <w:szCs w:val="24"/>
                <w:highlight w:val="none"/>
                <w:lang w:val="en-US" w:eastAsia="zh-CN" w:bidi="ar-SA"/>
              </w:rPr>
              <w:t>监测要求</w:t>
            </w:r>
          </w:p>
          <w:p w14:paraId="3865AAA6">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75"/>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有关废水监测项目及</w:t>
            </w:r>
            <w:r>
              <w:rPr>
                <w:rFonts w:hint="eastAsia" w:cs="Times New Roman"/>
                <w:b w:val="0"/>
                <w:bCs w:val="0"/>
                <w:color w:val="auto"/>
                <w:kern w:val="2"/>
                <w:sz w:val="24"/>
                <w:szCs w:val="24"/>
                <w:highlight w:val="none"/>
                <w:lang w:val="en-US" w:eastAsia="zh-CN" w:bidi="ar-SA"/>
              </w:rPr>
              <w:t>监测</w:t>
            </w:r>
            <w:r>
              <w:rPr>
                <w:rFonts w:hint="eastAsia" w:ascii="Times New Roman" w:hAnsi="Times New Roman" w:eastAsia="宋体" w:cs="Times New Roman"/>
                <w:b w:val="0"/>
                <w:bCs w:val="0"/>
                <w:color w:val="auto"/>
                <w:kern w:val="2"/>
                <w:sz w:val="24"/>
                <w:szCs w:val="24"/>
                <w:highlight w:val="none"/>
                <w:lang w:val="en-US" w:eastAsia="zh-CN" w:bidi="ar-SA"/>
              </w:rPr>
              <w:t>频次见表4-</w:t>
            </w:r>
            <w:r>
              <w:rPr>
                <w:rFonts w:hint="eastAsia" w:cs="Times New Roman"/>
                <w:b w:val="0"/>
                <w:bCs w:val="0"/>
                <w:color w:val="auto"/>
                <w:kern w:val="2"/>
                <w:sz w:val="24"/>
                <w:szCs w:val="24"/>
                <w:highlight w:val="none"/>
                <w:lang w:val="en-US" w:eastAsia="zh-CN" w:bidi="ar-SA"/>
              </w:rPr>
              <w:t>12</w:t>
            </w:r>
            <w:r>
              <w:rPr>
                <w:rFonts w:hint="eastAsia" w:ascii="Times New Roman" w:hAnsi="Times New Roman" w:eastAsia="宋体" w:cs="Times New Roman"/>
                <w:b w:val="0"/>
                <w:bCs w:val="0"/>
                <w:color w:val="auto"/>
                <w:kern w:val="2"/>
                <w:sz w:val="24"/>
                <w:szCs w:val="24"/>
                <w:highlight w:val="none"/>
                <w:lang w:val="en-US" w:eastAsia="zh-CN" w:bidi="ar-SA"/>
              </w:rPr>
              <w:t>。</w:t>
            </w:r>
          </w:p>
          <w:p w14:paraId="741B7BD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Chars="0"/>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表4-</w:t>
            </w:r>
            <w:r>
              <w:rPr>
                <w:rFonts w:hint="eastAsia" w:cs="Times New Roman"/>
                <w:b/>
                <w:bCs/>
                <w:color w:val="auto"/>
                <w:kern w:val="2"/>
                <w:sz w:val="24"/>
                <w:szCs w:val="24"/>
                <w:highlight w:val="none"/>
                <w:lang w:val="en-US" w:eastAsia="zh-CN" w:bidi="ar-SA"/>
              </w:rPr>
              <w:t xml:space="preserve">12 </w:t>
            </w:r>
            <w:r>
              <w:rPr>
                <w:rFonts w:hint="eastAsia" w:ascii="Times New Roman" w:hAnsi="Times New Roman" w:eastAsia="宋体" w:cs="Times New Roman"/>
                <w:b/>
                <w:bCs/>
                <w:color w:val="auto"/>
                <w:kern w:val="2"/>
                <w:sz w:val="24"/>
                <w:szCs w:val="24"/>
                <w:highlight w:val="none"/>
                <w:lang w:val="en-US" w:eastAsia="zh-CN" w:bidi="ar-SA"/>
              </w:rPr>
              <w:t>运营期废水污染源监测计划表</w:t>
            </w:r>
          </w:p>
          <w:tbl>
            <w:tblPr>
              <w:tblStyle w:val="31"/>
              <w:tblW w:w="74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725"/>
              <w:gridCol w:w="1056"/>
              <w:gridCol w:w="1134"/>
              <w:gridCol w:w="2673"/>
            </w:tblGrid>
            <w:tr w14:paraId="13121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19CB1F12">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污染源</w:t>
                  </w:r>
                </w:p>
              </w:tc>
              <w:tc>
                <w:tcPr>
                  <w:tcW w:w="1153" w:type="pct"/>
                  <w:tcBorders>
                    <w:tl2br w:val="nil"/>
                    <w:tr2bl w:val="nil"/>
                  </w:tcBorders>
                  <w:noWrap w:val="0"/>
                  <w:vAlign w:val="center"/>
                </w:tcPr>
                <w:p w14:paraId="7854FB0D">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监测项目</w:t>
                  </w:r>
                </w:p>
              </w:tc>
              <w:tc>
                <w:tcPr>
                  <w:tcW w:w="706" w:type="pct"/>
                  <w:tcBorders>
                    <w:tl2br w:val="nil"/>
                    <w:tr2bl w:val="nil"/>
                  </w:tcBorders>
                  <w:noWrap w:val="0"/>
                  <w:vAlign w:val="center"/>
                </w:tcPr>
                <w:p w14:paraId="33449BA2">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监测点</w:t>
                  </w:r>
                </w:p>
              </w:tc>
              <w:tc>
                <w:tcPr>
                  <w:tcW w:w="758" w:type="pct"/>
                  <w:tcBorders>
                    <w:tl2br w:val="nil"/>
                    <w:tr2bl w:val="nil"/>
                  </w:tcBorders>
                  <w:noWrap w:val="0"/>
                  <w:vAlign w:val="center"/>
                </w:tcPr>
                <w:p w14:paraId="5043CD57">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cs="Times New Roman"/>
                      <w:b/>
                      <w:bCs/>
                      <w:color w:val="auto"/>
                      <w:kern w:val="2"/>
                      <w:sz w:val="21"/>
                      <w:szCs w:val="21"/>
                      <w:highlight w:val="none"/>
                      <w:vertAlign w:val="baseline"/>
                      <w:lang w:val="en-US" w:eastAsia="zh-CN" w:bidi="ar-SA"/>
                    </w:rPr>
                    <w:t>监测</w:t>
                  </w:r>
                  <w:r>
                    <w:rPr>
                      <w:rFonts w:hint="eastAsia" w:ascii="Times New Roman" w:hAnsi="Times New Roman" w:eastAsia="宋体" w:cs="Times New Roman"/>
                      <w:b/>
                      <w:bCs/>
                      <w:color w:val="auto"/>
                      <w:kern w:val="2"/>
                      <w:sz w:val="21"/>
                      <w:szCs w:val="21"/>
                      <w:highlight w:val="none"/>
                      <w:vertAlign w:val="baseline"/>
                      <w:lang w:val="en-US" w:eastAsia="zh-CN" w:bidi="ar-SA"/>
                    </w:rPr>
                    <w:t>频率</w:t>
                  </w:r>
                </w:p>
              </w:tc>
              <w:tc>
                <w:tcPr>
                  <w:tcW w:w="1786" w:type="pct"/>
                  <w:tcBorders>
                    <w:tl2br w:val="nil"/>
                    <w:tr2bl w:val="nil"/>
                  </w:tcBorders>
                  <w:noWrap w:val="0"/>
                  <w:vAlign w:val="center"/>
                </w:tcPr>
                <w:p w14:paraId="798B706E">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eastAsia" w:ascii="Times New Roman" w:hAnsi="Times New Roman" w:eastAsia="宋体" w:cs="Times New Roman"/>
                      <w:b/>
                      <w:bCs/>
                      <w:color w:val="auto"/>
                      <w:kern w:val="2"/>
                      <w:sz w:val="21"/>
                      <w:szCs w:val="21"/>
                      <w:highlight w:val="none"/>
                      <w:vertAlign w:val="baseline"/>
                      <w:lang w:val="en-US" w:eastAsia="zh-CN" w:bidi="ar-SA"/>
                    </w:rPr>
                    <w:t>标准</w:t>
                  </w:r>
                </w:p>
              </w:tc>
            </w:tr>
            <w:tr w14:paraId="46BCCB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4AB02EC0">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废水</w:t>
                  </w:r>
                </w:p>
              </w:tc>
              <w:tc>
                <w:tcPr>
                  <w:tcW w:w="1153" w:type="pct"/>
                  <w:tcBorders>
                    <w:tl2br w:val="nil"/>
                    <w:tr2bl w:val="nil"/>
                  </w:tcBorders>
                  <w:noWrap w:val="0"/>
                  <w:vAlign w:val="center"/>
                </w:tcPr>
                <w:p w14:paraId="77235674">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COD、BOD</w:t>
                  </w:r>
                  <w:r>
                    <w:rPr>
                      <w:rFonts w:hint="eastAsia" w:cs="Times New Roman"/>
                      <w:b w:val="0"/>
                      <w:bCs w:val="0"/>
                      <w:color w:val="auto"/>
                      <w:kern w:val="2"/>
                      <w:sz w:val="21"/>
                      <w:szCs w:val="21"/>
                      <w:highlight w:val="none"/>
                      <w:vertAlign w:val="subscript"/>
                      <w:lang w:val="en-US" w:eastAsia="zh-CN" w:bidi="ar-SA"/>
                    </w:rPr>
                    <w:t>5</w:t>
                  </w:r>
                  <w:r>
                    <w:rPr>
                      <w:rFonts w:hint="eastAsia" w:ascii="Times New Roman" w:hAnsi="Times New Roman" w:eastAsia="宋体" w:cs="Times New Roman"/>
                      <w:b w:val="0"/>
                      <w:bCs w:val="0"/>
                      <w:color w:val="auto"/>
                      <w:kern w:val="2"/>
                      <w:sz w:val="21"/>
                      <w:szCs w:val="21"/>
                      <w:highlight w:val="none"/>
                      <w:vertAlign w:val="baseline"/>
                      <w:lang w:val="en-US" w:eastAsia="zh-CN" w:bidi="ar-SA"/>
                    </w:rPr>
                    <w:t>、NH</w:t>
                  </w:r>
                  <w:r>
                    <w:rPr>
                      <w:rFonts w:hint="eastAsia" w:ascii="Times New Roman" w:hAnsi="Times New Roman" w:eastAsia="宋体" w:cs="Times New Roman"/>
                      <w:b w:val="0"/>
                      <w:bCs w:val="0"/>
                      <w:color w:val="auto"/>
                      <w:kern w:val="2"/>
                      <w:sz w:val="21"/>
                      <w:szCs w:val="21"/>
                      <w:highlight w:val="none"/>
                      <w:vertAlign w:val="subscript"/>
                      <w:lang w:val="en-US" w:eastAsia="zh-CN" w:bidi="ar-SA"/>
                    </w:rPr>
                    <w:t>3</w:t>
                  </w:r>
                  <w:r>
                    <w:rPr>
                      <w:rFonts w:hint="eastAsia" w:ascii="Times New Roman" w:hAnsi="Times New Roman" w:eastAsia="宋体" w:cs="Times New Roman"/>
                      <w:b w:val="0"/>
                      <w:bCs w:val="0"/>
                      <w:color w:val="auto"/>
                      <w:kern w:val="2"/>
                      <w:sz w:val="21"/>
                      <w:szCs w:val="21"/>
                      <w:highlight w:val="none"/>
                      <w:vertAlign w:val="baseline"/>
                      <w:lang w:val="en-US" w:eastAsia="zh-CN" w:bidi="ar-SA"/>
                    </w:rPr>
                    <w:t>-N、SS</w:t>
                  </w:r>
                  <w:r>
                    <w:rPr>
                      <w:rFonts w:hint="eastAsia" w:cs="Times New Roman"/>
                      <w:b w:val="0"/>
                      <w:bCs w:val="0"/>
                      <w:color w:val="auto"/>
                      <w:kern w:val="2"/>
                      <w:sz w:val="21"/>
                      <w:szCs w:val="21"/>
                      <w:highlight w:val="none"/>
                      <w:vertAlign w:val="baseline"/>
                      <w:lang w:val="en-US" w:eastAsia="zh-CN" w:bidi="ar-SA"/>
                    </w:rPr>
                    <w:t>、pH</w:t>
                  </w:r>
                </w:p>
              </w:tc>
              <w:tc>
                <w:tcPr>
                  <w:tcW w:w="706" w:type="pct"/>
                  <w:tcBorders>
                    <w:tl2br w:val="nil"/>
                    <w:tr2bl w:val="nil"/>
                  </w:tcBorders>
                  <w:noWrap w:val="0"/>
                  <w:vAlign w:val="center"/>
                </w:tcPr>
                <w:p w14:paraId="1E209D37">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b w:val="0"/>
                      <w:bCs w:val="0"/>
                      <w:color w:val="auto"/>
                      <w:sz w:val="21"/>
                      <w:szCs w:val="21"/>
                      <w:highlight w:val="none"/>
                      <w:lang w:val="en-US" w:eastAsia="zh-CN"/>
                    </w:rPr>
                  </w:pPr>
                  <w:r>
                    <w:rPr>
                      <w:rFonts w:hint="eastAsia"/>
                      <w:b w:val="0"/>
                      <w:bCs w:val="0"/>
                      <w:color w:val="auto"/>
                      <w:sz w:val="21"/>
                      <w:szCs w:val="21"/>
                      <w:highlight w:val="none"/>
                      <w:lang w:val="en-US" w:eastAsia="zh-CN"/>
                    </w:rPr>
                    <w:t>污水处理设备排放口DW001</w:t>
                  </w:r>
                </w:p>
              </w:tc>
              <w:tc>
                <w:tcPr>
                  <w:tcW w:w="758" w:type="pct"/>
                  <w:tcBorders>
                    <w:tl2br w:val="nil"/>
                    <w:tr2bl w:val="nil"/>
                  </w:tcBorders>
                  <w:noWrap w:val="0"/>
                  <w:vAlign w:val="center"/>
                </w:tcPr>
                <w:p w14:paraId="11E74A83">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1次/年</w:t>
                  </w:r>
                </w:p>
              </w:tc>
              <w:tc>
                <w:tcPr>
                  <w:tcW w:w="1786" w:type="pct"/>
                  <w:tcBorders>
                    <w:tl2br w:val="nil"/>
                    <w:tr2bl w:val="nil"/>
                  </w:tcBorders>
                  <w:noWrap w:val="0"/>
                  <w:vAlign w:val="center"/>
                </w:tcPr>
                <w:p w14:paraId="6F3E990E">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color w:val="auto"/>
                      <w:kern w:val="2"/>
                      <w:sz w:val="21"/>
                      <w:szCs w:val="21"/>
                      <w:highlight w:val="none"/>
                      <w:vertAlign w:val="baseline"/>
                      <w:lang w:val="en-US" w:eastAsia="zh-CN" w:bidi="ar-SA"/>
                    </w:rPr>
                    <w:t>执行《污水综合排放标准》（GB8978-1996）三级标准及《污水排入城镇下水道水质标准》（GB/T31962-2015）</w:t>
                  </w:r>
                  <w:r>
                    <w:rPr>
                      <w:rFonts w:hint="eastAsia" w:cs="Times New Roman"/>
                      <w:b w:val="0"/>
                      <w:bCs w:val="0"/>
                      <w:color w:val="auto"/>
                      <w:kern w:val="2"/>
                      <w:sz w:val="21"/>
                      <w:szCs w:val="21"/>
                      <w:highlight w:val="none"/>
                      <w:vertAlign w:val="baseline"/>
                      <w:lang w:val="en-US" w:eastAsia="zh-CN" w:bidi="ar-SA"/>
                    </w:rPr>
                    <w:t>A</w:t>
                  </w:r>
                  <w:r>
                    <w:rPr>
                      <w:rFonts w:hint="eastAsia" w:ascii="Times New Roman" w:hAnsi="Times New Roman" w:eastAsia="宋体" w:cs="Times New Roman"/>
                      <w:b w:val="0"/>
                      <w:bCs w:val="0"/>
                      <w:color w:val="auto"/>
                      <w:kern w:val="2"/>
                      <w:sz w:val="21"/>
                      <w:szCs w:val="21"/>
                      <w:highlight w:val="none"/>
                      <w:vertAlign w:val="baseline"/>
                      <w:lang w:val="en-US" w:eastAsia="zh-CN" w:bidi="ar-SA"/>
                    </w:rPr>
                    <w:t>标准</w:t>
                  </w:r>
                </w:p>
              </w:tc>
            </w:tr>
          </w:tbl>
          <w:p w14:paraId="5F4C6ED9">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before="157" w:beforeLines="50"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声环境影响分析</w:t>
            </w:r>
          </w:p>
          <w:p w14:paraId="294637EB">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75"/>
              <w:jc w:val="both"/>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（1）噪声设备源强</w:t>
            </w:r>
          </w:p>
          <w:p w14:paraId="16E1DEDD">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firstLine="480" w:firstLineChars="200"/>
              <w:jc w:val="both"/>
              <w:textAlignment w:val="auto"/>
              <w:rPr>
                <w:rFonts w:hint="eastAsia" w:ascii="Times New Roman" w:hAnsi="仿宋" w:eastAsia="Times New Roman" w:cs="仿宋"/>
                <w:b w:val="0"/>
                <w:bCs/>
                <w:color w:val="auto"/>
                <w:kern w:val="2"/>
                <w:sz w:val="24"/>
                <w:szCs w:val="24"/>
                <w:highlight w:val="none"/>
                <w:lang w:val="en-US" w:eastAsia="zh-CN" w:bidi="zh-CN"/>
              </w:rPr>
            </w:pPr>
            <w:r>
              <w:rPr>
                <w:rFonts w:hint="eastAsia" w:ascii="Times New Roman" w:hAnsi="Times New Roman" w:eastAsia="宋体" w:cs="Times New Roman"/>
                <w:b w:val="0"/>
                <w:bCs w:val="0"/>
                <w:color w:val="auto"/>
                <w:kern w:val="2"/>
                <w:sz w:val="24"/>
                <w:szCs w:val="24"/>
                <w:highlight w:val="none"/>
                <w:lang w:val="en-US" w:eastAsia="zh-CN" w:bidi="ar-SA"/>
              </w:rPr>
              <w:t>本项目为实验研发项目，无夜间工作，仅考虑昼间噪声</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本</w:t>
            </w:r>
            <w:r>
              <w:rPr>
                <w:rFonts w:hint="eastAsia" w:cs="Times New Roman"/>
                <w:b w:val="0"/>
                <w:bCs w:val="0"/>
                <w:color w:val="auto"/>
                <w:kern w:val="2"/>
                <w:sz w:val="24"/>
                <w:szCs w:val="24"/>
                <w:highlight w:val="none"/>
                <w:lang w:val="en-US" w:eastAsia="zh-CN" w:bidi="ar-SA"/>
              </w:rPr>
              <w:t>次扩建未新增设备，依托现有设备进行试验研究。</w:t>
            </w:r>
            <w:r>
              <w:rPr>
                <w:rFonts w:hint="eastAsia" w:ascii="Times New Roman" w:hAnsi="Times New Roman" w:eastAsia="宋体" w:cs="Times New Roman"/>
                <w:b w:val="0"/>
                <w:bCs w:val="0"/>
                <w:color w:val="auto"/>
                <w:kern w:val="2"/>
                <w:sz w:val="24"/>
                <w:szCs w:val="24"/>
                <w:highlight w:val="none"/>
                <w:lang w:val="en-US" w:eastAsia="zh-CN" w:bidi="ar-SA"/>
              </w:rPr>
              <w:t>运营期间产生的噪声主要是</w:t>
            </w:r>
            <w:r>
              <w:rPr>
                <w:rFonts w:hint="eastAsia" w:cs="Times New Roman"/>
                <w:b w:val="0"/>
                <w:bCs w:val="0"/>
                <w:color w:val="auto"/>
                <w:kern w:val="2"/>
                <w:sz w:val="24"/>
                <w:szCs w:val="24"/>
                <w:highlight w:val="none"/>
                <w:lang w:val="en-US" w:eastAsia="zh-CN" w:bidi="ar-SA"/>
              </w:rPr>
              <w:t>现有的</w:t>
            </w:r>
            <w:r>
              <w:rPr>
                <w:rFonts w:hint="eastAsia" w:ascii="Times New Roman" w:hAnsi="Times New Roman" w:eastAsia="宋体" w:cs="Times New Roman"/>
                <w:b w:val="0"/>
                <w:bCs w:val="0"/>
                <w:color w:val="auto"/>
                <w:kern w:val="2"/>
                <w:sz w:val="24"/>
                <w:szCs w:val="24"/>
                <w:highlight w:val="none"/>
                <w:lang w:val="en-US" w:eastAsia="zh-CN" w:bidi="ar-SA"/>
              </w:rPr>
              <w:t>风机、泵、超声波清洗机</w:t>
            </w:r>
            <w:r>
              <w:rPr>
                <w:rFonts w:hint="eastAsia" w:cs="Times New Roman"/>
                <w:b w:val="0"/>
                <w:bCs w:val="0"/>
                <w:color w:val="auto"/>
                <w:kern w:val="2"/>
                <w:sz w:val="24"/>
                <w:szCs w:val="24"/>
                <w:highlight w:val="none"/>
                <w:lang w:val="en-US" w:eastAsia="zh-CN" w:bidi="ar-SA"/>
              </w:rPr>
              <w:t>等</w:t>
            </w:r>
            <w:r>
              <w:rPr>
                <w:rFonts w:hint="eastAsia" w:ascii="Times New Roman" w:hAnsi="Times New Roman" w:eastAsia="宋体" w:cs="Times New Roman"/>
                <w:b w:val="0"/>
                <w:bCs w:val="0"/>
                <w:color w:val="auto"/>
                <w:kern w:val="2"/>
                <w:sz w:val="24"/>
                <w:szCs w:val="24"/>
                <w:highlight w:val="none"/>
                <w:lang w:val="en-US" w:eastAsia="zh-CN" w:bidi="ar-SA"/>
              </w:rPr>
              <w:t>设备运行时产生的噪声，噪声源强在65~8</w:t>
            </w:r>
            <w:r>
              <w:rPr>
                <w:rFonts w:hint="eastAsia" w:cs="Times New Roman"/>
                <w:b w:val="0"/>
                <w:bCs w:val="0"/>
                <w:color w:val="auto"/>
                <w:kern w:val="2"/>
                <w:sz w:val="24"/>
                <w:szCs w:val="24"/>
                <w:highlight w:val="none"/>
                <w:lang w:val="en-US" w:eastAsia="zh-CN" w:bidi="ar-SA"/>
              </w:rPr>
              <w:t>5</w:t>
            </w:r>
            <w:r>
              <w:rPr>
                <w:rFonts w:hint="eastAsia" w:ascii="Times New Roman" w:hAnsi="Times New Roman" w:eastAsia="宋体" w:cs="Times New Roman"/>
                <w:b w:val="0"/>
                <w:bCs w:val="0"/>
                <w:color w:val="auto"/>
                <w:kern w:val="2"/>
                <w:sz w:val="24"/>
                <w:szCs w:val="24"/>
                <w:highlight w:val="none"/>
                <w:lang w:val="en-US" w:eastAsia="zh-CN" w:bidi="ar-SA"/>
              </w:rPr>
              <w:t>dB</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A</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之间，</w:t>
            </w:r>
            <w:r>
              <w:rPr>
                <w:rFonts w:hint="eastAsia" w:cs="Times New Roman"/>
                <w:b w:val="0"/>
                <w:bCs w:val="0"/>
                <w:color w:val="auto"/>
                <w:kern w:val="2"/>
                <w:sz w:val="24"/>
                <w:szCs w:val="24"/>
                <w:highlight w:val="none"/>
                <w:lang w:val="en-US" w:eastAsia="zh-CN" w:bidi="ar-SA"/>
              </w:rPr>
              <w:t>采取措施可降噪</w:t>
            </w:r>
            <w:r>
              <w:rPr>
                <w:rFonts w:hint="default" w:ascii="Times New Roman" w:hAnsi="仿宋" w:eastAsia="Times New Roman" w:cs="仿宋"/>
                <w:b w:val="0"/>
                <w:bCs/>
                <w:color w:val="auto"/>
                <w:kern w:val="2"/>
                <w:sz w:val="24"/>
                <w:szCs w:val="24"/>
                <w:highlight w:val="none"/>
                <w:lang w:val="en-US" w:eastAsia="zh-CN" w:bidi="zh-CN"/>
              </w:rPr>
              <w:t>15~20dB</w:t>
            </w:r>
            <w:r>
              <w:rPr>
                <w:rFonts w:hint="eastAsia" w:ascii="Times New Roman" w:hAnsi="仿宋" w:eastAsia="Times New Roman" w:cs="仿宋"/>
                <w:b w:val="0"/>
                <w:bCs/>
                <w:color w:val="auto"/>
                <w:kern w:val="2"/>
                <w:sz w:val="24"/>
                <w:szCs w:val="24"/>
                <w:highlight w:val="none"/>
                <w:lang w:val="en-US" w:eastAsia="zh-CN" w:bidi="zh-CN"/>
              </w:rPr>
              <w:t>（</w:t>
            </w:r>
            <w:r>
              <w:rPr>
                <w:rFonts w:hint="default" w:ascii="Times New Roman" w:hAnsi="仿宋" w:eastAsia="Times New Roman" w:cs="仿宋"/>
                <w:b w:val="0"/>
                <w:bCs/>
                <w:color w:val="auto"/>
                <w:kern w:val="2"/>
                <w:sz w:val="24"/>
                <w:szCs w:val="24"/>
                <w:highlight w:val="none"/>
                <w:lang w:val="en-US" w:eastAsia="zh-CN" w:bidi="zh-CN"/>
              </w:rPr>
              <w:t>A</w:t>
            </w:r>
            <w:r>
              <w:rPr>
                <w:rFonts w:hint="eastAsia" w:ascii="Times New Roman" w:hAnsi="仿宋" w:eastAsia="Times New Roman" w:cs="仿宋"/>
                <w:b w:val="0"/>
                <w:bCs/>
                <w:color w:val="auto"/>
                <w:kern w:val="2"/>
                <w:sz w:val="24"/>
                <w:szCs w:val="24"/>
                <w:highlight w:val="none"/>
                <w:lang w:val="en-US" w:eastAsia="zh-CN" w:bidi="zh-CN"/>
              </w:rPr>
              <w:t>）。</w:t>
            </w:r>
          </w:p>
          <w:p w14:paraId="4A7758BD">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firstLine="480" w:firstLineChars="200"/>
              <w:jc w:val="center"/>
              <w:textAlignment w:val="auto"/>
              <w:rPr>
                <w:rFonts w:hint="eastAsia"/>
                <w:b/>
                <w:bCs w:val="0"/>
                <w:color w:val="auto"/>
                <w:kern w:val="2"/>
                <w:sz w:val="24"/>
                <w:szCs w:val="24"/>
                <w:highlight w:val="none"/>
                <w:lang w:val="en-US" w:eastAsia="zh-CN"/>
              </w:rPr>
            </w:pPr>
            <w:r>
              <w:rPr>
                <w:rFonts w:hint="eastAsia" w:hAnsi="仿宋" w:eastAsia="Times New Roman" w:cs="仿宋"/>
                <w:b/>
                <w:bCs w:val="0"/>
                <w:color w:val="auto"/>
                <w:kern w:val="2"/>
                <w:sz w:val="24"/>
                <w:szCs w:val="24"/>
                <w:highlight w:val="none"/>
                <w:lang w:val="en-US" w:eastAsia="zh-CN" w:bidi="zh-CN"/>
              </w:rPr>
              <w:t>表4-13 项目扩建后全厂</w:t>
            </w:r>
            <w:r>
              <w:rPr>
                <w:rFonts w:hint="eastAsia"/>
                <w:b/>
                <w:bCs w:val="0"/>
                <w:color w:val="auto"/>
                <w:kern w:val="2"/>
                <w:sz w:val="24"/>
                <w:szCs w:val="24"/>
                <w:highlight w:val="none"/>
                <w:lang w:val="en-US" w:eastAsia="zh-CN"/>
              </w:rPr>
              <w:t>噪声源强一览表</w:t>
            </w:r>
          </w:p>
          <w:tbl>
            <w:tblPr>
              <w:tblStyle w:val="30"/>
              <w:tblW w:w="71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5"/>
              <w:gridCol w:w="1475"/>
              <w:gridCol w:w="575"/>
              <w:gridCol w:w="1402"/>
              <w:gridCol w:w="1896"/>
              <w:gridCol w:w="1216"/>
            </w:tblGrid>
            <w:tr w14:paraId="6DC9D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jc w:val="center"/>
              </w:trPr>
              <w:tc>
                <w:tcPr>
                  <w:tcW w:w="575"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2F30CB2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475"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5BA27FB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声源位置</w:t>
                  </w:r>
                </w:p>
              </w:tc>
              <w:tc>
                <w:tcPr>
                  <w:tcW w:w="575"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0D67D6D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1402"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25BE344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声源源强</w:t>
                  </w:r>
                  <w:r>
                    <w:rPr>
                      <w:rFonts w:hint="default" w:ascii="Times New Roman" w:hAnsi="Times New Roman" w:eastAsia="宋体" w:cs="Times New Roman"/>
                      <w:b/>
                      <w:bCs/>
                      <w:i w:val="0"/>
                      <w:iCs w:val="0"/>
                      <w:color w:val="auto"/>
                      <w:kern w:val="0"/>
                      <w:sz w:val="21"/>
                      <w:szCs w:val="21"/>
                      <w:highlight w:val="none"/>
                      <w:u w:val="none"/>
                      <w:lang w:val="en-US" w:eastAsia="zh-CN" w:bidi="ar"/>
                    </w:rPr>
                    <w:t>dB(A)</w:t>
                  </w:r>
                </w:p>
              </w:tc>
              <w:tc>
                <w:tcPr>
                  <w:tcW w:w="1896" w:type="dxa"/>
                  <w:tcBorders>
                    <w:top w:val="single" w:color="000000" w:sz="12" w:space="0"/>
                    <w:left w:val="single" w:color="000000" w:sz="4" w:space="0"/>
                    <w:bottom w:val="single" w:color="000000" w:sz="4" w:space="0"/>
                    <w:right w:val="single" w:color="000000" w:sz="4" w:space="0"/>
                  </w:tcBorders>
                  <w:shd w:val="clear" w:color="auto" w:fill="auto"/>
                  <w:vAlign w:val="center"/>
                </w:tcPr>
                <w:p w14:paraId="134E370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声源控制措施</w:t>
                  </w:r>
                </w:p>
              </w:tc>
              <w:tc>
                <w:tcPr>
                  <w:tcW w:w="1216" w:type="dxa"/>
                  <w:tcBorders>
                    <w:top w:val="single" w:color="000000" w:sz="12" w:space="0"/>
                    <w:left w:val="single" w:color="000000" w:sz="4" w:space="0"/>
                    <w:bottom w:val="single" w:color="000000" w:sz="4" w:space="0"/>
                    <w:right w:val="single" w:color="000000" w:sz="12" w:space="0"/>
                  </w:tcBorders>
                  <w:shd w:val="clear" w:color="auto" w:fill="auto"/>
                  <w:vAlign w:val="center"/>
                </w:tcPr>
                <w:p w14:paraId="76093D25">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运行情况</w:t>
                  </w:r>
                </w:p>
              </w:tc>
            </w:tr>
            <w:tr w14:paraId="73FF0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57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7999F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157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玻璃钢离心风机</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CD12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353E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85-90</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DEC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管道软管连接、合理布局、距离衰减</w:t>
                  </w:r>
                </w:p>
              </w:tc>
              <w:tc>
                <w:tcPr>
                  <w:tcW w:w="1216"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237A2C05">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频繁运行</w:t>
                  </w:r>
                </w:p>
              </w:tc>
            </w:tr>
            <w:tr w14:paraId="6A786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57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496F0F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547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磁力搅拌器</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BE85">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22</w:t>
                  </w: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F5438">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60-75</w:t>
                  </w:r>
                </w:p>
              </w:tc>
              <w:tc>
                <w:tcPr>
                  <w:tcW w:w="1896" w:type="dxa"/>
                  <w:vMerge w:val="restart"/>
                  <w:tcBorders>
                    <w:top w:val="single" w:color="000000" w:sz="4" w:space="0"/>
                    <w:left w:val="single" w:color="000000" w:sz="4" w:space="0"/>
                    <w:bottom w:val="single" w:color="000000" w:sz="12" w:space="0"/>
                    <w:right w:val="single" w:color="000000" w:sz="4" w:space="0"/>
                  </w:tcBorders>
                  <w:shd w:val="clear" w:color="auto" w:fill="auto"/>
                  <w:vAlign w:val="center"/>
                </w:tcPr>
                <w:p w14:paraId="4D6E56F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合理布局、距离衰减、基础减振</w:t>
                  </w:r>
                </w:p>
              </w:tc>
              <w:tc>
                <w:tcPr>
                  <w:tcW w:w="1216" w:type="dxa"/>
                  <w:vMerge w:val="restart"/>
                  <w:tcBorders>
                    <w:top w:val="single" w:color="000000" w:sz="4" w:space="0"/>
                    <w:left w:val="single" w:color="000000" w:sz="4" w:space="0"/>
                    <w:right w:val="single" w:color="000000" w:sz="12" w:space="0"/>
                  </w:tcBorders>
                  <w:shd w:val="clear" w:color="auto" w:fill="auto"/>
                  <w:vAlign w:val="center"/>
                </w:tcPr>
                <w:p w14:paraId="517AA8ED">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间隙运行</w:t>
                  </w:r>
                </w:p>
              </w:tc>
            </w:tr>
            <w:tr w14:paraId="5D6CC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jc w:val="center"/>
              </w:trPr>
              <w:tc>
                <w:tcPr>
                  <w:tcW w:w="57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24A017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F120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隔膜真空泵</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1F63">
                  <w:pPr>
                    <w:jc w:val="center"/>
                    <w:rPr>
                      <w:rFonts w:hint="eastAsia"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9</w:t>
                  </w: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C6ACD">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65-75</w:t>
                  </w:r>
                </w:p>
              </w:tc>
              <w:tc>
                <w:tcPr>
                  <w:tcW w:w="1896" w:type="dxa"/>
                  <w:vMerge w:val="continue"/>
                  <w:tcBorders>
                    <w:top w:val="single" w:color="000000" w:sz="12" w:space="0"/>
                    <w:left w:val="single" w:color="000000" w:sz="4" w:space="0"/>
                    <w:bottom w:val="single" w:color="000000" w:sz="12" w:space="0"/>
                    <w:right w:val="single" w:color="000000" w:sz="4" w:space="0"/>
                  </w:tcBorders>
                  <w:shd w:val="clear" w:color="auto" w:fill="auto"/>
                  <w:vAlign w:val="center"/>
                </w:tcPr>
                <w:p w14:paraId="181830E9">
                  <w:pPr>
                    <w:jc w:val="center"/>
                    <w:rPr>
                      <w:rFonts w:hint="default" w:ascii="Times New Roman" w:hAnsi="Times New Roman" w:eastAsia="宋体" w:cs="Times New Roman"/>
                      <w:i w:val="0"/>
                      <w:iCs w:val="0"/>
                      <w:color w:val="auto"/>
                      <w:sz w:val="22"/>
                      <w:szCs w:val="22"/>
                      <w:highlight w:val="none"/>
                      <w:u w:val="none"/>
                    </w:rPr>
                  </w:pPr>
                </w:p>
              </w:tc>
              <w:tc>
                <w:tcPr>
                  <w:tcW w:w="1216" w:type="dxa"/>
                  <w:vMerge w:val="continue"/>
                  <w:tcBorders>
                    <w:left w:val="single" w:color="000000" w:sz="4" w:space="0"/>
                    <w:right w:val="single" w:color="000000" w:sz="12" w:space="0"/>
                  </w:tcBorders>
                  <w:shd w:val="clear" w:color="auto" w:fill="auto"/>
                  <w:vAlign w:val="center"/>
                </w:tcPr>
                <w:p w14:paraId="7722EDCC">
                  <w:pPr>
                    <w:jc w:val="center"/>
                    <w:rPr>
                      <w:rFonts w:hint="default" w:ascii="Times New Roman" w:hAnsi="Times New Roman" w:eastAsia="宋体" w:cs="Times New Roman"/>
                      <w:i w:val="0"/>
                      <w:iCs w:val="0"/>
                      <w:color w:val="auto"/>
                      <w:sz w:val="22"/>
                      <w:szCs w:val="22"/>
                      <w:highlight w:val="none"/>
                      <w:u w:val="none"/>
                    </w:rPr>
                  </w:pPr>
                </w:p>
              </w:tc>
            </w:tr>
            <w:tr w14:paraId="2F1A1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jc w:val="center"/>
              </w:trPr>
              <w:tc>
                <w:tcPr>
                  <w:tcW w:w="57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71CD0B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8A9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低温冷却循环泵</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7A33F">
                  <w:pPr>
                    <w:jc w:val="center"/>
                    <w:rPr>
                      <w:rFonts w:hint="eastAsia"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9</w:t>
                  </w: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37418">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70-85</w:t>
                  </w:r>
                </w:p>
              </w:tc>
              <w:tc>
                <w:tcPr>
                  <w:tcW w:w="1896" w:type="dxa"/>
                  <w:vMerge w:val="continue"/>
                  <w:tcBorders>
                    <w:top w:val="single" w:color="000000" w:sz="12" w:space="0"/>
                    <w:left w:val="single" w:color="000000" w:sz="4" w:space="0"/>
                    <w:bottom w:val="single" w:color="000000" w:sz="12" w:space="0"/>
                    <w:right w:val="single" w:color="000000" w:sz="4" w:space="0"/>
                  </w:tcBorders>
                  <w:shd w:val="clear" w:color="auto" w:fill="auto"/>
                  <w:vAlign w:val="center"/>
                </w:tcPr>
                <w:p w14:paraId="5510C5AB">
                  <w:pPr>
                    <w:jc w:val="center"/>
                    <w:rPr>
                      <w:rFonts w:hint="default" w:ascii="Times New Roman" w:hAnsi="Times New Roman" w:eastAsia="宋体" w:cs="Times New Roman"/>
                      <w:i w:val="0"/>
                      <w:iCs w:val="0"/>
                      <w:color w:val="auto"/>
                      <w:sz w:val="22"/>
                      <w:szCs w:val="22"/>
                      <w:highlight w:val="none"/>
                      <w:u w:val="none"/>
                    </w:rPr>
                  </w:pPr>
                </w:p>
              </w:tc>
              <w:tc>
                <w:tcPr>
                  <w:tcW w:w="1216" w:type="dxa"/>
                  <w:vMerge w:val="continue"/>
                  <w:tcBorders>
                    <w:left w:val="single" w:color="000000" w:sz="4" w:space="0"/>
                    <w:right w:val="single" w:color="000000" w:sz="12" w:space="0"/>
                  </w:tcBorders>
                  <w:shd w:val="clear" w:color="auto" w:fill="auto"/>
                  <w:vAlign w:val="center"/>
                </w:tcPr>
                <w:p w14:paraId="7511C81B">
                  <w:pPr>
                    <w:jc w:val="center"/>
                    <w:rPr>
                      <w:rFonts w:hint="default" w:ascii="Times New Roman" w:hAnsi="Times New Roman" w:eastAsia="宋体" w:cs="Times New Roman"/>
                      <w:i w:val="0"/>
                      <w:iCs w:val="0"/>
                      <w:color w:val="auto"/>
                      <w:sz w:val="22"/>
                      <w:szCs w:val="22"/>
                      <w:highlight w:val="none"/>
                      <w:u w:val="none"/>
                    </w:rPr>
                  </w:pPr>
                </w:p>
              </w:tc>
            </w:tr>
            <w:tr w14:paraId="5F0D1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57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7BCBBF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20B3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超声清洗器</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CEAD8">
                  <w:pPr>
                    <w:jc w:val="center"/>
                    <w:rPr>
                      <w:rFonts w:hint="eastAsia"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1</w:t>
                  </w: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301F3">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70-80</w:t>
                  </w:r>
                </w:p>
              </w:tc>
              <w:tc>
                <w:tcPr>
                  <w:tcW w:w="1896" w:type="dxa"/>
                  <w:vMerge w:val="continue"/>
                  <w:tcBorders>
                    <w:top w:val="single" w:color="000000" w:sz="12" w:space="0"/>
                    <w:left w:val="single" w:color="000000" w:sz="4" w:space="0"/>
                    <w:bottom w:val="single" w:color="000000" w:sz="12" w:space="0"/>
                    <w:right w:val="single" w:color="000000" w:sz="4" w:space="0"/>
                  </w:tcBorders>
                  <w:shd w:val="clear" w:color="auto" w:fill="auto"/>
                  <w:vAlign w:val="center"/>
                </w:tcPr>
                <w:p w14:paraId="2FFC2AE6">
                  <w:pPr>
                    <w:jc w:val="center"/>
                    <w:rPr>
                      <w:rFonts w:hint="default" w:ascii="Times New Roman" w:hAnsi="Times New Roman" w:eastAsia="宋体" w:cs="Times New Roman"/>
                      <w:i w:val="0"/>
                      <w:iCs w:val="0"/>
                      <w:color w:val="auto"/>
                      <w:sz w:val="22"/>
                      <w:szCs w:val="22"/>
                      <w:highlight w:val="none"/>
                      <w:u w:val="none"/>
                    </w:rPr>
                  </w:pPr>
                </w:p>
              </w:tc>
              <w:tc>
                <w:tcPr>
                  <w:tcW w:w="1216" w:type="dxa"/>
                  <w:vMerge w:val="continue"/>
                  <w:tcBorders>
                    <w:left w:val="single" w:color="000000" w:sz="4" w:space="0"/>
                    <w:right w:val="single" w:color="000000" w:sz="12" w:space="0"/>
                  </w:tcBorders>
                  <w:shd w:val="clear" w:color="auto" w:fill="auto"/>
                  <w:vAlign w:val="center"/>
                </w:tcPr>
                <w:p w14:paraId="550647EA">
                  <w:pPr>
                    <w:jc w:val="center"/>
                    <w:rPr>
                      <w:rFonts w:hint="default" w:ascii="Times New Roman" w:hAnsi="Times New Roman" w:eastAsia="宋体" w:cs="Times New Roman"/>
                      <w:i w:val="0"/>
                      <w:iCs w:val="0"/>
                      <w:color w:val="auto"/>
                      <w:sz w:val="22"/>
                      <w:szCs w:val="22"/>
                      <w:highlight w:val="none"/>
                      <w:u w:val="none"/>
                    </w:rPr>
                  </w:pPr>
                </w:p>
              </w:tc>
            </w:tr>
            <w:tr w14:paraId="37403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jc w:val="center"/>
              </w:trPr>
              <w:tc>
                <w:tcPr>
                  <w:tcW w:w="57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AE6BB6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1108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鼓风干燥箱</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7DCA9">
                  <w:pPr>
                    <w:jc w:val="center"/>
                    <w:rPr>
                      <w:rFonts w:hint="eastAsia" w:ascii="Times New Roman" w:hAnsi="Times New Roman" w:eastAsia="宋体" w:cs="Times New Roman"/>
                      <w:i w:val="0"/>
                      <w:iCs w:val="0"/>
                      <w:color w:val="auto"/>
                      <w:sz w:val="21"/>
                      <w:szCs w:val="21"/>
                      <w:highlight w:val="none"/>
                      <w:u w:val="none"/>
                      <w:lang w:val="en-US" w:eastAsia="zh-CN"/>
                    </w:rPr>
                  </w:pPr>
                  <w:r>
                    <w:rPr>
                      <w:rFonts w:hint="eastAsia" w:ascii="Times New Roman" w:hAnsi="Times New Roman" w:eastAsia="宋体" w:cs="Times New Roman"/>
                      <w:i w:val="0"/>
                      <w:iCs w:val="0"/>
                      <w:color w:val="auto"/>
                      <w:sz w:val="21"/>
                      <w:szCs w:val="21"/>
                      <w:highlight w:val="none"/>
                      <w:u w:val="none"/>
                      <w:lang w:val="en-US" w:eastAsia="zh-CN"/>
                    </w:rPr>
                    <w:t>1</w:t>
                  </w:r>
                </w:p>
              </w:tc>
              <w:tc>
                <w:tcPr>
                  <w:tcW w:w="1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AC493">
                  <w:pPr>
                    <w:jc w:val="center"/>
                    <w:rPr>
                      <w:rFonts w:hint="default" w:ascii="Times New Roman" w:hAnsi="Times New Roman" w:eastAsia="宋体" w:cs="Times New Roman"/>
                      <w:i w:val="0"/>
                      <w:iCs w:val="0"/>
                      <w:color w:val="auto"/>
                      <w:sz w:val="21"/>
                      <w:szCs w:val="21"/>
                      <w:highlight w:val="none"/>
                      <w:u w:val="none"/>
                    </w:rPr>
                  </w:pPr>
                </w:p>
              </w:tc>
              <w:tc>
                <w:tcPr>
                  <w:tcW w:w="1896" w:type="dxa"/>
                  <w:vMerge w:val="continue"/>
                  <w:tcBorders>
                    <w:top w:val="single" w:color="000000" w:sz="12" w:space="0"/>
                    <w:left w:val="single" w:color="000000" w:sz="4" w:space="0"/>
                    <w:bottom w:val="single" w:color="000000" w:sz="12" w:space="0"/>
                    <w:right w:val="single" w:color="000000" w:sz="4" w:space="0"/>
                  </w:tcBorders>
                  <w:shd w:val="clear" w:color="auto" w:fill="auto"/>
                  <w:vAlign w:val="center"/>
                </w:tcPr>
                <w:p w14:paraId="73AC23E2">
                  <w:pPr>
                    <w:jc w:val="center"/>
                    <w:rPr>
                      <w:rFonts w:hint="default" w:ascii="Times New Roman" w:hAnsi="Times New Roman" w:eastAsia="宋体" w:cs="Times New Roman"/>
                      <w:i w:val="0"/>
                      <w:iCs w:val="0"/>
                      <w:color w:val="auto"/>
                      <w:sz w:val="22"/>
                      <w:szCs w:val="22"/>
                      <w:highlight w:val="none"/>
                      <w:u w:val="none"/>
                    </w:rPr>
                  </w:pPr>
                </w:p>
              </w:tc>
              <w:tc>
                <w:tcPr>
                  <w:tcW w:w="1216" w:type="dxa"/>
                  <w:vMerge w:val="continue"/>
                  <w:tcBorders>
                    <w:left w:val="single" w:color="000000" w:sz="4" w:space="0"/>
                    <w:right w:val="single" w:color="000000" w:sz="12" w:space="0"/>
                  </w:tcBorders>
                  <w:shd w:val="clear" w:color="auto" w:fill="auto"/>
                  <w:vAlign w:val="center"/>
                </w:tcPr>
                <w:p w14:paraId="224291C0">
                  <w:pPr>
                    <w:jc w:val="center"/>
                    <w:rPr>
                      <w:rFonts w:hint="default" w:ascii="Times New Roman" w:hAnsi="Times New Roman" w:eastAsia="宋体" w:cs="Times New Roman"/>
                      <w:i w:val="0"/>
                      <w:iCs w:val="0"/>
                      <w:color w:val="auto"/>
                      <w:sz w:val="22"/>
                      <w:szCs w:val="22"/>
                      <w:highlight w:val="none"/>
                      <w:u w:val="none"/>
                    </w:rPr>
                  </w:pPr>
                </w:p>
              </w:tc>
            </w:tr>
            <w:tr w14:paraId="08979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jc w:val="center"/>
              </w:trPr>
              <w:tc>
                <w:tcPr>
                  <w:tcW w:w="575" w:type="dxa"/>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01D45C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w:t>
                  </w:r>
                </w:p>
              </w:tc>
              <w:tc>
                <w:tcPr>
                  <w:tcW w:w="1475"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3E0C297">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旋转蒸发仪</w:t>
                  </w:r>
                </w:p>
              </w:tc>
              <w:tc>
                <w:tcPr>
                  <w:tcW w:w="575"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16A5F2B3">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15</w:t>
                  </w:r>
                </w:p>
              </w:tc>
              <w:tc>
                <w:tcPr>
                  <w:tcW w:w="1402"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1B0BC2A8">
                  <w:pPr>
                    <w:jc w:val="center"/>
                    <w:rPr>
                      <w:rFonts w:hint="default" w:ascii="Times New Roman" w:hAnsi="Times New Roman" w:eastAsia="宋体" w:cs="Times New Roman"/>
                      <w:i w:val="0"/>
                      <w:iCs w:val="0"/>
                      <w:color w:val="auto"/>
                      <w:sz w:val="21"/>
                      <w:szCs w:val="21"/>
                      <w:highlight w:val="none"/>
                      <w:u w:val="none"/>
                      <w:lang w:val="en-US" w:eastAsia="zh-CN"/>
                    </w:rPr>
                  </w:pPr>
                  <w:r>
                    <w:rPr>
                      <w:rFonts w:hint="eastAsia" w:cs="Times New Roman"/>
                      <w:i w:val="0"/>
                      <w:iCs w:val="0"/>
                      <w:color w:val="auto"/>
                      <w:sz w:val="21"/>
                      <w:szCs w:val="21"/>
                      <w:highlight w:val="none"/>
                      <w:u w:val="none"/>
                      <w:lang w:val="en-US" w:eastAsia="zh-CN"/>
                    </w:rPr>
                    <w:t>60-80</w:t>
                  </w:r>
                </w:p>
              </w:tc>
              <w:tc>
                <w:tcPr>
                  <w:tcW w:w="1896" w:type="dxa"/>
                  <w:vMerge w:val="continue"/>
                  <w:tcBorders>
                    <w:top w:val="single" w:color="000000" w:sz="12" w:space="0"/>
                    <w:left w:val="single" w:color="000000" w:sz="4" w:space="0"/>
                    <w:bottom w:val="single" w:color="000000" w:sz="12" w:space="0"/>
                    <w:right w:val="single" w:color="000000" w:sz="4" w:space="0"/>
                  </w:tcBorders>
                  <w:shd w:val="clear" w:color="auto" w:fill="auto"/>
                  <w:vAlign w:val="center"/>
                </w:tcPr>
                <w:p w14:paraId="7F4356F9">
                  <w:pPr>
                    <w:jc w:val="center"/>
                    <w:rPr>
                      <w:rFonts w:hint="default" w:ascii="Times New Roman" w:hAnsi="Times New Roman" w:eastAsia="宋体" w:cs="Times New Roman"/>
                      <w:i w:val="0"/>
                      <w:iCs w:val="0"/>
                      <w:color w:val="auto"/>
                      <w:sz w:val="22"/>
                      <w:szCs w:val="22"/>
                      <w:highlight w:val="none"/>
                      <w:u w:val="none"/>
                    </w:rPr>
                  </w:pPr>
                </w:p>
              </w:tc>
              <w:tc>
                <w:tcPr>
                  <w:tcW w:w="1216" w:type="dxa"/>
                  <w:vMerge w:val="continue"/>
                  <w:tcBorders>
                    <w:left w:val="single" w:color="000000" w:sz="4" w:space="0"/>
                    <w:bottom w:val="single" w:color="000000" w:sz="12" w:space="0"/>
                    <w:right w:val="single" w:color="000000" w:sz="12" w:space="0"/>
                  </w:tcBorders>
                  <w:shd w:val="clear" w:color="auto" w:fill="auto"/>
                  <w:vAlign w:val="center"/>
                </w:tcPr>
                <w:p w14:paraId="79CDE1AA">
                  <w:pPr>
                    <w:jc w:val="center"/>
                    <w:rPr>
                      <w:rFonts w:hint="default" w:ascii="Times New Roman" w:hAnsi="Times New Roman" w:eastAsia="宋体" w:cs="Times New Roman"/>
                      <w:i w:val="0"/>
                      <w:iCs w:val="0"/>
                      <w:color w:val="auto"/>
                      <w:sz w:val="22"/>
                      <w:szCs w:val="22"/>
                      <w:highlight w:val="none"/>
                      <w:u w:val="none"/>
                    </w:rPr>
                  </w:pPr>
                </w:p>
              </w:tc>
            </w:tr>
          </w:tbl>
          <w:p w14:paraId="2C326FA4">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firstLine="480" w:firstLineChars="200"/>
              <w:jc w:val="both"/>
              <w:textAlignment w:val="auto"/>
              <w:rPr>
                <w:rFonts w:hint="default"/>
                <w:b w:val="0"/>
                <w:bCs/>
                <w:color w:val="auto"/>
                <w:kern w:val="2"/>
                <w:sz w:val="24"/>
                <w:szCs w:val="24"/>
                <w:highlight w:val="none"/>
                <w:lang w:val="en-US" w:eastAsia="zh-CN"/>
              </w:rPr>
            </w:pPr>
            <w:r>
              <w:rPr>
                <w:rFonts w:hint="eastAsia"/>
                <w:b w:val="0"/>
                <w:bCs/>
                <w:color w:val="auto"/>
                <w:kern w:val="2"/>
                <w:sz w:val="24"/>
                <w:szCs w:val="24"/>
                <w:highlight w:val="none"/>
                <w:lang w:val="en-US" w:eastAsia="zh-CN"/>
              </w:rPr>
              <w:t>本次扩建项目依托原有设备，故可引用2024年12月31日委托陕西鑫安合辉环保科技有限公司对四周厂界进行噪声监测（附件8），结果如表4-14所示。</w:t>
            </w:r>
          </w:p>
          <w:p w14:paraId="734717C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422" w:firstLineChars="175"/>
              <w:jc w:val="center"/>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表4-</w:t>
            </w:r>
            <w:r>
              <w:rPr>
                <w:rFonts w:hint="eastAsia" w:cs="Times New Roman"/>
                <w:b/>
                <w:bCs/>
                <w:color w:val="auto"/>
                <w:kern w:val="2"/>
                <w:sz w:val="24"/>
                <w:szCs w:val="24"/>
                <w:highlight w:val="none"/>
                <w:lang w:val="en-US" w:eastAsia="zh-CN" w:bidi="ar-SA"/>
              </w:rPr>
              <w:t xml:space="preserve">14 </w:t>
            </w:r>
            <w:r>
              <w:rPr>
                <w:rFonts w:hint="default" w:ascii="Times New Roman" w:hAnsi="Times New Roman" w:eastAsia="宋体" w:cs="Times New Roman"/>
                <w:b/>
                <w:bCs/>
                <w:color w:val="auto"/>
                <w:kern w:val="2"/>
                <w:sz w:val="24"/>
                <w:szCs w:val="24"/>
                <w:highlight w:val="none"/>
                <w:lang w:val="en-US" w:eastAsia="zh-CN" w:bidi="ar-SA"/>
              </w:rPr>
              <w:t>主要噪声污染源源强</w:t>
            </w:r>
            <w:r>
              <w:rPr>
                <w:rFonts w:hint="eastAsia" w:cs="Times New Roman"/>
                <w:b/>
                <w:bCs/>
                <w:color w:val="auto"/>
                <w:kern w:val="2"/>
                <w:sz w:val="24"/>
                <w:szCs w:val="24"/>
                <w:highlight w:val="none"/>
                <w:lang w:val="en-US" w:eastAsia="zh-CN" w:bidi="ar-SA"/>
              </w:rPr>
              <w:t>监测</w:t>
            </w:r>
            <w:r>
              <w:rPr>
                <w:rFonts w:hint="default" w:ascii="Times New Roman" w:hAnsi="Times New Roman" w:eastAsia="宋体" w:cs="Times New Roman"/>
                <w:b/>
                <w:bCs/>
                <w:color w:val="auto"/>
                <w:kern w:val="2"/>
                <w:sz w:val="24"/>
                <w:szCs w:val="24"/>
                <w:highlight w:val="none"/>
                <w:lang w:val="en-US" w:eastAsia="zh-CN" w:bidi="ar-SA"/>
              </w:rPr>
              <w:t>结果</w:t>
            </w:r>
          </w:p>
          <w:tbl>
            <w:tblPr>
              <w:tblStyle w:val="30"/>
              <w:tblW w:w="7557"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509"/>
              <w:gridCol w:w="1410"/>
              <w:gridCol w:w="1503"/>
              <w:gridCol w:w="1683"/>
            </w:tblGrid>
            <w:tr w14:paraId="6BDBE5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452" w:type="dxa"/>
                  <w:vMerge w:val="restart"/>
                  <w:tcBorders>
                    <w:tl2br w:val="nil"/>
                    <w:tr2bl w:val="nil"/>
                  </w:tcBorders>
                  <w:noWrap w:val="0"/>
                  <w:vAlign w:val="center"/>
                </w:tcPr>
                <w:p w14:paraId="20E9CE92">
                  <w:pPr>
                    <w:pStyle w:val="65"/>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监测点位</w:t>
                  </w:r>
                </w:p>
              </w:tc>
              <w:tc>
                <w:tcPr>
                  <w:tcW w:w="1509" w:type="dxa"/>
                  <w:tcBorders>
                    <w:tl2br w:val="nil"/>
                    <w:tr2bl w:val="nil"/>
                  </w:tcBorders>
                  <w:noWrap w:val="0"/>
                  <w:vAlign w:val="center"/>
                </w:tcPr>
                <w:p w14:paraId="001E9AAC">
                  <w:pPr>
                    <w:pStyle w:val="65"/>
                    <w:jc w:val="center"/>
                    <w:rPr>
                      <w:rFonts w:hint="default" w:eastAsia="宋体"/>
                      <w:color w:val="auto"/>
                      <w:highlight w:val="none"/>
                      <w:lang w:val="en-US" w:eastAsia="zh-CN"/>
                    </w:rPr>
                  </w:pPr>
                  <w:r>
                    <w:rPr>
                      <w:rFonts w:hint="eastAsia" w:ascii="Times New Roman" w:hAnsi="Times New Roman" w:eastAsia="宋体" w:cs="Times New Roman"/>
                      <w:b/>
                      <w:bCs/>
                      <w:color w:val="auto"/>
                      <w:sz w:val="21"/>
                      <w:szCs w:val="21"/>
                      <w:highlight w:val="none"/>
                      <w:lang w:val="en-US" w:eastAsia="zh-CN"/>
                    </w:rPr>
                    <w:t>1#</w:t>
                  </w:r>
                  <w:r>
                    <w:rPr>
                      <w:rFonts w:ascii="Times New Roman" w:hAnsi="Times New Roman" w:eastAsia="宋体" w:cs="Times New Roman"/>
                      <w:b/>
                      <w:bCs/>
                      <w:color w:val="auto"/>
                      <w:sz w:val="21"/>
                      <w:szCs w:val="21"/>
                      <w:highlight w:val="none"/>
                    </w:rPr>
                    <w:t>东厂界</w:t>
                  </w:r>
                </w:p>
              </w:tc>
              <w:tc>
                <w:tcPr>
                  <w:tcW w:w="1410" w:type="dxa"/>
                  <w:tcBorders>
                    <w:tl2br w:val="nil"/>
                    <w:tr2bl w:val="nil"/>
                  </w:tcBorders>
                  <w:noWrap w:val="0"/>
                  <w:vAlign w:val="center"/>
                </w:tcPr>
                <w:p w14:paraId="1C849FAD">
                  <w:pPr>
                    <w:pStyle w:val="65"/>
                    <w:jc w:val="center"/>
                    <w:rPr>
                      <w:color w:val="auto"/>
                      <w:highlight w:val="none"/>
                    </w:rPr>
                  </w:pPr>
                  <w:r>
                    <w:rPr>
                      <w:rFonts w:hint="eastAsia" w:ascii="Times New Roman" w:hAnsi="Times New Roman" w:eastAsia="宋体" w:cs="Times New Roman"/>
                      <w:b/>
                      <w:bCs/>
                      <w:color w:val="auto"/>
                      <w:sz w:val="21"/>
                      <w:szCs w:val="21"/>
                      <w:highlight w:val="none"/>
                      <w:lang w:val="en-US" w:eastAsia="zh-CN"/>
                    </w:rPr>
                    <w:t>2#</w:t>
                  </w:r>
                  <w:r>
                    <w:rPr>
                      <w:rFonts w:ascii="Times New Roman" w:hAnsi="Times New Roman" w:eastAsia="宋体" w:cs="Times New Roman"/>
                      <w:b/>
                      <w:bCs/>
                      <w:color w:val="auto"/>
                      <w:sz w:val="21"/>
                      <w:szCs w:val="21"/>
                      <w:highlight w:val="none"/>
                    </w:rPr>
                    <w:t>南厂界</w:t>
                  </w:r>
                </w:p>
              </w:tc>
              <w:tc>
                <w:tcPr>
                  <w:tcW w:w="1503" w:type="dxa"/>
                  <w:tcBorders>
                    <w:tl2br w:val="nil"/>
                    <w:tr2bl w:val="nil"/>
                  </w:tcBorders>
                  <w:noWrap w:val="0"/>
                  <w:vAlign w:val="center"/>
                </w:tcPr>
                <w:p w14:paraId="66C0E10A">
                  <w:pPr>
                    <w:pStyle w:val="65"/>
                    <w:jc w:val="center"/>
                    <w:rPr>
                      <w:color w:val="auto"/>
                      <w:highlight w:val="none"/>
                    </w:rPr>
                  </w:pPr>
                  <w:r>
                    <w:rPr>
                      <w:rFonts w:hint="eastAsia" w:ascii="Times New Roman" w:hAnsi="Times New Roman" w:eastAsia="宋体" w:cs="Times New Roman"/>
                      <w:b/>
                      <w:bCs/>
                      <w:color w:val="auto"/>
                      <w:sz w:val="21"/>
                      <w:szCs w:val="21"/>
                      <w:highlight w:val="none"/>
                      <w:lang w:val="en-US" w:eastAsia="zh-CN"/>
                    </w:rPr>
                    <w:t>3#</w:t>
                  </w:r>
                  <w:r>
                    <w:rPr>
                      <w:rFonts w:ascii="Times New Roman" w:hAnsi="Times New Roman" w:eastAsia="宋体" w:cs="Times New Roman"/>
                      <w:b/>
                      <w:bCs/>
                      <w:color w:val="auto"/>
                      <w:sz w:val="21"/>
                      <w:szCs w:val="21"/>
                      <w:highlight w:val="none"/>
                    </w:rPr>
                    <w:t>西厂界</w:t>
                  </w:r>
                </w:p>
              </w:tc>
              <w:tc>
                <w:tcPr>
                  <w:tcW w:w="1683" w:type="dxa"/>
                  <w:tcBorders>
                    <w:tl2br w:val="nil"/>
                    <w:tr2bl w:val="nil"/>
                  </w:tcBorders>
                  <w:noWrap w:val="0"/>
                  <w:vAlign w:val="center"/>
                </w:tcPr>
                <w:p w14:paraId="30C33598">
                  <w:pPr>
                    <w:pStyle w:val="65"/>
                    <w:jc w:val="center"/>
                    <w:rPr>
                      <w:color w:val="auto"/>
                      <w:highlight w:val="none"/>
                    </w:rPr>
                  </w:pPr>
                  <w:r>
                    <w:rPr>
                      <w:rFonts w:hint="eastAsia" w:ascii="Times New Roman" w:hAnsi="Times New Roman" w:eastAsia="宋体" w:cs="Times New Roman"/>
                      <w:b/>
                      <w:bCs/>
                      <w:color w:val="auto"/>
                      <w:sz w:val="21"/>
                      <w:szCs w:val="21"/>
                      <w:highlight w:val="none"/>
                      <w:lang w:val="en-US" w:eastAsia="zh-CN"/>
                    </w:rPr>
                    <w:t>4#</w:t>
                  </w:r>
                  <w:r>
                    <w:rPr>
                      <w:rFonts w:ascii="Times New Roman" w:hAnsi="Times New Roman" w:eastAsia="宋体" w:cs="Times New Roman"/>
                      <w:b/>
                      <w:bCs/>
                      <w:color w:val="auto"/>
                      <w:sz w:val="21"/>
                      <w:szCs w:val="21"/>
                      <w:highlight w:val="none"/>
                    </w:rPr>
                    <w:t>北厂界</w:t>
                  </w:r>
                </w:p>
              </w:tc>
            </w:tr>
            <w:tr w14:paraId="4546A8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452" w:type="dxa"/>
                  <w:vMerge w:val="continue"/>
                  <w:tcBorders>
                    <w:tl2br w:val="nil"/>
                    <w:tr2bl w:val="nil"/>
                  </w:tcBorders>
                  <w:noWrap w:val="0"/>
                  <w:vAlign w:val="center"/>
                </w:tcPr>
                <w:p w14:paraId="12054762">
                  <w:pPr>
                    <w:pStyle w:val="65"/>
                    <w:jc w:val="center"/>
                    <w:rPr>
                      <w:rFonts w:hint="eastAsia" w:ascii="Times New Roman" w:hAnsi="Times New Roman" w:eastAsia="宋体" w:cs="Times New Roman"/>
                      <w:b/>
                      <w:bCs/>
                      <w:color w:val="auto"/>
                      <w:sz w:val="21"/>
                      <w:szCs w:val="21"/>
                      <w:highlight w:val="none"/>
                      <w:lang w:val="en-US" w:eastAsia="zh-CN"/>
                    </w:rPr>
                  </w:pPr>
                </w:p>
              </w:tc>
              <w:tc>
                <w:tcPr>
                  <w:tcW w:w="1509" w:type="dxa"/>
                  <w:tcBorders>
                    <w:tl2br w:val="nil"/>
                    <w:tr2bl w:val="nil"/>
                  </w:tcBorders>
                  <w:noWrap w:val="0"/>
                  <w:vAlign w:val="center"/>
                </w:tcPr>
                <w:p w14:paraId="69DD9ADD">
                  <w:pPr>
                    <w:pStyle w:val="65"/>
                    <w:jc w:val="center"/>
                    <w:rPr>
                      <w:rFonts w:hint="eastAsia"/>
                      <w:color w:val="auto"/>
                      <w:highlight w:val="none"/>
                      <w:lang w:val="en-US" w:eastAsia="zh-CN"/>
                    </w:rPr>
                  </w:pPr>
                  <w:r>
                    <w:rPr>
                      <w:rFonts w:ascii="Times New Roman" w:hAnsi="Times New Roman" w:eastAsia="宋体" w:cs="Times New Roman"/>
                      <w:b/>
                      <w:bCs/>
                      <w:color w:val="auto"/>
                      <w:sz w:val="21"/>
                      <w:szCs w:val="21"/>
                      <w:highlight w:val="none"/>
                    </w:rPr>
                    <w:t>昼间</w:t>
                  </w:r>
                </w:p>
              </w:tc>
              <w:tc>
                <w:tcPr>
                  <w:tcW w:w="1410" w:type="dxa"/>
                  <w:tcBorders>
                    <w:tl2br w:val="nil"/>
                    <w:tr2bl w:val="nil"/>
                  </w:tcBorders>
                  <w:noWrap w:val="0"/>
                  <w:vAlign w:val="center"/>
                </w:tcPr>
                <w:p w14:paraId="0233E0A2">
                  <w:pPr>
                    <w:pStyle w:val="65"/>
                    <w:jc w:val="center"/>
                    <w:rPr>
                      <w:color w:val="auto"/>
                      <w:highlight w:val="none"/>
                    </w:rPr>
                  </w:pPr>
                  <w:r>
                    <w:rPr>
                      <w:rFonts w:ascii="Times New Roman" w:hAnsi="Times New Roman" w:eastAsia="宋体" w:cs="Times New Roman"/>
                      <w:b/>
                      <w:bCs/>
                      <w:color w:val="auto"/>
                      <w:sz w:val="21"/>
                      <w:szCs w:val="21"/>
                      <w:highlight w:val="none"/>
                    </w:rPr>
                    <w:t>昼间</w:t>
                  </w:r>
                </w:p>
              </w:tc>
              <w:tc>
                <w:tcPr>
                  <w:tcW w:w="1503" w:type="dxa"/>
                  <w:tcBorders>
                    <w:tl2br w:val="nil"/>
                    <w:tr2bl w:val="nil"/>
                  </w:tcBorders>
                  <w:noWrap w:val="0"/>
                  <w:vAlign w:val="center"/>
                </w:tcPr>
                <w:p w14:paraId="58EB6F0F">
                  <w:pPr>
                    <w:pStyle w:val="65"/>
                    <w:jc w:val="center"/>
                    <w:rPr>
                      <w:color w:val="auto"/>
                      <w:highlight w:val="none"/>
                    </w:rPr>
                  </w:pPr>
                  <w:r>
                    <w:rPr>
                      <w:rFonts w:ascii="Times New Roman" w:hAnsi="Times New Roman" w:eastAsia="宋体" w:cs="Times New Roman"/>
                      <w:b/>
                      <w:bCs/>
                      <w:color w:val="auto"/>
                      <w:sz w:val="21"/>
                      <w:szCs w:val="21"/>
                      <w:highlight w:val="none"/>
                    </w:rPr>
                    <w:t>昼间</w:t>
                  </w:r>
                </w:p>
              </w:tc>
              <w:tc>
                <w:tcPr>
                  <w:tcW w:w="1683" w:type="dxa"/>
                  <w:tcBorders>
                    <w:tl2br w:val="nil"/>
                    <w:tr2bl w:val="nil"/>
                  </w:tcBorders>
                  <w:noWrap w:val="0"/>
                  <w:vAlign w:val="center"/>
                </w:tcPr>
                <w:p w14:paraId="0885D9EE">
                  <w:pPr>
                    <w:pStyle w:val="65"/>
                    <w:jc w:val="center"/>
                    <w:rPr>
                      <w:color w:val="auto"/>
                      <w:highlight w:val="none"/>
                    </w:rPr>
                  </w:pPr>
                  <w:r>
                    <w:rPr>
                      <w:rFonts w:ascii="Times New Roman" w:hAnsi="Times New Roman" w:eastAsia="宋体" w:cs="Times New Roman"/>
                      <w:b/>
                      <w:bCs/>
                      <w:color w:val="auto"/>
                      <w:sz w:val="21"/>
                      <w:szCs w:val="21"/>
                      <w:highlight w:val="none"/>
                    </w:rPr>
                    <w:t>昼间</w:t>
                  </w:r>
                </w:p>
              </w:tc>
            </w:tr>
            <w:tr w14:paraId="144ACF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452" w:type="dxa"/>
                  <w:tcBorders>
                    <w:tl2br w:val="nil"/>
                    <w:tr2bl w:val="nil"/>
                  </w:tcBorders>
                  <w:shd w:val="clear" w:color="auto" w:fill="auto"/>
                  <w:noWrap w:val="0"/>
                  <w:vAlign w:val="center"/>
                </w:tcPr>
                <w:p w14:paraId="529EADDE">
                  <w:pPr>
                    <w:pStyle w:val="65"/>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sz w:val="21"/>
                      <w:szCs w:val="21"/>
                      <w:highlight w:val="none"/>
                      <w:lang w:val="en-US" w:eastAsia="zh-CN"/>
                    </w:rPr>
                    <w:t>监测</w:t>
                  </w:r>
                  <w:r>
                    <w:rPr>
                      <w:rFonts w:ascii="Times New Roman" w:hAnsi="Times New Roman" w:eastAsia="宋体" w:cs="Times New Roman"/>
                      <w:b/>
                      <w:bCs/>
                      <w:color w:val="auto"/>
                      <w:sz w:val="21"/>
                      <w:szCs w:val="21"/>
                      <w:highlight w:val="none"/>
                    </w:rPr>
                    <w:t>值（</w:t>
                  </w:r>
                  <w:r>
                    <w:rPr>
                      <w:rFonts w:ascii="Times New Roman" w:hAnsi="Times New Roman" w:eastAsia="宋体" w:cs="Times New Roman"/>
                      <w:b/>
                      <w:bCs/>
                      <w:color w:val="auto"/>
                      <w:spacing w:val="-8"/>
                      <w:sz w:val="21"/>
                      <w:szCs w:val="21"/>
                      <w:highlight w:val="none"/>
                    </w:rPr>
                    <w:t>d</w:t>
                  </w:r>
                  <w:r>
                    <w:rPr>
                      <w:rFonts w:ascii="Times New Roman" w:hAnsi="Times New Roman" w:eastAsia="宋体" w:cs="Times New Roman"/>
                      <w:b/>
                      <w:bCs/>
                      <w:color w:val="auto"/>
                      <w:spacing w:val="-4"/>
                      <w:sz w:val="21"/>
                      <w:szCs w:val="21"/>
                      <w:highlight w:val="none"/>
                    </w:rPr>
                    <w:t>B</w:t>
                  </w:r>
                  <w:r>
                    <w:rPr>
                      <w:rFonts w:ascii="Times New Roman" w:hAnsi="Times New Roman" w:eastAsia="宋体" w:cs="Times New Roman"/>
                      <w:b/>
                      <w:bCs/>
                      <w:color w:val="auto"/>
                      <w:sz w:val="21"/>
                      <w:szCs w:val="21"/>
                      <w:highlight w:val="none"/>
                    </w:rPr>
                    <w:t>）</w:t>
                  </w:r>
                </w:p>
              </w:tc>
              <w:tc>
                <w:tcPr>
                  <w:tcW w:w="1509" w:type="dxa"/>
                  <w:tcBorders>
                    <w:tl2br w:val="nil"/>
                    <w:tr2bl w:val="nil"/>
                  </w:tcBorders>
                  <w:shd w:val="clear" w:color="auto" w:fill="auto"/>
                  <w:noWrap w:val="0"/>
                  <w:vAlign w:val="center"/>
                </w:tcPr>
                <w:p w14:paraId="209892ED">
                  <w:pPr>
                    <w:pStyle w:val="65"/>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49</w:t>
                  </w:r>
                </w:p>
              </w:tc>
              <w:tc>
                <w:tcPr>
                  <w:tcW w:w="1410" w:type="dxa"/>
                  <w:tcBorders>
                    <w:tl2br w:val="nil"/>
                    <w:tr2bl w:val="nil"/>
                  </w:tcBorders>
                  <w:shd w:val="clear" w:color="auto" w:fill="auto"/>
                  <w:noWrap w:val="0"/>
                  <w:vAlign w:val="center"/>
                </w:tcPr>
                <w:p w14:paraId="3571EFF8">
                  <w:pPr>
                    <w:pStyle w:val="65"/>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52</w:t>
                  </w:r>
                </w:p>
              </w:tc>
              <w:tc>
                <w:tcPr>
                  <w:tcW w:w="1503" w:type="dxa"/>
                  <w:tcBorders>
                    <w:tl2br w:val="nil"/>
                    <w:tr2bl w:val="nil"/>
                  </w:tcBorders>
                  <w:shd w:val="clear" w:color="auto" w:fill="auto"/>
                  <w:noWrap w:val="0"/>
                  <w:vAlign w:val="center"/>
                </w:tcPr>
                <w:p w14:paraId="0C6919BE">
                  <w:pPr>
                    <w:jc w:val="cente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49</w:t>
                  </w:r>
                </w:p>
              </w:tc>
              <w:tc>
                <w:tcPr>
                  <w:tcW w:w="1683" w:type="dxa"/>
                  <w:tcBorders>
                    <w:tl2br w:val="nil"/>
                    <w:tr2bl w:val="nil"/>
                  </w:tcBorders>
                  <w:shd w:val="clear" w:color="auto" w:fill="auto"/>
                  <w:noWrap w:val="0"/>
                  <w:vAlign w:val="center"/>
                </w:tcPr>
                <w:p w14:paraId="56055265">
                  <w:pPr>
                    <w:pStyle w:val="65"/>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48</w:t>
                  </w:r>
                </w:p>
              </w:tc>
            </w:tr>
            <w:tr w14:paraId="544D19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452" w:type="dxa"/>
                  <w:shd w:val="clear" w:color="auto" w:fill="auto"/>
                  <w:vAlign w:val="center"/>
                </w:tcPr>
                <w:p w14:paraId="2A5D1925">
                  <w:pPr>
                    <w:pStyle w:val="65"/>
                    <w:jc w:val="center"/>
                    <w:rPr>
                      <w:rFonts w:hint="eastAsia"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sz w:val="21"/>
                      <w:szCs w:val="21"/>
                      <w:highlight w:val="none"/>
                    </w:rPr>
                    <w:t>标准值（</w:t>
                  </w:r>
                  <w:r>
                    <w:rPr>
                      <w:rFonts w:ascii="Times New Roman" w:hAnsi="Times New Roman" w:eastAsia="宋体" w:cs="Times New Roman"/>
                      <w:b/>
                      <w:bCs/>
                      <w:color w:val="auto"/>
                      <w:spacing w:val="-8"/>
                      <w:sz w:val="21"/>
                      <w:szCs w:val="21"/>
                      <w:highlight w:val="none"/>
                    </w:rPr>
                    <w:t>d</w:t>
                  </w:r>
                  <w:r>
                    <w:rPr>
                      <w:rFonts w:ascii="Times New Roman" w:hAnsi="Times New Roman" w:eastAsia="宋体" w:cs="Times New Roman"/>
                      <w:b/>
                      <w:bCs/>
                      <w:color w:val="auto"/>
                      <w:spacing w:val="-4"/>
                      <w:sz w:val="21"/>
                      <w:szCs w:val="21"/>
                      <w:highlight w:val="none"/>
                    </w:rPr>
                    <w:t>B</w:t>
                  </w:r>
                  <w:r>
                    <w:rPr>
                      <w:rFonts w:ascii="Times New Roman" w:hAnsi="Times New Roman" w:eastAsia="宋体" w:cs="Times New Roman"/>
                      <w:b/>
                      <w:bCs/>
                      <w:color w:val="auto"/>
                      <w:sz w:val="21"/>
                      <w:szCs w:val="21"/>
                      <w:highlight w:val="none"/>
                    </w:rPr>
                    <w:t>）</w:t>
                  </w:r>
                </w:p>
              </w:tc>
              <w:tc>
                <w:tcPr>
                  <w:tcW w:w="1509" w:type="dxa"/>
                  <w:shd w:val="clear" w:color="auto" w:fill="auto"/>
                  <w:vAlign w:val="center"/>
                </w:tcPr>
                <w:p w14:paraId="31FFF518">
                  <w:pPr>
                    <w:pStyle w:val="65"/>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rPr>
                    <w:t>6</w:t>
                  </w:r>
                  <w:r>
                    <w:rPr>
                      <w:rFonts w:hint="eastAsia" w:ascii="Times New Roman" w:hAnsi="Times New Roman" w:eastAsia="宋体" w:cs="Times New Roman"/>
                      <w:color w:val="auto"/>
                      <w:sz w:val="21"/>
                      <w:szCs w:val="21"/>
                      <w:highlight w:val="none"/>
                      <w:lang w:val="en-US" w:eastAsia="zh-CN"/>
                    </w:rPr>
                    <w:t>5</w:t>
                  </w:r>
                </w:p>
              </w:tc>
              <w:tc>
                <w:tcPr>
                  <w:tcW w:w="1410" w:type="dxa"/>
                  <w:shd w:val="clear" w:color="auto" w:fill="auto"/>
                  <w:vAlign w:val="center"/>
                </w:tcPr>
                <w:p w14:paraId="425CCD56">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6</w:t>
                  </w:r>
                  <w:r>
                    <w:rPr>
                      <w:rFonts w:hint="eastAsia"/>
                      <w:color w:val="auto"/>
                      <w:highlight w:val="none"/>
                      <w:lang w:val="en-US" w:eastAsia="zh-CN"/>
                    </w:rPr>
                    <w:t>5</w:t>
                  </w:r>
                </w:p>
              </w:tc>
              <w:tc>
                <w:tcPr>
                  <w:tcW w:w="1503" w:type="dxa"/>
                  <w:shd w:val="clear" w:color="auto" w:fill="auto"/>
                  <w:vAlign w:val="center"/>
                </w:tcPr>
                <w:p w14:paraId="628009E6">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6</w:t>
                  </w:r>
                  <w:r>
                    <w:rPr>
                      <w:rFonts w:hint="eastAsia"/>
                      <w:color w:val="auto"/>
                      <w:highlight w:val="none"/>
                      <w:lang w:val="en-US" w:eastAsia="zh-CN"/>
                    </w:rPr>
                    <w:t>5</w:t>
                  </w:r>
                </w:p>
              </w:tc>
              <w:tc>
                <w:tcPr>
                  <w:tcW w:w="1683" w:type="dxa"/>
                  <w:shd w:val="clear" w:color="auto" w:fill="auto"/>
                  <w:vAlign w:val="center"/>
                </w:tcPr>
                <w:p w14:paraId="23295A19">
                  <w:pPr>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6</w:t>
                  </w:r>
                  <w:r>
                    <w:rPr>
                      <w:rFonts w:hint="eastAsia"/>
                      <w:color w:val="auto"/>
                      <w:highlight w:val="none"/>
                      <w:lang w:val="en-US" w:eastAsia="zh-CN"/>
                    </w:rPr>
                    <w:t>5</w:t>
                  </w:r>
                </w:p>
              </w:tc>
            </w:tr>
            <w:tr w14:paraId="7056BF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452" w:type="dxa"/>
                  <w:shd w:val="clear" w:color="auto" w:fill="auto"/>
                  <w:vAlign w:val="center"/>
                </w:tcPr>
                <w:p w14:paraId="6F966C1F">
                  <w:pPr>
                    <w:pStyle w:val="65"/>
                    <w:jc w:val="center"/>
                    <w:rPr>
                      <w:rFonts w:hint="eastAsia"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sz w:val="21"/>
                      <w:szCs w:val="21"/>
                      <w:highlight w:val="none"/>
                    </w:rPr>
                    <w:t>达标分析</w:t>
                  </w:r>
                </w:p>
              </w:tc>
              <w:tc>
                <w:tcPr>
                  <w:tcW w:w="1509" w:type="dxa"/>
                  <w:shd w:val="clear" w:color="auto" w:fill="auto"/>
                  <w:vAlign w:val="center"/>
                </w:tcPr>
                <w:p w14:paraId="34FE3FEC">
                  <w:pPr>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达标</w:t>
                  </w:r>
                </w:p>
              </w:tc>
              <w:tc>
                <w:tcPr>
                  <w:tcW w:w="1410" w:type="dxa"/>
                  <w:shd w:val="clear" w:color="auto" w:fill="auto"/>
                  <w:vAlign w:val="center"/>
                </w:tcPr>
                <w:p w14:paraId="392D491A">
                  <w:pPr>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达标</w:t>
                  </w:r>
                </w:p>
              </w:tc>
              <w:tc>
                <w:tcPr>
                  <w:tcW w:w="1503" w:type="dxa"/>
                  <w:shd w:val="clear" w:color="auto" w:fill="auto"/>
                  <w:vAlign w:val="center"/>
                </w:tcPr>
                <w:p w14:paraId="52E84E95">
                  <w:pPr>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达标</w:t>
                  </w:r>
                </w:p>
              </w:tc>
              <w:tc>
                <w:tcPr>
                  <w:tcW w:w="1683" w:type="dxa"/>
                  <w:shd w:val="clear" w:color="auto" w:fill="auto"/>
                  <w:vAlign w:val="center"/>
                </w:tcPr>
                <w:p w14:paraId="765C23A7">
                  <w:pPr>
                    <w:jc w:val="center"/>
                    <w:rPr>
                      <w:rFonts w:ascii="Times New Roman" w:hAnsi="Times New Roman" w:eastAsia="宋体" w:cs="Times New Roman"/>
                      <w:color w:val="auto"/>
                      <w:kern w:val="2"/>
                      <w:sz w:val="21"/>
                      <w:szCs w:val="24"/>
                      <w:highlight w:val="none"/>
                      <w:lang w:val="en-US" w:eastAsia="zh-CN" w:bidi="ar-SA"/>
                    </w:rPr>
                  </w:pPr>
                  <w:r>
                    <w:rPr>
                      <w:color w:val="auto"/>
                      <w:highlight w:val="none"/>
                    </w:rPr>
                    <w:t>达标</w:t>
                  </w:r>
                </w:p>
              </w:tc>
            </w:tr>
          </w:tbl>
          <w:p w14:paraId="6073A7DF">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422" w:firstLineChars="175"/>
              <w:jc w:val="center"/>
              <w:textAlignment w:val="auto"/>
              <w:rPr>
                <w:rFonts w:hint="default" w:ascii="Times New Roman" w:hAnsi="Times New Roman" w:eastAsia="宋体" w:cs="Times New Roman"/>
                <w:b/>
                <w:bCs/>
                <w:color w:val="auto"/>
                <w:kern w:val="2"/>
                <w:sz w:val="24"/>
                <w:szCs w:val="24"/>
                <w:highlight w:val="none"/>
                <w:lang w:val="en-US" w:eastAsia="zh-CN" w:bidi="ar-SA"/>
              </w:rPr>
            </w:pPr>
          </w:p>
          <w:p w14:paraId="5E06C4DA">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w:t>
            </w:r>
            <w:r>
              <w:rPr>
                <w:rFonts w:hint="eastAsia" w:cs="Times New Roman"/>
                <w:color w:val="auto"/>
                <w:sz w:val="24"/>
                <w:szCs w:val="24"/>
                <w:highlight w:val="none"/>
                <w:lang w:val="en-US" w:eastAsia="zh-CN"/>
              </w:rPr>
              <w:t>现状</w:t>
            </w:r>
            <w:r>
              <w:rPr>
                <w:rFonts w:hint="default" w:ascii="Times New Roman" w:hAnsi="Times New Roman" w:eastAsia="宋体" w:cs="Times New Roman"/>
                <w:color w:val="auto"/>
                <w:sz w:val="24"/>
                <w:szCs w:val="24"/>
                <w:highlight w:val="none"/>
              </w:rPr>
              <w:t>监测结果可知，项目</w:t>
            </w:r>
            <w:r>
              <w:rPr>
                <w:rFonts w:hint="default" w:ascii="Times New Roman" w:hAnsi="Times New Roman" w:eastAsia="宋体" w:cs="Times New Roman"/>
                <w:color w:val="auto"/>
                <w:sz w:val="24"/>
                <w:szCs w:val="24"/>
                <w:highlight w:val="none"/>
                <w:lang w:val="en-US" w:eastAsia="zh-CN"/>
              </w:rPr>
              <w:t>四周噪声满足</w:t>
            </w:r>
            <w:r>
              <w:rPr>
                <w:rFonts w:hint="default" w:ascii="Times New Roman" w:hAnsi="Times New Roman" w:eastAsia="宋体" w:cs="Times New Roman"/>
                <w:color w:val="auto"/>
                <w:sz w:val="24"/>
                <w:szCs w:val="24"/>
                <w:highlight w:val="none"/>
              </w:rPr>
              <w:t>《工业企业厂界环境噪声排放标准》（GB12348-2008）</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类标准</w:t>
            </w:r>
            <w:r>
              <w:rPr>
                <w:rFonts w:hint="default" w:ascii="Times New Roman" w:hAnsi="Times New Roman" w:eastAsia="宋体" w:cs="Times New Roman"/>
                <w:color w:val="auto"/>
                <w:sz w:val="24"/>
                <w:szCs w:val="24"/>
                <w:highlight w:val="none"/>
                <w:lang w:val="en-US" w:eastAsia="zh-CN"/>
              </w:rPr>
              <w:t>限值要求</w:t>
            </w:r>
            <w:r>
              <w:rPr>
                <w:rFonts w:hint="default" w:ascii="Times New Roman" w:hAnsi="Times New Roman" w:eastAsia="宋体" w:cs="Times New Roman"/>
                <w:color w:val="auto"/>
                <w:sz w:val="24"/>
                <w:szCs w:val="24"/>
                <w:highlight w:val="none"/>
              </w:rPr>
              <w:t>。</w:t>
            </w:r>
          </w:p>
          <w:p w14:paraId="3650086D">
            <w:pPr>
              <w:spacing w:line="360" w:lineRule="auto"/>
              <w:ind w:firstLine="502" w:firstLineChars="200"/>
              <w:rPr>
                <w:rFonts w:hint="default" w:ascii="Times New Roman" w:hAnsi="Times New Roman" w:eastAsia="宋体" w:cs="Times New Roman"/>
                <w:b/>
                <w:bCs/>
                <w:color w:val="auto"/>
                <w:sz w:val="24"/>
                <w:szCs w:val="24"/>
                <w:highlight w:val="none"/>
              </w:rPr>
            </w:pPr>
            <w:r>
              <w:rPr>
                <w:rFonts w:hint="default" w:ascii="Times New Roman" w:hAnsi="Times New Roman" w:cs="Times New Roman" w:eastAsiaTheme="minorEastAsia"/>
                <w:b/>
                <w:bCs/>
                <w:color w:val="auto"/>
                <w:spacing w:val="5"/>
                <w:sz w:val="24"/>
                <w:szCs w:val="24"/>
                <w:highlight w:val="none"/>
                <w:lang w:eastAsia="zh-CN"/>
              </w:rPr>
              <w:t>（</w:t>
            </w:r>
            <w:r>
              <w:rPr>
                <w:rFonts w:hint="eastAsia" w:cs="Times New Roman" w:eastAsiaTheme="minorEastAsia"/>
                <w:b/>
                <w:bCs/>
                <w:color w:val="auto"/>
                <w:spacing w:val="5"/>
                <w:sz w:val="24"/>
                <w:szCs w:val="24"/>
                <w:highlight w:val="none"/>
                <w:lang w:val="en-US" w:eastAsia="zh-CN"/>
              </w:rPr>
              <w:t>2</w:t>
            </w:r>
            <w:r>
              <w:rPr>
                <w:rFonts w:hint="default" w:ascii="Times New Roman" w:hAnsi="Times New Roman" w:cs="Times New Roman" w:eastAsiaTheme="minorEastAsia"/>
                <w:b/>
                <w:bCs/>
                <w:color w:val="auto"/>
                <w:spacing w:val="5"/>
                <w:sz w:val="24"/>
                <w:szCs w:val="24"/>
                <w:highlight w:val="none"/>
              </w:rPr>
              <w:t>）</w:t>
            </w:r>
            <w:r>
              <w:rPr>
                <w:rFonts w:hint="default" w:ascii="Times New Roman" w:hAnsi="Times New Roman" w:eastAsia="宋体" w:cs="Times New Roman"/>
                <w:b/>
                <w:bCs/>
                <w:color w:val="auto"/>
                <w:sz w:val="24"/>
                <w:szCs w:val="24"/>
                <w:highlight w:val="none"/>
              </w:rPr>
              <w:t>运营期噪声监测计划</w:t>
            </w:r>
          </w:p>
          <w:p w14:paraId="05021982">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项目营运期噪声监测计划</w:t>
            </w:r>
            <w:r>
              <w:rPr>
                <w:rFonts w:hint="default" w:ascii="Times New Roman" w:hAnsi="Times New Roman" w:eastAsia="宋体" w:cs="Times New Roman"/>
                <w:color w:val="auto"/>
                <w:sz w:val="24"/>
                <w:szCs w:val="24"/>
                <w:highlight w:val="none"/>
                <w:lang w:val="en-US" w:eastAsia="zh-CN"/>
              </w:rPr>
              <w:t>纳入企业现有监测计划。</w:t>
            </w:r>
          </w:p>
          <w:p w14:paraId="4BD2F76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kern w:val="0"/>
                <w:sz w:val="24"/>
                <w:szCs w:val="24"/>
                <w:highlight w:val="none"/>
                <w:lang w:bidi="ar"/>
              </w:rPr>
              <w:t>表</w:t>
            </w:r>
            <w:r>
              <w:rPr>
                <w:rFonts w:hint="default" w:ascii="Times New Roman" w:hAnsi="Times New Roman" w:eastAsia="宋体" w:cs="Times New Roman"/>
                <w:b/>
                <w:bCs/>
                <w:color w:val="auto"/>
                <w:kern w:val="0"/>
                <w:sz w:val="24"/>
                <w:szCs w:val="24"/>
                <w:highlight w:val="none"/>
                <w:lang w:val="en-US" w:eastAsia="zh-CN" w:bidi="ar"/>
              </w:rPr>
              <w:t>4-</w:t>
            </w:r>
            <w:r>
              <w:rPr>
                <w:rFonts w:hint="default" w:ascii="Times New Roman" w:hAnsi="Times New Roman" w:cs="Times New Roman"/>
                <w:b/>
                <w:bCs/>
                <w:color w:val="auto"/>
                <w:kern w:val="0"/>
                <w:sz w:val="24"/>
                <w:szCs w:val="24"/>
                <w:highlight w:val="none"/>
                <w:lang w:val="en-US" w:eastAsia="zh-CN" w:bidi="ar"/>
              </w:rPr>
              <w:t>1</w:t>
            </w:r>
            <w:r>
              <w:rPr>
                <w:rFonts w:hint="eastAsia" w:cs="Times New Roman"/>
                <w:b/>
                <w:bCs/>
                <w:color w:val="auto"/>
                <w:kern w:val="0"/>
                <w:sz w:val="24"/>
                <w:szCs w:val="24"/>
                <w:highlight w:val="none"/>
                <w:lang w:val="en-US" w:eastAsia="zh-CN" w:bidi="ar"/>
              </w:rPr>
              <w:t>5</w:t>
            </w:r>
            <w:r>
              <w:rPr>
                <w:rFonts w:hint="default" w:ascii="Times New Roman" w:hAnsi="Times New Roman" w:eastAsia="宋体" w:cs="Times New Roman"/>
                <w:b/>
                <w:bCs/>
                <w:color w:val="auto"/>
                <w:kern w:val="0"/>
                <w:sz w:val="24"/>
                <w:szCs w:val="24"/>
                <w:highlight w:val="none"/>
                <w:lang w:val="en-US" w:eastAsia="zh-CN" w:bidi="ar"/>
              </w:rPr>
              <w:t xml:space="preserve"> </w:t>
            </w:r>
            <w:r>
              <w:rPr>
                <w:rFonts w:hint="default" w:ascii="Times New Roman" w:hAnsi="Times New Roman" w:eastAsia="宋体" w:cs="Times New Roman"/>
                <w:b/>
                <w:bCs/>
                <w:color w:val="auto"/>
                <w:kern w:val="0"/>
                <w:sz w:val="24"/>
                <w:szCs w:val="24"/>
                <w:highlight w:val="none"/>
                <w:lang w:bidi="ar"/>
              </w:rPr>
              <w:t>运营期环境监测计划</w:t>
            </w:r>
          </w:p>
          <w:tbl>
            <w:tblPr>
              <w:tblStyle w:val="30"/>
              <w:tblW w:w="759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9"/>
              <w:gridCol w:w="450"/>
              <w:gridCol w:w="618"/>
              <w:gridCol w:w="591"/>
              <w:gridCol w:w="547"/>
              <w:gridCol w:w="2378"/>
              <w:gridCol w:w="2378"/>
            </w:tblGrid>
            <w:tr w14:paraId="26B36C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l2br w:val="nil"/>
                    <w:tr2bl w:val="nil"/>
                  </w:tcBorders>
                  <w:noWrap w:val="0"/>
                  <w:vAlign w:val="center"/>
                </w:tcPr>
                <w:p w14:paraId="695465EB">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污染源名称</w:t>
                  </w:r>
                </w:p>
              </w:tc>
              <w:tc>
                <w:tcPr>
                  <w:tcW w:w="296" w:type="pct"/>
                  <w:tcBorders>
                    <w:tl2br w:val="nil"/>
                    <w:tr2bl w:val="nil"/>
                  </w:tcBorders>
                  <w:noWrap w:val="0"/>
                  <w:vAlign w:val="center"/>
                </w:tcPr>
                <w:p w14:paraId="60371199">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监测项目</w:t>
                  </w:r>
                </w:p>
              </w:tc>
              <w:tc>
                <w:tcPr>
                  <w:tcW w:w="407" w:type="pct"/>
                  <w:tcBorders>
                    <w:tl2br w:val="nil"/>
                    <w:tr2bl w:val="nil"/>
                  </w:tcBorders>
                  <w:noWrap w:val="0"/>
                  <w:vAlign w:val="center"/>
                </w:tcPr>
                <w:p w14:paraId="4CEF9520">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监测点位置</w:t>
                  </w:r>
                </w:p>
              </w:tc>
              <w:tc>
                <w:tcPr>
                  <w:tcW w:w="389" w:type="pct"/>
                  <w:tcBorders>
                    <w:tl2br w:val="nil"/>
                    <w:tr2bl w:val="nil"/>
                  </w:tcBorders>
                  <w:noWrap w:val="0"/>
                  <w:vAlign w:val="center"/>
                </w:tcPr>
                <w:p w14:paraId="5C41E145">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w:t>
                  </w:r>
                </w:p>
                <w:p w14:paraId="756D044D">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点数</w:t>
                  </w:r>
                </w:p>
              </w:tc>
              <w:tc>
                <w:tcPr>
                  <w:tcW w:w="360" w:type="pct"/>
                  <w:tcBorders>
                    <w:tl2br w:val="nil"/>
                    <w:tr2bl w:val="nil"/>
                  </w:tcBorders>
                  <w:noWrap w:val="0"/>
                  <w:vAlign w:val="center"/>
                </w:tcPr>
                <w:p w14:paraId="58850C78">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w:t>
                  </w:r>
                </w:p>
                <w:p w14:paraId="33409CFF">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频率</w:t>
                  </w:r>
                </w:p>
              </w:tc>
              <w:tc>
                <w:tcPr>
                  <w:tcW w:w="1565" w:type="pct"/>
                  <w:tcBorders>
                    <w:tl2br w:val="nil"/>
                    <w:tr2bl w:val="nil"/>
                  </w:tcBorders>
                  <w:noWrap w:val="0"/>
                  <w:vAlign w:val="center"/>
                </w:tcPr>
                <w:p w14:paraId="42BC0741">
                  <w:pPr>
                    <w:spacing w:line="240" w:lineRule="exact"/>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rPr>
                    <w:t>控制指标</w:t>
                  </w:r>
                </w:p>
              </w:tc>
              <w:tc>
                <w:tcPr>
                  <w:tcW w:w="1565" w:type="pct"/>
                  <w:tcBorders>
                    <w:tl2br w:val="nil"/>
                    <w:tr2bl w:val="nil"/>
                  </w:tcBorders>
                  <w:noWrap w:val="0"/>
                  <w:vAlign w:val="center"/>
                </w:tcPr>
                <w:p w14:paraId="1503BCF4">
                  <w:pPr>
                    <w:spacing w:line="24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备注</w:t>
                  </w:r>
                </w:p>
              </w:tc>
            </w:tr>
            <w:tr w14:paraId="7E2C9A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 w:type="pct"/>
                  <w:tcBorders>
                    <w:tl2br w:val="nil"/>
                    <w:tr2bl w:val="nil"/>
                  </w:tcBorders>
                  <w:noWrap w:val="0"/>
                  <w:vAlign w:val="center"/>
                </w:tcPr>
                <w:p w14:paraId="3F8407C5">
                  <w:pPr>
                    <w:spacing w:line="240" w:lineRule="exact"/>
                    <w:jc w:val="center"/>
                    <w:rPr>
                      <w:rFonts w:hint="default" w:ascii="Times New Roman" w:hAnsi="Times New Roman" w:eastAsia="宋体" w:cs="Times New Roman"/>
                      <w:b w:val="0"/>
                      <w:bCs w:val="0"/>
                      <w:color w:val="auto"/>
                      <w:szCs w:val="21"/>
                      <w:highlight w:val="none"/>
                      <w:lang w:eastAsia="zh-CN"/>
                    </w:rPr>
                  </w:pPr>
                  <w:r>
                    <w:rPr>
                      <w:rFonts w:hint="default" w:ascii="Times New Roman" w:hAnsi="Times New Roman" w:cs="Times New Roman"/>
                      <w:b w:val="0"/>
                      <w:bCs w:val="0"/>
                      <w:color w:val="auto"/>
                      <w:szCs w:val="21"/>
                      <w:highlight w:val="none"/>
                      <w:lang w:val="en-US" w:eastAsia="zh-CN"/>
                    </w:rPr>
                    <w:t>研发</w:t>
                  </w:r>
                </w:p>
                <w:p w14:paraId="4CFA1408">
                  <w:pPr>
                    <w:spacing w:line="24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设备</w:t>
                  </w:r>
                </w:p>
              </w:tc>
              <w:tc>
                <w:tcPr>
                  <w:tcW w:w="296" w:type="pct"/>
                  <w:tcBorders>
                    <w:tl2br w:val="nil"/>
                    <w:tr2bl w:val="nil"/>
                  </w:tcBorders>
                  <w:noWrap w:val="0"/>
                  <w:vAlign w:val="center"/>
                </w:tcPr>
                <w:p w14:paraId="079A540A">
                  <w:pPr>
                    <w:spacing w:line="24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厂界噪声</w:t>
                  </w:r>
                </w:p>
              </w:tc>
              <w:tc>
                <w:tcPr>
                  <w:tcW w:w="407" w:type="pct"/>
                  <w:tcBorders>
                    <w:tl2br w:val="nil"/>
                    <w:tr2bl w:val="nil"/>
                  </w:tcBorders>
                  <w:noWrap w:val="0"/>
                  <w:vAlign w:val="center"/>
                </w:tcPr>
                <w:p w14:paraId="2C00C310">
                  <w:pPr>
                    <w:spacing w:line="24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厂界四周外1m</w:t>
                  </w:r>
                </w:p>
              </w:tc>
              <w:tc>
                <w:tcPr>
                  <w:tcW w:w="389" w:type="pct"/>
                  <w:tcBorders>
                    <w:tl2br w:val="nil"/>
                    <w:tr2bl w:val="nil"/>
                  </w:tcBorders>
                  <w:noWrap w:val="0"/>
                  <w:vAlign w:val="center"/>
                </w:tcPr>
                <w:p w14:paraId="2B55B23E">
                  <w:pPr>
                    <w:spacing w:line="24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4个点</w:t>
                  </w:r>
                </w:p>
              </w:tc>
              <w:tc>
                <w:tcPr>
                  <w:tcW w:w="360" w:type="pct"/>
                  <w:tcBorders>
                    <w:tl2br w:val="nil"/>
                    <w:tr2bl w:val="nil"/>
                  </w:tcBorders>
                  <w:noWrap w:val="0"/>
                  <w:vAlign w:val="center"/>
                </w:tcPr>
                <w:p w14:paraId="75C1113F">
                  <w:pPr>
                    <w:spacing w:line="240" w:lineRule="exact"/>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每</w:t>
                  </w:r>
                  <w:r>
                    <w:rPr>
                      <w:rFonts w:hint="default" w:ascii="Times New Roman" w:hAnsi="Times New Roman" w:eastAsia="宋体" w:cs="Times New Roman"/>
                      <w:b w:val="0"/>
                      <w:bCs w:val="0"/>
                      <w:color w:val="auto"/>
                      <w:szCs w:val="21"/>
                      <w:highlight w:val="none"/>
                      <w:lang w:eastAsia="zh-CN"/>
                    </w:rPr>
                    <w:t>季</w:t>
                  </w:r>
                  <w:r>
                    <w:rPr>
                      <w:rFonts w:hint="default" w:ascii="Times New Roman" w:hAnsi="Times New Roman" w:eastAsia="宋体" w:cs="Times New Roman"/>
                      <w:b w:val="0"/>
                      <w:bCs w:val="0"/>
                      <w:color w:val="auto"/>
                      <w:szCs w:val="21"/>
                      <w:highlight w:val="none"/>
                      <w:lang w:val="en-US" w:eastAsia="zh-CN"/>
                    </w:rPr>
                    <w:t>/</w:t>
                  </w:r>
                  <w:r>
                    <w:rPr>
                      <w:rFonts w:hint="default" w:ascii="Times New Roman" w:hAnsi="Times New Roman" w:eastAsia="宋体" w:cs="Times New Roman"/>
                      <w:b w:val="0"/>
                      <w:bCs w:val="0"/>
                      <w:color w:val="auto"/>
                      <w:szCs w:val="21"/>
                      <w:highlight w:val="none"/>
                    </w:rPr>
                    <w:t>1次</w:t>
                  </w:r>
                </w:p>
              </w:tc>
              <w:tc>
                <w:tcPr>
                  <w:tcW w:w="1565" w:type="pct"/>
                  <w:tcBorders>
                    <w:tl2br w:val="nil"/>
                    <w:tr2bl w:val="nil"/>
                  </w:tcBorders>
                  <w:noWrap w:val="0"/>
                  <w:vAlign w:val="center"/>
                </w:tcPr>
                <w:p w14:paraId="1D0C23BC">
                  <w:pPr>
                    <w:spacing w:line="24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《工业企业厂界环境噪声排放标准》（GB12348-2008）中</w:t>
                  </w:r>
                  <w:r>
                    <w:rPr>
                      <w:rFonts w:hint="default" w:ascii="Times New Roman" w:hAnsi="Times New Roman" w:eastAsia="宋体" w:cs="Times New Roman"/>
                      <w:b w:val="0"/>
                      <w:bCs w:val="0"/>
                      <w:color w:val="auto"/>
                      <w:szCs w:val="21"/>
                      <w:highlight w:val="none"/>
                      <w:lang w:val="en-US" w:eastAsia="zh-CN"/>
                    </w:rPr>
                    <w:t>3</w:t>
                  </w:r>
                  <w:r>
                    <w:rPr>
                      <w:rFonts w:hint="default" w:ascii="Times New Roman" w:hAnsi="Times New Roman" w:eastAsia="宋体" w:cs="Times New Roman"/>
                      <w:b w:val="0"/>
                      <w:bCs w:val="0"/>
                      <w:color w:val="auto"/>
                      <w:szCs w:val="21"/>
                      <w:highlight w:val="none"/>
                    </w:rPr>
                    <w:t>类标准</w:t>
                  </w:r>
                </w:p>
              </w:tc>
              <w:tc>
                <w:tcPr>
                  <w:tcW w:w="1565" w:type="pct"/>
                  <w:tcBorders>
                    <w:tl2br w:val="nil"/>
                    <w:tr2bl w:val="nil"/>
                  </w:tcBorders>
                  <w:noWrap w:val="0"/>
                  <w:vAlign w:val="center"/>
                </w:tcPr>
                <w:p w14:paraId="55B1F7B6">
                  <w:pPr>
                    <w:spacing w:line="240" w:lineRule="exact"/>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本项目夜间不运行</w:t>
                  </w:r>
                  <w:r>
                    <w:rPr>
                      <w:rFonts w:hint="eastAsia" w:cs="Times New Roman"/>
                      <w:b w:val="0"/>
                      <w:bCs w:val="0"/>
                      <w:color w:val="auto"/>
                      <w:szCs w:val="21"/>
                      <w:highlight w:val="none"/>
                      <w:lang w:eastAsia="zh-CN"/>
                    </w:rPr>
                    <w:t>，</w:t>
                  </w:r>
                  <w:r>
                    <w:rPr>
                      <w:rFonts w:hint="eastAsia" w:cs="Times New Roman"/>
                      <w:b w:val="0"/>
                      <w:bCs w:val="0"/>
                      <w:color w:val="auto"/>
                      <w:szCs w:val="21"/>
                      <w:highlight w:val="none"/>
                      <w:lang w:val="en-US" w:eastAsia="zh-CN"/>
                    </w:rPr>
                    <w:t>每季度昼间监测一次，必要时另外加测</w:t>
                  </w:r>
                </w:p>
              </w:tc>
            </w:tr>
          </w:tbl>
          <w:p w14:paraId="65B475C7">
            <w:pPr>
              <w:keepNext w:val="0"/>
              <w:keepLines w:val="0"/>
              <w:pageBreakBefore w:val="0"/>
              <w:widowControl/>
              <w:numPr>
                <w:ilvl w:val="0"/>
                <w:numId w:val="0"/>
              </w:numPr>
              <w:kinsoku/>
              <w:wordWrap/>
              <w:overflowPunct/>
              <w:topLinePunct w:val="0"/>
              <w:autoSpaceDE/>
              <w:autoSpaceDN/>
              <w:bidi w:val="0"/>
              <w:adjustRightInd/>
              <w:snapToGrid/>
              <w:spacing w:before="120" w:beforeLines="50" w:line="360" w:lineRule="auto"/>
              <w:jc w:val="left"/>
              <w:textAlignment w:val="auto"/>
              <w:rPr>
                <w:rFonts w:hint="eastAsia"/>
                <w:b/>
                <w:bCs/>
                <w:color w:val="auto"/>
                <w:sz w:val="24"/>
                <w:highlight w:val="none"/>
              </w:rPr>
            </w:pPr>
            <w:r>
              <w:rPr>
                <w:rFonts w:hint="eastAsia"/>
                <w:b/>
                <w:bCs/>
                <w:color w:val="auto"/>
                <w:sz w:val="24"/>
                <w:highlight w:val="none"/>
                <w:lang w:val="en-US" w:eastAsia="zh-CN"/>
              </w:rPr>
              <w:t>4.</w:t>
            </w:r>
            <w:r>
              <w:rPr>
                <w:rFonts w:hint="eastAsia"/>
                <w:b/>
                <w:bCs/>
                <w:color w:val="auto"/>
                <w:sz w:val="24"/>
                <w:highlight w:val="none"/>
              </w:rPr>
              <w:t>固体废弃物影响分析</w:t>
            </w:r>
          </w:p>
          <w:p w14:paraId="0C11E83E">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8" w:leftChars="0" w:firstLine="410" w:firstLineChars="171"/>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w:t>
            </w:r>
            <w:r>
              <w:rPr>
                <w:rFonts w:hint="eastAsia" w:cs="Times New Roman"/>
                <w:b w:val="0"/>
                <w:bCs w:val="0"/>
                <w:color w:val="auto"/>
                <w:kern w:val="2"/>
                <w:sz w:val="24"/>
                <w:szCs w:val="24"/>
                <w:highlight w:val="none"/>
                <w:lang w:val="en-US" w:eastAsia="zh-CN" w:bidi="ar-SA"/>
              </w:rPr>
              <w:t>次改扩建项目</w:t>
            </w:r>
            <w:r>
              <w:rPr>
                <w:rFonts w:hint="eastAsia" w:ascii="Times New Roman" w:hAnsi="Times New Roman" w:eastAsia="宋体" w:cs="Times New Roman"/>
                <w:b w:val="0"/>
                <w:bCs w:val="0"/>
                <w:color w:val="auto"/>
                <w:kern w:val="2"/>
                <w:sz w:val="24"/>
                <w:szCs w:val="24"/>
                <w:highlight w:val="none"/>
                <w:lang w:val="en-US" w:eastAsia="zh-CN" w:bidi="ar-SA"/>
              </w:rPr>
              <w:t>运营期产生的固体废物主要为：实验室废液、</w:t>
            </w:r>
            <w:r>
              <w:rPr>
                <w:rFonts w:hint="eastAsia" w:cs="Times New Roman"/>
                <w:i w:val="0"/>
                <w:iCs w:val="0"/>
                <w:color w:val="auto"/>
                <w:kern w:val="0"/>
                <w:sz w:val="24"/>
                <w:szCs w:val="24"/>
                <w:highlight w:val="none"/>
                <w:u w:val="none"/>
                <w:lang w:val="en-US" w:eastAsia="zh-CN" w:bidi="ar"/>
              </w:rPr>
              <w:t>沾染化学试剂的一次性实验用品</w:t>
            </w:r>
            <w:r>
              <w:rPr>
                <w:rFonts w:hint="eastAsia" w:ascii="Times New Roman" w:hAnsi="Times New Roman" w:eastAsia="宋体" w:cs="Times New Roman"/>
                <w:b w:val="0"/>
                <w:bCs w:val="0"/>
                <w:color w:val="auto"/>
                <w:kern w:val="2"/>
                <w:sz w:val="24"/>
                <w:szCs w:val="24"/>
                <w:highlight w:val="none"/>
                <w:lang w:val="en-US" w:eastAsia="zh-CN" w:bidi="ar-SA"/>
              </w:rPr>
              <w:t>、</w:t>
            </w:r>
            <w:r>
              <w:rPr>
                <w:rFonts w:hint="eastAsia" w:cs="Times New Roman"/>
                <w:i w:val="0"/>
                <w:iCs w:val="0"/>
                <w:color w:val="auto"/>
                <w:kern w:val="0"/>
                <w:sz w:val="24"/>
                <w:szCs w:val="24"/>
                <w:highlight w:val="none"/>
                <w:u w:val="none"/>
                <w:lang w:val="en-US" w:eastAsia="zh-CN" w:bidi="ar"/>
              </w:rPr>
              <w:t>实验废弃产物、</w:t>
            </w:r>
            <w:r>
              <w:rPr>
                <w:rFonts w:hint="eastAsia" w:ascii="Times New Roman" w:hAnsi="Times New Roman" w:eastAsia="宋体" w:cs="Times New Roman"/>
                <w:b w:val="0"/>
                <w:bCs w:val="0"/>
                <w:color w:val="auto"/>
                <w:kern w:val="2"/>
                <w:sz w:val="24"/>
                <w:szCs w:val="24"/>
                <w:highlight w:val="none"/>
                <w:lang w:val="en-US" w:eastAsia="zh-CN" w:bidi="ar-SA"/>
              </w:rPr>
              <w:t>废活性炭、</w:t>
            </w:r>
            <w:r>
              <w:rPr>
                <w:rFonts w:hint="eastAsia" w:cs="Times New Roman"/>
                <w:b w:val="0"/>
                <w:bCs w:val="0"/>
                <w:color w:val="auto"/>
                <w:kern w:val="2"/>
                <w:sz w:val="24"/>
                <w:szCs w:val="24"/>
                <w:highlight w:val="none"/>
                <w:lang w:val="en-US" w:eastAsia="zh-CN" w:bidi="ar-SA"/>
              </w:rPr>
              <w:t>废SDG、</w:t>
            </w:r>
            <w:r>
              <w:rPr>
                <w:rFonts w:hint="eastAsia" w:ascii="Times New Roman" w:hAnsi="Times New Roman" w:eastAsia="宋体" w:cs="Times New Roman"/>
                <w:b w:val="0"/>
                <w:bCs w:val="0"/>
                <w:color w:val="auto"/>
                <w:kern w:val="2"/>
                <w:sz w:val="24"/>
                <w:szCs w:val="24"/>
                <w:highlight w:val="none"/>
                <w:lang w:val="en-US" w:eastAsia="zh-CN" w:bidi="ar-SA"/>
              </w:rPr>
              <w:t>废水处理污泥</w:t>
            </w:r>
            <w:r>
              <w:rPr>
                <w:rFonts w:hint="eastAsia" w:cs="Times New Roman"/>
                <w:b w:val="0"/>
                <w:bCs w:val="0"/>
                <w:color w:val="auto"/>
                <w:kern w:val="2"/>
                <w:sz w:val="24"/>
                <w:szCs w:val="24"/>
                <w:highlight w:val="none"/>
                <w:lang w:val="en-US" w:eastAsia="zh-CN" w:bidi="ar-SA"/>
              </w:rPr>
              <w:t>、</w:t>
            </w:r>
            <w:r>
              <w:rPr>
                <w:rFonts w:hint="eastAsia" w:ascii="Times New Roman" w:hAnsi="Times New Roman" w:eastAsia="宋体" w:cs="Times New Roman"/>
                <w:b w:val="0"/>
                <w:bCs w:val="0"/>
                <w:color w:val="auto"/>
                <w:kern w:val="2"/>
                <w:sz w:val="24"/>
                <w:szCs w:val="24"/>
                <w:highlight w:val="none"/>
                <w:lang w:val="en-US" w:eastAsia="zh-CN" w:bidi="ar-SA"/>
              </w:rPr>
              <w:t>员工生活垃圾</w:t>
            </w:r>
            <w:r>
              <w:rPr>
                <w:rFonts w:hint="eastAsia" w:cs="Times New Roman"/>
                <w:b w:val="0"/>
                <w:bCs w:val="0"/>
                <w:color w:val="auto"/>
                <w:kern w:val="2"/>
                <w:sz w:val="24"/>
                <w:szCs w:val="24"/>
                <w:highlight w:val="none"/>
                <w:lang w:val="en-US" w:eastAsia="zh-CN" w:bidi="ar-SA"/>
              </w:rPr>
              <w:t>及办公用品等</w:t>
            </w:r>
            <w:r>
              <w:rPr>
                <w:rFonts w:hint="eastAsia" w:ascii="Times New Roman" w:hAnsi="Times New Roman" w:eastAsia="宋体" w:cs="Times New Roman"/>
                <w:b w:val="0"/>
                <w:bCs w:val="0"/>
                <w:color w:val="auto"/>
                <w:kern w:val="2"/>
                <w:sz w:val="24"/>
                <w:szCs w:val="24"/>
                <w:highlight w:val="none"/>
                <w:lang w:val="en-US" w:eastAsia="zh-CN" w:bidi="ar-SA"/>
              </w:rPr>
              <w:t>。</w:t>
            </w:r>
          </w:p>
          <w:p w14:paraId="057C7247">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4.1</w:t>
            </w:r>
            <w:r>
              <w:rPr>
                <w:rFonts w:hint="eastAsia" w:cs="Times New Roman"/>
                <w:b/>
                <w:bCs/>
                <w:color w:val="auto"/>
                <w:kern w:val="2"/>
                <w:sz w:val="24"/>
                <w:szCs w:val="24"/>
                <w:highlight w:val="none"/>
                <w:lang w:val="en-US" w:eastAsia="zh-CN" w:bidi="ar-SA"/>
              </w:rPr>
              <w:t xml:space="preserve"> </w:t>
            </w:r>
            <w:r>
              <w:rPr>
                <w:rFonts w:hint="eastAsia" w:ascii="Times New Roman" w:hAnsi="Times New Roman" w:eastAsia="宋体" w:cs="Times New Roman"/>
                <w:b/>
                <w:bCs/>
                <w:color w:val="auto"/>
                <w:kern w:val="2"/>
                <w:sz w:val="24"/>
                <w:szCs w:val="24"/>
                <w:highlight w:val="none"/>
                <w:lang w:val="en-US" w:eastAsia="zh-CN" w:bidi="ar-SA"/>
              </w:rPr>
              <w:t>生活垃圾</w:t>
            </w:r>
          </w:p>
          <w:p w14:paraId="162FB826">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480" w:firstLineChars="200"/>
              <w:jc w:val="left"/>
              <w:textAlignment w:val="auto"/>
              <w:rPr>
                <w:rFonts w:hint="default"/>
                <w:color w:val="auto"/>
                <w:highlight w:val="none"/>
                <w:lang w:val="en-US"/>
              </w:rPr>
            </w:pPr>
            <w:r>
              <w:rPr>
                <w:rFonts w:hint="eastAsia" w:cs="Times New Roman"/>
                <w:b w:val="0"/>
                <w:bCs w:val="0"/>
                <w:color w:val="auto"/>
                <w:kern w:val="2"/>
                <w:sz w:val="24"/>
                <w:szCs w:val="24"/>
                <w:highlight w:val="none"/>
                <w:lang w:val="en-US" w:eastAsia="zh-CN" w:bidi="ar-SA"/>
              </w:rPr>
              <w:t>本次扩建项目不新增人数，故不新增生活垃圾</w:t>
            </w:r>
            <w:r>
              <w:rPr>
                <w:rFonts w:hint="eastAsia"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生活垃圾须按照《西安市生活垃圾分类管理办法》（2019年9月1日执行）的要求进行分类收集，收集后交由环卫部门清运处理。</w:t>
            </w:r>
          </w:p>
          <w:p w14:paraId="1AC1E81A">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4.2</w:t>
            </w:r>
            <w:r>
              <w:rPr>
                <w:rFonts w:hint="eastAsia" w:cs="Times New Roman"/>
                <w:b/>
                <w:bCs/>
                <w:color w:val="auto"/>
                <w:kern w:val="2"/>
                <w:sz w:val="24"/>
                <w:szCs w:val="24"/>
                <w:highlight w:val="none"/>
                <w:lang w:val="en-US" w:eastAsia="zh-CN" w:bidi="ar-SA"/>
              </w:rPr>
              <w:t xml:space="preserve"> </w:t>
            </w:r>
            <w:r>
              <w:rPr>
                <w:rFonts w:hint="eastAsia" w:ascii="Times New Roman" w:hAnsi="Times New Roman" w:eastAsia="宋体" w:cs="Times New Roman"/>
                <w:b/>
                <w:bCs/>
                <w:color w:val="auto"/>
                <w:kern w:val="2"/>
                <w:sz w:val="24"/>
                <w:szCs w:val="24"/>
                <w:highlight w:val="none"/>
                <w:lang w:val="en-US" w:eastAsia="zh-CN" w:bidi="ar-SA"/>
              </w:rPr>
              <w:t>一般固废</w:t>
            </w:r>
          </w:p>
          <w:p w14:paraId="76226309">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废包装：主要为办公用品等包装材料，现有项目废包装产生量为0.5t/a，本次扩建项目新增0.5t/a，集中收集后出售给废品回收站</w:t>
            </w:r>
            <w:r>
              <w:rPr>
                <w:rFonts w:hint="eastAsia" w:ascii="Times New Roman" w:hAnsi="Times New Roman" w:eastAsia="宋体" w:cs="Times New Roman"/>
                <w:b w:val="0"/>
                <w:bCs w:val="0"/>
                <w:color w:val="auto"/>
                <w:kern w:val="2"/>
                <w:sz w:val="24"/>
                <w:szCs w:val="24"/>
                <w:highlight w:val="none"/>
                <w:lang w:val="en-US" w:eastAsia="zh-CN" w:bidi="ar-SA"/>
              </w:rPr>
              <w:t>。</w:t>
            </w:r>
          </w:p>
          <w:p w14:paraId="21D19F3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4.3</w:t>
            </w:r>
            <w:r>
              <w:rPr>
                <w:rFonts w:hint="eastAsia" w:cs="Times New Roman"/>
                <w:b/>
                <w:bCs/>
                <w:color w:val="auto"/>
                <w:kern w:val="2"/>
                <w:sz w:val="24"/>
                <w:szCs w:val="24"/>
                <w:highlight w:val="none"/>
                <w:lang w:val="en-US" w:eastAsia="zh-CN" w:bidi="ar-SA"/>
              </w:rPr>
              <w:t xml:space="preserve"> </w:t>
            </w:r>
            <w:r>
              <w:rPr>
                <w:rFonts w:hint="eastAsia" w:ascii="Times New Roman" w:hAnsi="Times New Roman" w:eastAsia="宋体" w:cs="Times New Roman"/>
                <w:b/>
                <w:bCs/>
                <w:color w:val="auto"/>
                <w:kern w:val="2"/>
                <w:sz w:val="24"/>
                <w:szCs w:val="24"/>
                <w:highlight w:val="none"/>
                <w:lang w:val="en-US" w:eastAsia="zh-CN" w:bidi="ar-SA"/>
              </w:rPr>
              <w:t>危险废物</w:t>
            </w:r>
          </w:p>
          <w:p w14:paraId="54F5FA04">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2" w:firstLineChars="175"/>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（1）产生环节</w:t>
            </w:r>
          </w:p>
          <w:p w14:paraId="2E03A21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Times New Roman" w:hAnsi="Times New Roman" w:eastAsia="宋体" w:cs="Times New Roman"/>
                <w:b w:val="0"/>
                <w:bCs w:val="0"/>
                <w:color w:val="auto"/>
                <w:kern w:val="2"/>
                <w:sz w:val="24"/>
                <w:szCs w:val="24"/>
                <w:highlight w:val="none"/>
                <w:lang w:val="en-US" w:eastAsia="zh-CN" w:bidi="ar-SA"/>
              </w:rPr>
              <w:t>本项目产生的危险废物有：</w:t>
            </w:r>
            <w:r>
              <w:rPr>
                <w:rFonts w:hint="eastAsia" w:cs="Times New Roman"/>
                <w:i w:val="0"/>
                <w:iCs w:val="0"/>
                <w:color w:val="auto"/>
                <w:kern w:val="0"/>
                <w:sz w:val="24"/>
                <w:szCs w:val="24"/>
                <w:highlight w:val="none"/>
                <w:u w:val="none"/>
                <w:lang w:val="en-US" w:eastAsia="zh-CN" w:bidi="ar"/>
              </w:rPr>
              <w:t>沾染化学试剂的一次性实验用品</w:t>
            </w:r>
            <w:r>
              <w:rPr>
                <w:rFonts w:hint="eastAsia" w:ascii="宋体" w:hAnsi="宋体" w:eastAsia="宋体" w:cs="宋体"/>
                <w:color w:val="auto"/>
                <w:kern w:val="0"/>
                <w:sz w:val="24"/>
                <w:szCs w:val="24"/>
                <w:highlight w:val="none"/>
                <w:lang w:val="en-US" w:eastAsia="zh-CN" w:bidi="ar"/>
              </w:rPr>
              <w:t>、废活性炭</w:t>
            </w:r>
            <w:r>
              <w:rPr>
                <w:rFonts w:hint="default" w:ascii="Times New Roman" w:hAnsi="Times New Roman" w:cs="Times New Roman"/>
                <w:color w:val="auto"/>
                <w:kern w:val="0"/>
                <w:sz w:val="24"/>
                <w:szCs w:val="24"/>
                <w:highlight w:val="none"/>
                <w:lang w:val="en-US" w:eastAsia="zh-CN" w:bidi="ar"/>
              </w:rPr>
              <w:t>、废SDG</w:t>
            </w:r>
            <w:r>
              <w:rPr>
                <w:rFonts w:hint="default" w:ascii="Times New Roman" w:hAnsi="Times New Roman" w:eastAsia="宋体" w:cs="Times New Roman"/>
                <w:color w:val="auto"/>
                <w:kern w:val="0"/>
                <w:sz w:val="24"/>
                <w:szCs w:val="24"/>
                <w:highlight w:val="none"/>
                <w:lang w:val="en-US" w:eastAsia="zh-CN" w:bidi="ar"/>
              </w:rPr>
              <w:t>、</w:t>
            </w:r>
            <w:r>
              <w:rPr>
                <w:rFonts w:hint="default" w:cs="Times New Roman"/>
                <w:i w:val="0"/>
                <w:iCs w:val="0"/>
                <w:color w:val="auto"/>
                <w:kern w:val="0"/>
                <w:sz w:val="24"/>
                <w:szCs w:val="24"/>
                <w:highlight w:val="none"/>
                <w:u w:val="none"/>
                <w:lang w:val="en-US" w:eastAsia="zh-CN" w:bidi="ar"/>
              </w:rPr>
              <w:t>实验</w:t>
            </w:r>
            <w:r>
              <w:rPr>
                <w:rFonts w:hint="eastAsia" w:cs="Times New Roman"/>
                <w:i w:val="0"/>
                <w:iCs w:val="0"/>
                <w:color w:val="auto"/>
                <w:kern w:val="0"/>
                <w:sz w:val="24"/>
                <w:szCs w:val="24"/>
                <w:highlight w:val="none"/>
                <w:u w:val="none"/>
                <w:lang w:val="en-US" w:eastAsia="zh-CN" w:bidi="ar"/>
              </w:rPr>
              <w:t>废弃物、废化学试剂、</w:t>
            </w:r>
            <w:r>
              <w:rPr>
                <w:rFonts w:hint="eastAsia" w:ascii="宋体" w:hAnsi="宋体" w:eastAsia="宋体" w:cs="宋体"/>
                <w:color w:val="auto"/>
                <w:kern w:val="0"/>
                <w:sz w:val="24"/>
                <w:szCs w:val="24"/>
                <w:highlight w:val="none"/>
                <w:lang w:val="en-US" w:eastAsia="zh-CN" w:bidi="ar"/>
              </w:rPr>
              <w:t>实验室废液、废水处理污泥等。</w:t>
            </w:r>
          </w:p>
          <w:p w14:paraId="6E26E3DE">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default" w:ascii="宋体" w:hAnsi="宋体" w:eastAsia="宋体" w:cs="宋体"/>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①</w:t>
            </w:r>
            <w:r>
              <w:rPr>
                <w:rFonts w:hint="eastAsia" w:ascii="宋体" w:hAnsi="宋体" w:eastAsia="宋体" w:cs="宋体"/>
                <w:color w:val="auto"/>
                <w:kern w:val="0"/>
                <w:sz w:val="24"/>
                <w:szCs w:val="24"/>
                <w:highlight w:val="none"/>
                <w:lang w:val="en-US" w:eastAsia="zh-CN" w:bidi="ar"/>
              </w:rPr>
              <w:t>实验室废液：</w:t>
            </w:r>
            <w:r>
              <w:rPr>
                <w:rFonts w:hint="eastAsia" w:ascii="宋体" w:hAnsi="宋体" w:cs="宋体"/>
                <w:color w:val="auto"/>
                <w:kern w:val="0"/>
                <w:sz w:val="24"/>
                <w:szCs w:val="24"/>
                <w:highlight w:val="none"/>
                <w:lang w:val="en-US" w:eastAsia="zh-CN" w:bidi="ar"/>
              </w:rPr>
              <w:t>根据前文产污环节分析，实验废液主要有进入研发物料产生的废液、辅助反应（溶解、清洗、萃取等）等产生废试剂等以及实验器皿有机试剂清洗废液，与第一、二次自来水清洗废液。</w:t>
            </w:r>
          </w:p>
          <w:p w14:paraId="30826447">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color w:val="auto"/>
                <w:kern w:val="0"/>
                <w:sz w:val="24"/>
                <w:highlight w:val="none"/>
                <w:u w:val="none"/>
                <w:lang w:bidi="ar"/>
              </w:rPr>
            </w:pPr>
            <w:r>
              <w:rPr>
                <w:rFonts w:hint="eastAsia" w:ascii="宋体" w:hAnsi="宋体" w:cs="宋体"/>
                <w:color w:val="auto"/>
                <w:kern w:val="0"/>
                <w:sz w:val="24"/>
                <w:szCs w:val="24"/>
                <w:highlight w:val="none"/>
                <w:lang w:val="en-US" w:eastAsia="zh-CN" w:bidi="ar"/>
              </w:rPr>
              <w:t>根据前文可知，</w:t>
            </w:r>
            <w:r>
              <w:rPr>
                <w:rFonts w:hint="eastAsia" w:cs="Times New Roman"/>
                <w:color w:val="auto"/>
                <w:kern w:val="0"/>
                <w:sz w:val="24"/>
                <w:szCs w:val="24"/>
                <w:highlight w:val="none"/>
                <w:lang w:val="en-US" w:eastAsia="zh-CN" w:bidi="ar"/>
              </w:rPr>
              <w:t>本次扩建项目进入研发物料用水量为24.5t/a，本次评价按最不利条件进行计算，进入研发物均未达到预期，按20%耗损率，19.6t/a实验废液作为危险废物处置；清洗废水量（第一、二次）为9.8t/a；根据建设单位提供的资料，本次扩建项目实验器皿有机试剂使用量约2t/a，</w:t>
            </w:r>
            <w:r>
              <w:rPr>
                <w:rFonts w:hint="eastAsia"/>
                <w:color w:val="auto"/>
                <w:kern w:val="0"/>
                <w:sz w:val="24"/>
                <w:highlight w:val="none"/>
                <w:u w:val="none"/>
                <w:lang w:val="en-US" w:eastAsia="zh-CN" w:bidi="ar"/>
              </w:rPr>
              <w:t>根据前文的物料平衡</w:t>
            </w:r>
            <w:r>
              <w:rPr>
                <w:rFonts w:hint="eastAsia" w:cs="Times New Roman"/>
                <w:color w:val="auto"/>
                <w:kern w:val="0"/>
                <w:sz w:val="24"/>
                <w:szCs w:val="24"/>
                <w:highlight w:val="none"/>
                <w:lang w:val="en-US" w:eastAsia="zh-CN" w:bidi="ar"/>
              </w:rPr>
              <w:t>辅助反应产生的废试剂等实验废液产生量约为6.4t/a，可得出本次扩建项目</w:t>
            </w:r>
            <w:r>
              <w:rPr>
                <w:rFonts w:hint="eastAsia" w:ascii="Times New Roman" w:hAnsi="Times New Roman" w:eastAsia="宋体" w:cs="Times New Roman"/>
                <w:color w:val="auto"/>
                <w:kern w:val="0"/>
                <w:sz w:val="24"/>
                <w:szCs w:val="24"/>
                <w:highlight w:val="none"/>
                <w:lang w:val="en-US" w:eastAsia="zh-CN" w:bidi="ar"/>
              </w:rPr>
              <w:t>实验</w:t>
            </w:r>
            <w:r>
              <w:rPr>
                <w:rFonts w:hint="eastAsia" w:cs="Times New Roman"/>
                <w:color w:val="auto"/>
                <w:kern w:val="0"/>
                <w:sz w:val="24"/>
                <w:szCs w:val="24"/>
                <w:highlight w:val="none"/>
                <w:lang w:val="en-US" w:eastAsia="zh-CN" w:bidi="ar"/>
              </w:rPr>
              <w:t>室</w:t>
            </w:r>
            <w:r>
              <w:rPr>
                <w:rFonts w:hint="eastAsia" w:ascii="Times New Roman" w:hAnsi="Times New Roman" w:eastAsia="宋体" w:cs="Times New Roman"/>
                <w:color w:val="auto"/>
                <w:kern w:val="0"/>
                <w:sz w:val="24"/>
                <w:szCs w:val="24"/>
                <w:highlight w:val="none"/>
                <w:lang w:val="en-US" w:eastAsia="zh-CN" w:bidi="ar"/>
              </w:rPr>
              <w:t>废液产生量</w:t>
            </w:r>
            <w:r>
              <w:rPr>
                <w:rFonts w:hint="eastAsia" w:cs="Times New Roman"/>
                <w:color w:val="auto"/>
                <w:kern w:val="0"/>
                <w:sz w:val="24"/>
                <w:szCs w:val="24"/>
                <w:highlight w:val="none"/>
                <w:lang w:val="en-US" w:eastAsia="zh-CN" w:bidi="ar"/>
              </w:rPr>
              <w:t>新增</w:t>
            </w:r>
            <w:r>
              <w:rPr>
                <w:rFonts w:hint="eastAsia" w:ascii="Times New Roman" w:hAnsi="Times New Roman" w:eastAsia="宋体" w:cs="Times New Roman"/>
                <w:color w:val="auto"/>
                <w:kern w:val="0"/>
                <w:sz w:val="24"/>
                <w:szCs w:val="24"/>
                <w:highlight w:val="none"/>
                <w:lang w:val="en-US" w:eastAsia="zh-CN" w:bidi="ar"/>
              </w:rPr>
              <w:t>为</w:t>
            </w:r>
            <w:r>
              <w:rPr>
                <w:rFonts w:hint="eastAsia" w:cs="Times New Roman"/>
                <w:color w:val="auto"/>
                <w:kern w:val="0"/>
                <w:sz w:val="24"/>
                <w:szCs w:val="24"/>
                <w:highlight w:val="none"/>
                <w:lang w:val="en-US" w:eastAsia="zh-CN" w:bidi="ar"/>
              </w:rPr>
              <w:t>37.8t</w:t>
            </w:r>
            <w:r>
              <w:rPr>
                <w:rFonts w:hint="eastAsia" w:ascii="Times New Roman" w:hAnsi="Times New Roman" w:eastAsia="宋体" w:cs="Times New Roman"/>
                <w:b w:val="0"/>
                <w:bCs w:val="0"/>
                <w:color w:val="auto"/>
                <w:kern w:val="2"/>
                <w:sz w:val="21"/>
                <w:szCs w:val="21"/>
                <w:highlight w:val="none"/>
                <w:vertAlign w:val="baseline"/>
                <w:lang w:val="en-US" w:eastAsia="zh-CN" w:bidi="ar-SA"/>
              </w:rPr>
              <w:t>/a，</w:t>
            </w:r>
            <w:r>
              <w:rPr>
                <w:rFonts w:hint="eastAsia" w:ascii="Times New Roman" w:hAnsi="Times New Roman" w:eastAsia="宋体" w:cs="Times New Roman"/>
                <w:b w:val="0"/>
                <w:bCs w:val="0"/>
                <w:color w:val="auto"/>
                <w:kern w:val="2"/>
                <w:sz w:val="24"/>
                <w:szCs w:val="24"/>
                <w:highlight w:val="none"/>
                <w:vertAlign w:val="baseline"/>
                <w:lang w:val="en-US" w:eastAsia="zh-CN" w:bidi="ar-SA"/>
              </w:rPr>
              <w:t>属于《国家危险废物名录</w:t>
            </w:r>
            <w:r>
              <w:rPr>
                <w:rFonts w:hint="eastAsia"/>
                <w:color w:val="auto"/>
                <w:kern w:val="0"/>
                <w:sz w:val="24"/>
                <w:highlight w:val="none"/>
                <w:u w:val="none"/>
                <w:lang w:bidi="ar"/>
              </w:rPr>
              <w:t>（202</w:t>
            </w:r>
            <w:r>
              <w:rPr>
                <w:rFonts w:hint="eastAsia"/>
                <w:color w:val="auto"/>
                <w:kern w:val="0"/>
                <w:sz w:val="24"/>
                <w:highlight w:val="none"/>
                <w:u w:val="none"/>
                <w:lang w:eastAsia="zh-CN" w:bidi="ar"/>
              </w:rPr>
              <w:t>5</w:t>
            </w:r>
            <w:r>
              <w:rPr>
                <w:rFonts w:hint="eastAsia"/>
                <w:color w:val="auto"/>
                <w:kern w:val="0"/>
                <w:sz w:val="24"/>
                <w:highlight w:val="none"/>
                <w:u w:val="none"/>
                <w:lang w:bidi="ar"/>
              </w:rPr>
              <w:t>年版）</w:t>
            </w:r>
            <w:r>
              <w:rPr>
                <w:rFonts w:hint="eastAsia" w:ascii="Times New Roman" w:hAnsi="Times New Roman" w:eastAsia="宋体" w:cs="Times New Roman"/>
                <w:b w:val="0"/>
                <w:bCs w:val="0"/>
                <w:color w:val="auto"/>
                <w:kern w:val="2"/>
                <w:sz w:val="24"/>
                <w:szCs w:val="24"/>
                <w:highlight w:val="none"/>
                <w:vertAlign w:val="baseline"/>
                <w:lang w:val="en-US" w:eastAsia="zh-CN" w:bidi="ar-SA"/>
              </w:rPr>
              <w:t>》中“HW49其他废物/非特定行业/900-047-49生产、研究、开发、教学、环境检测（监测）活动中，化学和生物实验室产生的废物”</w:t>
            </w:r>
            <w:r>
              <w:rPr>
                <w:rFonts w:hint="eastAsia"/>
                <w:color w:val="auto"/>
                <w:kern w:val="0"/>
                <w:sz w:val="24"/>
                <w:u w:val="none"/>
                <w:lang w:val="en-US" w:eastAsia="zh-CN" w:bidi="ar"/>
              </w:rPr>
              <w:t>。实验废液</w:t>
            </w:r>
            <w:r>
              <w:rPr>
                <w:rFonts w:hint="eastAsia"/>
                <w:color w:val="auto"/>
                <w:kern w:val="0"/>
                <w:sz w:val="24"/>
                <w:highlight w:val="none"/>
                <w:u w:val="none"/>
                <w:lang w:bidi="ar"/>
              </w:rPr>
              <w:t>收集后暂存于危废贮存库，</w:t>
            </w:r>
            <w:r>
              <w:rPr>
                <w:rFonts w:hint="eastAsia"/>
                <w:color w:val="auto"/>
                <w:kern w:val="0"/>
                <w:sz w:val="24"/>
                <w:u w:val="none"/>
                <w:lang w:val="en-US" w:eastAsia="zh-CN" w:bidi="ar"/>
              </w:rPr>
              <w:t>定期交于</w:t>
            </w:r>
            <w:r>
              <w:rPr>
                <w:rFonts w:hint="eastAsia"/>
                <w:color w:val="auto"/>
                <w:kern w:val="0"/>
                <w:sz w:val="24"/>
                <w:u w:val="none"/>
                <w:lang w:bidi="ar"/>
              </w:rPr>
              <w:t>陕西水发环境有限公司处理</w:t>
            </w:r>
            <w:r>
              <w:rPr>
                <w:rFonts w:hint="eastAsia"/>
                <w:color w:val="auto"/>
                <w:kern w:val="0"/>
                <w:sz w:val="24"/>
                <w:u w:val="none"/>
                <w:lang w:val="en-US" w:eastAsia="zh-CN" w:bidi="ar"/>
              </w:rPr>
              <w:t>处置。</w:t>
            </w:r>
          </w:p>
          <w:p w14:paraId="213DAE66">
            <w:pPr>
              <w:pStyle w:val="3"/>
              <w:rPr>
                <w:rFonts w:hint="default"/>
                <w:color w:val="auto"/>
                <w:lang w:val="en-US" w:eastAsia="zh-CN"/>
              </w:rPr>
            </w:pPr>
            <w:r>
              <w:rPr>
                <w:rFonts w:hint="eastAsia"/>
                <w:color w:val="auto"/>
                <w:kern w:val="0"/>
                <w:sz w:val="24"/>
                <w:highlight w:val="none"/>
                <w:u w:val="none"/>
                <w:lang w:val="en-US" w:eastAsia="zh-CN" w:bidi="ar"/>
              </w:rPr>
              <w:t xml:space="preserve">     </w:t>
            </w:r>
            <w:r>
              <w:rPr>
                <w:rFonts w:hint="default" w:ascii="Times New Roman" w:hAnsi="Times New Roman" w:cs="Times New Roman"/>
                <w:i w:val="0"/>
                <w:iCs w:val="0"/>
                <w:color w:val="auto"/>
                <w:kern w:val="0"/>
                <w:sz w:val="24"/>
                <w:szCs w:val="24"/>
                <w:highlight w:val="none"/>
                <w:u w:val="none"/>
                <w:lang w:val="en-US" w:eastAsia="zh-CN" w:bidi="ar"/>
              </w:rPr>
              <w:t>②</w:t>
            </w:r>
            <w:r>
              <w:rPr>
                <w:rFonts w:hint="eastAsia" w:cs="Times New Roman"/>
                <w:i w:val="0"/>
                <w:iCs w:val="0"/>
                <w:color w:val="auto"/>
                <w:kern w:val="0"/>
                <w:sz w:val="24"/>
                <w:szCs w:val="24"/>
                <w:highlight w:val="none"/>
                <w:u w:val="none"/>
                <w:lang w:val="en-US" w:eastAsia="zh-CN" w:bidi="ar"/>
              </w:rPr>
              <w:t>实验废弃物：主要为实验过程产生失败产物、废吸附介质、废催化剂、废氧化剂、废还原剂以及分析实验后样品及分析产物等，该类物质可能含重金属或有毒有害有机物质，其属于《国家危险废物名录</w:t>
            </w:r>
            <w:r>
              <w:rPr>
                <w:rFonts w:hint="default" w:ascii="Times New Roman" w:hAnsi="Times New Roman" w:eastAsia="宋体" w:cs="Times New Roman"/>
                <w:i w:val="0"/>
                <w:iCs w:val="0"/>
                <w:color w:val="auto"/>
                <w:kern w:val="0"/>
                <w:sz w:val="24"/>
                <w:szCs w:val="24"/>
                <w:highlight w:val="none"/>
                <w:u w:val="none"/>
                <w:lang w:val="en-US" w:eastAsia="zh-CN" w:bidi="ar"/>
              </w:rPr>
              <w:t>（202</w:t>
            </w:r>
            <w:r>
              <w:rPr>
                <w:rFonts w:hint="eastAsia" w:ascii="Times New Roman" w:hAnsi="Times New Roman" w:eastAsia="宋体" w:cs="Times New Roman"/>
                <w:i w:val="0"/>
                <w:iCs w:val="0"/>
                <w:color w:val="auto"/>
                <w:kern w:val="0"/>
                <w:sz w:val="24"/>
                <w:szCs w:val="24"/>
                <w:highlight w:val="none"/>
                <w:u w:val="none"/>
                <w:lang w:val="en-US" w:eastAsia="zh-CN" w:bidi="ar"/>
              </w:rPr>
              <w:t>5</w:t>
            </w:r>
            <w:r>
              <w:rPr>
                <w:rFonts w:hint="default" w:ascii="Times New Roman" w:hAnsi="Times New Roman" w:eastAsia="宋体" w:cs="Times New Roman"/>
                <w:i w:val="0"/>
                <w:iCs w:val="0"/>
                <w:color w:val="auto"/>
                <w:kern w:val="0"/>
                <w:sz w:val="24"/>
                <w:szCs w:val="24"/>
                <w:highlight w:val="none"/>
                <w:u w:val="none"/>
                <w:lang w:val="en-US" w:eastAsia="zh-CN" w:bidi="ar"/>
              </w:rPr>
              <w:t xml:space="preserve"> 年版）</w:t>
            </w:r>
            <w:r>
              <w:rPr>
                <w:rFonts w:hint="eastAsia" w:cs="Times New Roman"/>
                <w:i w:val="0"/>
                <w:iCs w:val="0"/>
                <w:color w:val="auto"/>
                <w:kern w:val="0"/>
                <w:sz w:val="24"/>
                <w:szCs w:val="24"/>
                <w:highlight w:val="none"/>
                <w:u w:val="none"/>
                <w:lang w:val="en-US" w:eastAsia="zh-CN" w:bidi="ar"/>
              </w:rPr>
              <w:t>》中“HW49其他废物/非特定行业/900-047-49 研究、开发和教学活动</w:t>
            </w:r>
            <w:r>
              <w:rPr>
                <w:rFonts w:hint="eastAsia"/>
                <w:color w:val="auto"/>
                <w:kern w:val="0"/>
                <w:sz w:val="24"/>
                <w:highlight w:val="none"/>
                <w:u w:val="none"/>
                <w:lang w:val="en-US" w:eastAsia="zh-CN" w:bidi="ar"/>
              </w:rPr>
              <w:t>中，化学和生物实验室产生的废物。根据前文的物料平衡以及现有工程实验废弃物（废样品及分析产物）产生量0.01t/a，</w:t>
            </w:r>
            <w:r>
              <w:rPr>
                <w:rFonts w:hint="eastAsia" w:cs="Times New Roman"/>
                <w:color w:val="auto"/>
                <w:kern w:val="0"/>
                <w:sz w:val="24"/>
                <w:szCs w:val="24"/>
                <w:highlight w:val="none"/>
                <w:lang w:val="en-US" w:eastAsia="zh-CN" w:bidi="ar"/>
              </w:rPr>
              <w:t>本次扩建项目</w:t>
            </w:r>
            <w:r>
              <w:rPr>
                <w:rFonts w:hint="eastAsia"/>
                <w:color w:val="auto"/>
                <w:kern w:val="0"/>
                <w:sz w:val="24"/>
                <w:highlight w:val="none"/>
                <w:u w:val="none"/>
                <w:lang w:val="en-US" w:eastAsia="zh-CN" w:bidi="ar"/>
              </w:rPr>
              <w:t xml:space="preserve">新增1.02 </w:t>
            </w:r>
            <w:r>
              <w:rPr>
                <w:rFonts w:hint="eastAsia" w:cs="Times New Roman"/>
                <w:i w:val="0"/>
                <w:iCs w:val="0"/>
                <w:color w:val="auto"/>
                <w:kern w:val="0"/>
                <w:sz w:val="24"/>
                <w:szCs w:val="24"/>
                <w:highlight w:val="none"/>
                <w:u w:val="none"/>
                <w:lang w:val="en-US" w:eastAsia="zh-CN" w:bidi="ar"/>
              </w:rPr>
              <w:t>t/a</w:t>
            </w:r>
            <w:r>
              <w:rPr>
                <w:rFonts w:hint="eastAsia"/>
                <w:color w:val="auto"/>
                <w:kern w:val="0"/>
                <w:sz w:val="24"/>
                <w:highlight w:val="none"/>
                <w:u w:val="none"/>
                <w:lang w:val="en-US" w:eastAsia="zh-CN" w:bidi="ar"/>
              </w:rPr>
              <w:t>，收集后暂存危废贮存库，定期</w:t>
            </w:r>
            <w:r>
              <w:rPr>
                <w:rFonts w:hint="eastAsia"/>
                <w:color w:val="auto"/>
                <w:kern w:val="0"/>
                <w:sz w:val="24"/>
                <w:highlight w:val="none"/>
                <w:u w:val="none"/>
                <w:lang w:bidi="ar"/>
              </w:rPr>
              <w:t>委托</w:t>
            </w:r>
            <w:r>
              <w:rPr>
                <w:rFonts w:hint="eastAsia"/>
                <w:color w:val="auto"/>
                <w:kern w:val="0"/>
                <w:sz w:val="24"/>
                <w:highlight w:val="none"/>
                <w:u w:val="none"/>
                <w:lang w:eastAsia="zh-CN" w:bidi="ar"/>
              </w:rPr>
              <w:t>陕西水发环境有限公司</w:t>
            </w:r>
            <w:r>
              <w:rPr>
                <w:rFonts w:hint="eastAsia"/>
                <w:color w:val="auto"/>
                <w:kern w:val="0"/>
                <w:sz w:val="24"/>
                <w:highlight w:val="none"/>
                <w:u w:val="none"/>
                <w:lang w:bidi="ar"/>
              </w:rPr>
              <w:t>处置</w:t>
            </w:r>
            <w:r>
              <w:rPr>
                <w:rFonts w:hint="eastAsia"/>
                <w:color w:val="auto"/>
                <w:kern w:val="0"/>
                <w:sz w:val="24"/>
                <w:highlight w:val="none"/>
                <w:u w:val="none"/>
                <w:lang w:eastAsia="zh-CN" w:bidi="ar"/>
              </w:rPr>
              <w:t>。</w:t>
            </w:r>
          </w:p>
          <w:p w14:paraId="54F6AAF9">
            <w:pPr>
              <w:pStyle w:val="3"/>
              <w:ind w:firstLine="480" w:firstLineChars="200"/>
              <w:rPr>
                <w:rFonts w:hint="default"/>
                <w:color w:val="auto"/>
                <w:lang w:val="en-US" w:eastAsia="zh-CN"/>
              </w:rPr>
            </w:pPr>
            <w:r>
              <w:rPr>
                <w:rFonts w:hint="default"/>
                <w:color w:val="auto"/>
                <w:kern w:val="0"/>
                <w:sz w:val="24"/>
                <w:highlight w:val="none"/>
                <w:u w:val="none"/>
                <w:lang w:val="en-US" w:eastAsia="zh-CN" w:bidi="ar"/>
              </w:rPr>
              <w:t>③</w:t>
            </w:r>
            <w:r>
              <w:rPr>
                <w:rFonts w:hint="eastAsia"/>
                <w:color w:val="auto"/>
                <w:kern w:val="0"/>
                <w:sz w:val="24"/>
                <w:highlight w:val="none"/>
                <w:u w:val="none"/>
                <w:lang w:val="en-US" w:eastAsia="zh-CN" w:bidi="ar"/>
              </w:rPr>
              <w:t>废化学试剂：</w:t>
            </w:r>
            <w:r>
              <w:rPr>
                <w:rFonts w:hint="eastAsia"/>
                <w:color w:val="auto"/>
                <w:kern w:val="0"/>
                <w:sz w:val="24"/>
                <w:highlight w:val="none"/>
                <w:u w:val="none"/>
                <w:lang w:bidi="ar"/>
              </w:rPr>
              <w:t>根据《国家危险废物名录（202</w:t>
            </w:r>
            <w:r>
              <w:rPr>
                <w:rFonts w:hint="eastAsia"/>
                <w:color w:val="auto"/>
                <w:kern w:val="0"/>
                <w:sz w:val="24"/>
                <w:highlight w:val="none"/>
                <w:u w:val="none"/>
                <w:lang w:eastAsia="zh-CN" w:bidi="ar"/>
              </w:rPr>
              <w:t>5</w:t>
            </w:r>
            <w:r>
              <w:rPr>
                <w:rFonts w:hint="eastAsia"/>
                <w:color w:val="auto"/>
                <w:kern w:val="0"/>
                <w:sz w:val="24"/>
                <w:highlight w:val="none"/>
                <w:u w:val="none"/>
                <w:lang w:bidi="ar"/>
              </w:rPr>
              <w:t>年版）》，废化学试剂属于HW03 废药物、药品</w:t>
            </w:r>
            <w:r>
              <w:rPr>
                <w:rFonts w:hint="eastAsia"/>
                <w:color w:val="auto"/>
                <w:kern w:val="0"/>
                <w:sz w:val="24"/>
                <w:highlight w:val="none"/>
                <w:u w:val="none"/>
                <w:lang w:val="en-US" w:eastAsia="zh-CN" w:bidi="ar"/>
              </w:rPr>
              <w:t>/</w:t>
            </w:r>
            <w:r>
              <w:rPr>
                <w:rFonts w:hint="eastAsia"/>
                <w:color w:val="auto"/>
                <w:kern w:val="0"/>
                <w:sz w:val="24"/>
                <w:highlight w:val="none"/>
                <w:u w:val="none"/>
                <w:lang w:bidi="ar"/>
              </w:rPr>
              <w:t>非特定行业/900-002-03</w:t>
            </w:r>
            <w:r>
              <w:rPr>
                <w:rFonts w:hint="eastAsia"/>
                <w:color w:val="auto"/>
                <w:kern w:val="0"/>
                <w:sz w:val="24"/>
                <w:highlight w:val="none"/>
                <w:u w:val="none"/>
                <w:lang w:eastAsia="zh-CN" w:bidi="ar"/>
              </w:rPr>
              <w:t>。</w:t>
            </w:r>
            <w:r>
              <w:rPr>
                <w:rFonts w:hint="eastAsia"/>
                <w:color w:val="auto"/>
                <w:kern w:val="0"/>
                <w:sz w:val="24"/>
                <w:highlight w:val="none"/>
                <w:u w:val="none"/>
                <w:lang w:val="en-US" w:eastAsia="zh-CN" w:bidi="ar"/>
              </w:rPr>
              <w:t>类比现有工程废化学试剂0.01t</w:t>
            </w:r>
            <w:r>
              <w:rPr>
                <w:rFonts w:hint="eastAsia"/>
                <w:color w:val="auto"/>
                <w:kern w:val="0"/>
                <w:sz w:val="24"/>
                <w:highlight w:val="none"/>
                <w:u w:val="none"/>
                <w:lang w:bidi="ar"/>
              </w:rPr>
              <w:t>/a</w:t>
            </w:r>
            <w:r>
              <w:rPr>
                <w:rFonts w:hint="eastAsia"/>
                <w:color w:val="auto"/>
                <w:kern w:val="0"/>
                <w:sz w:val="24"/>
                <w:highlight w:val="none"/>
                <w:u w:val="none"/>
                <w:lang w:eastAsia="zh-CN" w:bidi="ar"/>
              </w:rPr>
              <w:t>，</w:t>
            </w:r>
            <w:r>
              <w:rPr>
                <w:rFonts w:hint="eastAsia"/>
                <w:color w:val="auto"/>
                <w:kern w:val="0"/>
                <w:sz w:val="24"/>
                <w:highlight w:val="none"/>
                <w:u w:val="none"/>
                <w:lang w:val="en-US" w:eastAsia="zh-CN" w:bidi="ar"/>
              </w:rPr>
              <w:t>本次扩建项目新增废化学试剂0.01t</w:t>
            </w:r>
            <w:r>
              <w:rPr>
                <w:rFonts w:hint="eastAsia"/>
                <w:color w:val="auto"/>
                <w:kern w:val="0"/>
                <w:sz w:val="24"/>
                <w:highlight w:val="none"/>
                <w:u w:val="none"/>
                <w:lang w:bidi="ar"/>
              </w:rPr>
              <w:t>/a</w:t>
            </w:r>
            <w:r>
              <w:rPr>
                <w:rFonts w:hint="eastAsia"/>
                <w:color w:val="auto"/>
                <w:kern w:val="0"/>
                <w:sz w:val="24"/>
                <w:highlight w:val="none"/>
                <w:u w:val="none"/>
                <w:lang w:eastAsia="zh-CN" w:bidi="ar"/>
              </w:rPr>
              <w:t>，</w:t>
            </w:r>
            <w:r>
              <w:rPr>
                <w:rFonts w:hint="eastAsia"/>
                <w:color w:val="auto"/>
                <w:kern w:val="0"/>
                <w:sz w:val="24"/>
                <w:highlight w:val="none"/>
                <w:u w:val="none"/>
                <w:lang w:val="en-US" w:eastAsia="zh-CN" w:bidi="ar"/>
              </w:rPr>
              <w:t>收集后暂存危废贮存库，定期</w:t>
            </w:r>
            <w:r>
              <w:rPr>
                <w:rFonts w:hint="eastAsia"/>
                <w:color w:val="auto"/>
                <w:kern w:val="0"/>
                <w:sz w:val="24"/>
                <w:highlight w:val="none"/>
                <w:u w:val="none"/>
                <w:lang w:bidi="ar"/>
              </w:rPr>
              <w:t>委托</w:t>
            </w:r>
            <w:r>
              <w:rPr>
                <w:rFonts w:hint="eastAsia"/>
                <w:color w:val="auto"/>
                <w:kern w:val="0"/>
                <w:sz w:val="24"/>
                <w:highlight w:val="none"/>
                <w:u w:val="none"/>
                <w:lang w:val="en-US" w:eastAsia="zh-CN" w:bidi="ar"/>
              </w:rPr>
              <w:t>有资质第三方单位进行</w:t>
            </w:r>
            <w:r>
              <w:rPr>
                <w:rFonts w:hint="eastAsia"/>
                <w:color w:val="auto"/>
                <w:kern w:val="0"/>
                <w:sz w:val="24"/>
                <w:highlight w:val="none"/>
                <w:u w:val="none"/>
                <w:lang w:bidi="ar"/>
              </w:rPr>
              <w:t>处置</w:t>
            </w:r>
            <w:r>
              <w:rPr>
                <w:rFonts w:hint="eastAsia"/>
                <w:color w:val="auto"/>
                <w:kern w:val="0"/>
                <w:sz w:val="24"/>
                <w:highlight w:val="none"/>
                <w:u w:val="none"/>
                <w:lang w:eastAsia="zh-CN" w:bidi="ar"/>
              </w:rPr>
              <w:t>。</w:t>
            </w:r>
          </w:p>
          <w:p w14:paraId="713BADD8">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left"/>
              <w:textAlignment w:val="auto"/>
              <w:rPr>
                <w:rFonts w:hint="eastAsia" w:eastAsia="宋体" w:cs="Times New Roman"/>
                <w:i w:val="0"/>
                <w:iCs w:val="0"/>
                <w:color w:val="auto"/>
                <w:kern w:val="0"/>
                <w:sz w:val="24"/>
                <w:szCs w:val="24"/>
                <w:highlight w:val="none"/>
                <w:u w:val="none"/>
                <w:lang w:val="en-US" w:eastAsia="zh-CN" w:bidi="ar"/>
              </w:rPr>
            </w:pPr>
            <w:r>
              <w:rPr>
                <w:rFonts w:hint="eastAsia" w:ascii="微软雅黑" w:hAnsi="微软雅黑" w:eastAsia="微软雅黑" w:cs="微软雅黑"/>
                <w:i w:val="0"/>
                <w:iCs w:val="0"/>
                <w:color w:val="auto"/>
                <w:kern w:val="0"/>
                <w:sz w:val="24"/>
                <w:szCs w:val="24"/>
                <w:highlight w:val="none"/>
                <w:u w:val="none"/>
                <w:lang w:val="en-US" w:eastAsia="zh-CN" w:bidi="ar"/>
              </w:rPr>
              <w:t>④</w:t>
            </w:r>
            <w:r>
              <w:rPr>
                <w:rFonts w:hint="eastAsia" w:cs="Times New Roman"/>
                <w:i w:val="0"/>
                <w:iCs w:val="0"/>
                <w:color w:val="auto"/>
                <w:kern w:val="0"/>
                <w:sz w:val="24"/>
                <w:szCs w:val="24"/>
                <w:highlight w:val="none"/>
                <w:u w:val="none"/>
                <w:lang w:val="en-US" w:eastAsia="zh-CN" w:bidi="ar"/>
              </w:rPr>
              <w:t>沾染化学试剂的一次性实验用品：包括</w:t>
            </w:r>
            <w:r>
              <w:rPr>
                <w:rFonts w:hint="eastAsia" w:cs="Times New Roman"/>
                <w:b w:val="0"/>
                <w:bCs w:val="0"/>
                <w:color w:val="auto"/>
                <w:sz w:val="24"/>
                <w:szCs w:val="24"/>
                <w:highlight w:val="none"/>
                <w:vertAlign w:val="baseline"/>
                <w:lang w:val="en-US" w:eastAsia="zh-CN"/>
              </w:rPr>
              <w:t>废试剂瓶、碎玻璃器皿、注射器、滴管、手套、抹布等</w:t>
            </w:r>
            <w:r>
              <w:rPr>
                <w:rFonts w:hint="eastAsia"/>
                <w:color w:val="auto"/>
                <w:kern w:val="0"/>
                <w:sz w:val="24"/>
                <w:highlight w:val="none"/>
                <w:u w:val="none"/>
                <w:lang w:bidi="ar"/>
              </w:rPr>
              <w:t>，根据《国家危险废物名录（202</w:t>
            </w:r>
            <w:r>
              <w:rPr>
                <w:rFonts w:hint="eastAsia"/>
                <w:color w:val="auto"/>
                <w:kern w:val="0"/>
                <w:sz w:val="24"/>
                <w:highlight w:val="none"/>
                <w:u w:val="none"/>
                <w:lang w:eastAsia="zh-CN" w:bidi="ar"/>
              </w:rPr>
              <w:t>5</w:t>
            </w:r>
            <w:r>
              <w:rPr>
                <w:rFonts w:hint="eastAsia"/>
                <w:color w:val="auto"/>
                <w:kern w:val="0"/>
                <w:sz w:val="24"/>
                <w:highlight w:val="none"/>
                <w:u w:val="none"/>
                <w:lang w:bidi="ar"/>
              </w:rPr>
              <w:t>年版）》</w:t>
            </w:r>
            <w:r>
              <w:rPr>
                <w:rFonts w:hint="eastAsia" w:cs="Times New Roman"/>
                <w:b w:val="0"/>
                <w:bCs w:val="0"/>
                <w:color w:val="auto"/>
                <w:sz w:val="24"/>
                <w:szCs w:val="24"/>
                <w:highlight w:val="none"/>
                <w:vertAlign w:val="baseline"/>
                <w:lang w:val="en-US" w:eastAsia="zh-CN"/>
              </w:rPr>
              <w:t>属于</w:t>
            </w:r>
            <w:r>
              <w:rPr>
                <w:rFonts w:hint="eastAsia"/>
                <w:color w:val="auto"/>
                <w:kern w:val="0"/>
                <w:sz w:val="24"/>
                <w:highlight w:val="none"/>
                <w:u w:val="none"/>
                <w:lang w:eastAsia="zh-CN" w:bidi="ar"/>
              </w:rPr>
              <w:t>（</w:t>
            </w:r>
            <w:r>
              <w:rPr>
                <w:rFonts w:hint="eastAsia"/>
                <w:color w:val="auto"/>
                <w:kern w:val="0"/>
                <w:sz w:val="24"/>
                <w:highlight w:val="none"/>
                <w:u w:val="none"/>
                <w:lang w:val="en-US" w:eastAsia="zh-CN" w:bidi="ar"/>
              </w:rPr>
              <w:t>HW49</w:t>
            </w:r>
            <w:r>
              <w:rPr>
                <w:rFonts w:hint="eastAsia" w:ascii="Times New Roman" w:hAnsi="Times New Roman" w:eastAsia="宋体" w:cs="Times New Roman"/>
                <w:b w:val="0"/>
                <w:bCs w:val="0"/>
                <w:color w:val="auto"/>
                <w:kern w:val="2"/>
                <w:sz w:val="24"/>
                <w:szCs w:val="24"/>
                <w:highlight w:val="none"/>
                <w:vertAlign w:val="baseline"/>
                <w:lang w:val="en-US" w:eastAsia="zh-CN" w:bidi="ar-SA"/>
              </w:rPr>
              <w:t>其他废物/非特定行业/</w:t>
            </w:r>
            <w:r>
              <w:rPr>
                <w:rFonts w:hint="eastAsia" w:cs="Times New Roman"/>
                <w:i w:val="0"/>
                <w:iCs w:val="0"/>
                <w:color w:val="auto"/>
                <w:kern w:val="0"/>
                <w:sz w:val="24"/>
                <w:szCs w:val="24"/>
                <w:highlight w:val="none"/>
                <w:u w:val="none"/>
                <w:lang w:val="en-US" w:eastAsia="zh-CN" w:bidi="ar"/>
              </w:rPr>
              <w:t>900-047-49</w:t>
            </w:r>
            <w:r>
              <w:rPr>
                <w:rFonts w:hint="eastAsia"/>
                <w:color w:val="auto"/>
                <w:kern w:val="0"/>
                <w:sz w:val="24"/>
                <w:highlight w:val="none"/>
                <w:u w:val="none"/>
                <w:lang w:eastAsia="zh-CN" w:bidi="ar"/>
              </w:rPr>
              <w:t>）</w:t>
            </w:r>
            <w:r>
              <w:rPr>
                <w:rFonts w:hint="eastAsia"/>
                <w:color w:val="auto"/>
                <w:kern w:val="0"/>
                <w:sz w:val="24"/>
                <w:highlight w:val="none"/>
                <w:u w:val="none"/>
                <w:lang w:val="en-US" w:eastAsia="zh-CN" w:bidi="ar"/>
              </w:rPr>
              <w:t>，类比现有工程</w:t>
            </w:r>
            <w:r>
              <w:rPr>
                <w:rFonts w:hint="eastAsia" w:cs="Times New Roman"/>
                <w:i w:val="0"/>
                <w:iCs w:val="0"/>
                <w:color w:val="auto"/>
                <w:kern w:val="0"/>
                <w:sz w:val="24"/>
                <w:szCs w:val="24"/>
                <w:highlight w:val="none"/>
                <w:u w:val="none"/>
                <w:lang w:val="en-US" w:eastAsia="zh-CN" w:bidi="ar"/>
              </w:rPr>
              <w:t>沾染化学试剂的一次性实验用品（其中废试剂瓶0.01t/a）产生量为1.5t</w:t>
            </w:r>
            <w:r>
              <w:rPr>
                <w:rFonts w:hint="eastAsia"/>
                <w:color w:val="auto"/>
                <w:kern w:val="0"/>
                <w:sz w:val="24"/>
                <w:highlight w:val="none"/>
                <w:u w:val="none"/>
                <w:lang w:bidi="ar"/>
              </w:rPr>
              <w:t>/a</w:t>
            </w:r>
            <w:r>
              <w:rPr>
                <w:rFonts w:hint="eastAsia"/>
                <w:color w:val="auto"/>
                <w:kern w:val="0"/>
                <w:sz w:val="24"/>
                <w:highlight w:val="none"/>
                <w:u w:val="none"/>
                <w:lang w:eastAsia="zh-CN" w:bidi="ar"/>
              </w:rPr>
              <w:t>，</w:t>
            </w:r>
            <w:r>
              <w:rPr>
                <w:rFonts w:hint="eastAsia"/>
                <w:color w:val="auto"/>
                <w:kern w:val="0"/>
                <w:sz w:val="24"/>
                <w:highlight w:val="none"/>
                <w:u w:val="none"/>
                <w:lang w:val="en-US" w:eastAsia="zh-CN" w:bidi="ar"/>
              </w:rPr>
              <w:t>则</w:t>
            </w:r>
            <w:r>
              <w:rPr>
                <w:rFonts w:hint="eastAsia" w:cs="Times New Roman"/>
                <w:color w:val="auto"/>
                <w:kern w:val="0"/>
                <w:sz w:val="24"/>
                <w:szCs w:val="24"/>
                <w:highlight w:val="none"/>
                <w:lang w:val="en-US" w:eastAsia="zh-CN" w:bidi="ar"/>
              </w:rPr>
              <w:t>本次扩建项目</w:t>
            </w:r>
            <w:r>
              <w:rPr>
                <w:rFonts w:hint="eastAsia"/>
                <w:color w:val="auto"/>
                <w:kern w:val="0"/>
                <w:sz w:val="24"/>
                <w:highlight w:val="none"/>
                <w:u w:val="none"/>
                <w:lang w:val="en-US" w:eastAsia="zh-CN" w:bidi="ar"/>
              </w:rPr>
              <w:t>新增</w:t>
            </w:r>
            <w:r>
              <w:rPr>
                <w:rFonts w:hint="eastAsia" w:cs="Times New Roman"/>
                <w:i w:val="0"/>
                <w:iCs w:val="0"/>
                <w:color w:val="auto"/>
                <w:kern w:val="0"/>
                <w:sz w:val="24"/>
                <w:szCs w:val="24"/>
                <w:highlight w:val="none"/>
                <w:u w:val="none"/>
                <w:lang w:val="en-US" w:eastAsia="zh-CN" w:bidi="ar"/>
              </w:rPr>
              <w:t>沾染化学试剂的一次性实验用品</w:t>
            </w:r>
            <w:r>
              <w:rPr>
                <w:rFonts w:hint="eastAsia"/>
                <w:color w:val="auto"/>
                <w:kern w:val="0"/>
                <w:sz w:val="24"/>
                <w:highlight w:val="none"/>
                <w:u w:val="none"/>
                <w:lang w:val="en-US" w:eastAsia="zh-CN" w:bidi="ar"/>
              </w:rPr>
              <w:t>约1.5</w:t>
            </w:r>
            <w:r>
              <w:rPr>
                <w:rFonts w:hint="eastAsia"/>
                <w:color w:val="auto"/>
                <w:kern w:val="0"/>
                <w:sz w:val="24"/>
                <w:highlight w:val="none"/>
                <w:u w:val="none"/>
                <w:lang w:bidi="ar"/>
              </w:rPr>
              <w:t>t/a</w:t>
            </w:r>
            <w:r>
              <w:rPr>
                <w:rFonts w:hint="eastAsia"/>
                <w:color w:val="auto"/>
                <w:kern w:val="0"/>
                <w:sz w:val="24"/>
                <w:highlight w:val="none"/>
                <w:u w:val="none"/>
                <w:lang w:eastAsia="zh-CN" w:bidi="ar"/>
              </w:rPr>
              <w:t>，</w:t>
            </w:r>
            <w:r>
              <w:rPr>
                <w:rFonts w:hint="eastAsia"/>
                <w:color w:val="auto"/>
                <w:kern w:val="0"/>
                <w:sz w:val="24"/>
                <w:highlight w:val="none"/>
                <w:u w:val="none"/>
                <w:lang w:bidi="ar"/>
              </w:rPr>
              <w:t>收集后暂存于危废贮存库，定期委托</w:t>
            </w:r>
            <w:r>
              <w:rPr>
                <w:rFonts w:hint="eastAsia"/>
                <w:color w:val="auto"/>
                <w:kern w:val="0"/>
                <w:sz w:val="24"/>
                <w:highlight w:val="none"/>
                <w:u w:val="none"/>
                <w:lang w:eastAsia="zh-CN" w:bidi="ar"/>
              </w:rPr>
              <w:t>陕西水发环境有限公司</w:t>
            </w:r>
            <w:r>
              <w:rPr>
                <w:rFonts w:hint="eastAsia"/>
                <w:color w:val="auto"/>
                <w:kern w:val="0"/>
                <w:sz w:val="24"/>
                <w:highlight w:val="none"/>
                <w:u w:val="none"/>
                <w:lang w:bidi="ar"/>
              </w:rPr>
              <w:t>处置。</w:t>
            </w:r>
          </w:p>
          <w:p w14:paraId="25BECEF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cs="Times New Roman"/>
                <w:i w:val="0"/>
                <w:iCs w:val="0"/>
                <w:color w:val="auto"/>
                <w:kern w:val="0"/>
                <w:sz w:val="24"/>
                <w:szCs w:val="24"/>
                <w:highlight w:val="none"/>
                <w:u w:val="none"/>
                <w:lang w:val="en-US" w:eastAsia="zh-CN" w:bidi="ar"/>
              </w:rPr>
            </w:pPr>
            <w:r>
              <w:rPr>
                <w:rFonts w:hint="eastAsia" w:ascii="微软雅黑" w:hAnsi="微软雅黑" w:eastAsia="微软雅黑" w:cs="微软雅黑"/>
                <w:i w:val="0"/>
                <w:iCs w:val="0"/>
                <w:color w:val="auto"/>
                <w:kern w:val="0"/>
                <w:sz w:val="24"/>
                <w:szCs w:val="24"/>
                <w:highlight w:val="none"/>
                <w:u w:val="none"/>
                <w:lang w:val="en-US" w:eastAsia="zh-CN" w:bidi="ar"/>
              </w:rPr>
              <w:t>⑤</w:t>
            </w:r>
            <w:r>
              <w:rPr>
                <w:rFonts w:hint="eastAsia" w:cs="Times New Roman"/>
                <w:i w:val="0"/>
                <w:iCs w:val="0"/>
                <w:color w:val="auto"/>
                <w:kern w:val="0"/>
                <w:sz w:val="24"/>
                <w:szCs w:val="24"/>
                <w:highlight w:val="none"/>
                <w:u w:val="none"/>
                <w:lang w:val="en-US" w:eastAsia="zh-CN" w:bidi="ar"/>
              </w:rPr>
              <w:t>废活性炭：活性炭吸附装置内活性炭定期更换，项目建成后废活性炭产生量约为1.26t</w:t>
            </w:r>
            <w:r>
              <w:rPr>
                <w:rFonts w:hint="eastAsia" w:ascii="Times New Roman" w:hAnsi="Times New Roman" w:eastAsia="宋体" w:cs="Times New Roman"/>
                <w:i w:val="0"/>
                <w:iCs w:val="0"/>
                <w:color w:val="auto"/>
                <w:kern w:val="0"/>
                <w:sz w:val="24"/>
                <w:szCs w:val="24"/>
                <w:highlight w:val="none"/>
                <w:u w:val="none"/>
                <w:lang w:val="en-US" w:eastAsia="zh-CN" w:bidi="ar"/>
              </w:rPr>
              <w:t>/a</w:t>
            </w:r>
            <w:r>
              <w:rPr>
                <w:rFonts w:hint="eastAsia" w:cs="Times New Roman"/>
                <w:i w:val="0"/>
                <w:iCs w:val="0"/>
                <w:color w:val="auto"/>
                <w:kern w:val="0"/>
                <w:sz w:val="24"/>
                <w:szCs w:val="24"/>
                <w:highlight w:val="none"/>
                <w:u w:val="none"/>
                <w:lang w:val="en-US" w:eastAsia="zh-CN" w:bidi="ar"/>
              </w:rPr>
              <w:t>，类别代码为HW49</w:t>
            </w:r>
            <w:r>
              <w:rPr>
                <w:rFonts w:hint="eastAsia" w:ascii="Times New Roman" w:hAnsi="Times New Roman" w:eastAsia="宋体" w:cs="Times New Roman"/>
                <w:b w:val="0"/>
                <w:bCs w:val="0"/>
                <w:color w:val="auto"/>
                <w:kern w:val="2"/>
                <w:sz w:val="24"/>
                <w:szCs w:val="24"/>
                <w:highlight w:val="none"/>
                <w:vertAlign w:val="baseline"/>
                <w:lang w:val="en-US" w:eastAsia="zh-CN" w:bidi="ar-SA"/>
              </w:rPr>
              <w:t>其他废物/非特定行业/</w:t>
            </w:r>
            <w:r>
              <w:rPr>
                <w:rFonts w:hint="eastAsia" w:cs="Times New Roman"/>
                <w:i w:val="0"/>
                <w:iCs w:val="0"/>
                <w:color w:val="auto"/>
                <w:kern w:val="0"/>
                <w:sz w:val="24"/>
                <w:szCs w:val="24"/>
                <w:highlight w:val="none"/>
                <w:u w:val="none"/>
                <w:lang w:val="en-US" w:eastAsia="zh-CN" w:bidi="ar"/>
              </w:rPr>
              <w:t>900-039-49。现有工程废活性炭产生量约为0.65t/a，故</w:t>
            </w:r>
            <w:r>
              <w:rPr>
                <w:rFonts w:hint="eastAsia" w:cs="Times New Roman"/>
                <w:color w:val="auto"/>
                <w:kern w:val="0"/>
                <w:sz w:val="24"/>
                <w:szCs w:val="24"/>
                <w:highlight w:val="none"/>
                <w:lang w:val="en-US" w:eastAsia="zh-CN" w:bidi="ar"/>
              </w:rPr>
              <w:t>本次扩建项目</w:t>
            </w:r>
            <w:r>
              <w:rPr>
                <w:rFonts w:hint="eastAsia" w:cs="Times New Roman"/>
                <w:i w:val="0"/>
                <w:iCs w:val="0"/>
                <w:color w:val="auto"/>
                <w:kern w:val="0"/>
                <w:sz w:val="24"/>
                <w:szCs w:val="24"/>
                <w:highlight w:val="none"/>
                <w:u w:val="none"/>
                <w:lang w:val="en-US" w:eastAsia="zh-CN" w:bidi="ar"/>
              </w:rPr>
              <w:t>新增废活性炭约0.61t/a。采用专用桶收集，暂存于危废贮存库，定期交由陕西水发环境有限公司进行处理。</w:t>
            </w:r>
          </w:p>
          <w:p w14:paraId="08DC7792">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420" w:firstLineChars="175"/>
              <w:jc w:val="both"/>
              <w:textAlignment w:val="auto"/>
              <w:rPr>
                <w:rFonts w:hint="eastAsia" w:cs="Times New Roman"/>
                <w:i w:val="0"/>
                <w:iCs w:val="0"/>
                <w:color w:val="auto"/>
                <w:kern w:val="0"/>
                <w:sz w:val="24"/>
                <w:szCs w:val="24"/>
                <w:highlight w:val="none"/>
                <w:u w:val="none"/>
                <w:lang w:val="en-US" w:eastAsia="zh-CN" w:bidi="ar"/>
              </w:rPr>
            </w:pPr>
            <w:r>
              <w:rPr>
                <w:rFonts w:hint="eastAsia" w:cs="Times New Roman"/>
                <w:i w:val="0"/>
                <w:iCs w:val="0"/>
                <w:color w:val="auto"/>
                <w:kern w:val="0"/>
                <w:sz w:val="24"/>
                <w:szCs w:val="24"/>
                <w:highlight w:val="none"/>
                <w:u w:val="none"/>
                <w:lang w:val="en-US" w:eastAsia="zh-CN" w:bidi="ar"/>
              </w:rPr>
              <w:t xml:space="preserve"> </w:t>
            </w:r>
            <w:r>
              <w:rPr>
                <w:rFonts w:hint="eastAsia" w:ascii="微软雅黑" w:hAnsi="微软雅黑" w:eastAsia="微软雅黑" w:cs="微软雅黑"/>
                <w:i w:val="0"/>
                <w:iCs w:val="0"/>
                <w:color w:val="auto"/>
                <w:kern w:val="0"/>
                <w:sz w:val="24"/>
                <w:szCs w:val="24"/>
                <w:highlight w:val="none"/>
                <w:u w:val="none"/>
                <w:lang w:val="en-US" w:eastAsia="zh-CN" w:bidi="ar"/>
              </w:rPr>
              <w:t>⑥</w:t>
            </w:r>
            <w:r>
              <w:rPr>
                <w:rFonts w:hint="eastAsia" w:cs="Times New Roman"/>
                <w:i w:val="0"/>
                <w:iCs w:val="0"/>
                <w:color w:val="auto"/>
                <w:kern w:val="0"/>
                <w:sz w:val="24"/>
                <w:szCs w:val="24"/>
                <w:highlight w:val="none"/>
                <w:u w:val="none"/>
                <w:lang w:val="en-US" w:eastAsia="zh-CN" w:bidi="ar"/>
              </w:rPr>
              <w:t>废SDG：废气处理装置中内废SDG定期更换，</w:t>
            </w:r>
            <w:r>
              <w:rPr>
                <w:rFonts w:hint="eastAsia"/>
                <w:color w:val="auto"/>
                <w:kern w:val="0"/>
                <w:sz w:val="24"/>
                <w:highlight w:val="none"/>
                <w:u w:val="none"/>
                <w:lang w:val="en-US" w:eastAsia="zh-CN" w:bidi="ar"/>
              </w:rPr>
              <w:t>项目需要处理酸性废气约0.018t/a。根据建设单位提供的资料，SDG吸附剂最大填充量为0.7t/a，每</w:t>
            </w:r>
            <w:r>
              <w:rPr>
                <w:rFonts w:hint="eastAsia"/>
                <w:color w:val="auto"/>
                <w:kern w:val="0"/>
                <w:sz w:val="24"/>
                <w:highlight w:val="none"/>
                <w:u w:val="none"/>
                <w:lang w:bidi="ar"/>
              </w:rPr>
              <w:t>年更换一次，</w:t>
            </w:r>
            <w:r>
              <w:rPr>
                <w:rFonts w:hint="eastAsia"/>
                <w:color w:val="auto"/>
                <w:kern w:val="0"/>
                <w:sz w:val="24"/>
                <w:highlight w:val="none"/>
                <w:u w:val="none"/>
                <w:lang w:val="en-US" w:eastAsia="zh-CN" w:bidi="ar"/>
              </w:rPr>
              <w:t>则废SDG产生量约为0.72t/a。</w:t>
            </w:r>
            <w:r>
              <w:rPr>
                <w:rFonts w:hint="eastAsia"/>
                <w:color w:val="auto"/>
                <w:kern w:val="0"/>
                <w:sz w:val="24"/>
                <w:highlight w:val="none"/>
                <w:u w:val="none"/>
                <w:lang w:bidi="ar"/>
              </w:rPr>
              <w:t>根据《国家危险废物名录（202</w:t>
            </w:r>
            <w:r>
              <w:rPr>
                <w:rFonts w:hint="eastAsia"/>
                <w:color w:val="auto"/>
                <w:kern w:val="0"/>
                <w:sz w:val="24"/>
                <w:highlight w:val="none"/>
                <w:u w:val="none"/>
                <w:lang w:eastAsia="zh-CN" w:bidi="ar"/>
              </w:rPr>
              <w:t>5</w:t>
            </w:r>
            <w:r>
              <w:rPr>
                <w:rFonts w:hint="eastAsia"/>
                <w:color w:val="auto"/>
                <w:kern w:val="0"/>
                <w:sz w:val="24"/>
                <w:highlight w:val="none"/>
                <w:u w:val="none"/>
                <w:lang w:bidi="ar"/>
              </w:rPr>
              <w:t>年版）》</w:t>
            </w:r>
            <w:r>
              <w:rPr>
                <w:rFonts w:hint="eastAsia"/>
                <w:color w:val="auto"/>
                <w:kern w:val="0"/>
                <w:sz w:val="24"/>
                <w:highlight w:val="none"/>
                <w:u w:val="none"/>
                <w:lang w:val="en-US" w:eastAsia="zh-CN" w:bidi="ar"/>
              </w:rPr>
              <w:t>废SDG</w:t>
            </w:r>
            <w:r>
              <w:rPr>
                <w:rFonts w:hint="eastAsia" w:cs="Times New Roman"/>
                <w:i w:val="0"/>
                <w:iCs w:val="0"/>
                <w:color w:val="auto"/>
                <w:kern w:val="0"/>
                <w:sz w:val="24"/>
                <w:szCs w:val="24"/>
                <w:highlight w:val="none"/>
                <w:u w:val="none"/>
                <w:lang w:val="en-US" w:eastAsia="zh-CN" w:bidi="ar"/>
              </w:rPr>
              <w:t>类别代码为HW49</w:t>
            </w:r>
            <w:r>
              <w:rPr>
                <w:rFonts w:hint="eastAsia" w:ascii="Times New Roman" w:hAnsi="Times New Roman" w:eastAsia="宋体" w:cs="Times New Roman"/>
                <w:b w:val="0"/>
                <w:bCs w:val="0"/>
                <w:color w:val="auto"/>
                <w:kern w:val="2"/>
                <w:sz w:val="24"/>
                <w:szCs w:val="24"/>
                <w:highlight w:val="none"/>
                <w:vertAlign w:val="baseline"/>
                <w:lang w:val="en-US" w:eastAsia="zh-CN" w:bidi="ar-SA"/>
              </w:rPr>
              <w:t>其他废物/非特定行业/</w:t>
            </w:r>
            <w:r>
              <w:rPr>
                <w:rFonts w:hint="eastAsia" w:cs="Times New Roman"/>
                <w:i w:val="0"/>
                <w:iCs w:val="0"/>
                <w:color w:val="auto"/>
                <w:kern w:val="0"/>
                <w:sz w:val="24"/>
                <w:szCs w:val="24"/>
                <w:highlight w:val="none"/>
                <w:u w:val="none"/>
                <w:lang w:val="en-US" w:eastAsia="zh-CN" w:bidi="ar"/>
              </w:rPr>
              <w:t>900-039-49。采用专用桶收集，暂存于危废贮存库，定期交由陕西水发环境有限公司进行处理。</w:t>
            </w:r>
          </w:p>
          <w:p w14:paraId="7E2D9CB6">
            <w:pPr>
              <w:pStyle w:val="3"/>
              <w:rPr>
                <w:rFonts w:hint="default"/>
                <w:color w:val="auto"/>
                <w:highlight w:val="none"/>
                <w:lang w:val="en-US" w:eastAsia="zh-CN"/>
              </w:rPr>
            </w:pPr>
            <w:r>
              <w:rPr>
                <w:rFonts w:hint="eastAsia" w:cs="Times New Roman"/>
                <w:i w:val="0"/>
                <w:iCs w:val="0"/>
                <w:color w:val="auto"/>
                <w:kern w:val="0"/>
                <w:sz w:val="24"/>
                <w:szCs w:val="24"/>
                <w:highlight w:val="none"/>
                <w:u w:val="none"/>
                <w:lang w:val="en-US" w:eastAsia="zh-CN" w:bidi="ar"/>
              </w:rPr>
              <w:t xml:space="preserve">   </w:t>
            </w:r>
            <w:r>
              <w:rPr>
                <w:rFonts w:hint="eastAsia" w:ascii="微软雅黑" w:hAnsi="微软雅黑" w:eastAsia="微软雅黑" w:cs="微软雅黑"/>
                <w:i w:val="0"/>
                <w:iCs w:val="0"/>
                <w:color w:val="auto"/>
                <w:kern w:val="0"/>
                <w:sz w:val="24"/>
                <w:szCs w:val="24"/>
                <w:highlight w:val="none"/>
                <w:u w:val="none"/>
                <w:lang w:val="en-US" w:eastAsia="zh-CN" w:bidi="ar"/>
              </w:rPr>
              <w:t>⑦</w:t>
            </w:r>
            <w:r>
              <w:rPr>
                <w:rFonts w:hint="eastAsia" w:cs="Times New Roman"/>
                <w:b w:val="0"/>
                <w:bCs w:val="0"/>
                <w:color w:val="auto"/>
                <w:kern w:val="2"/>
                <w:sz w:val="24"/>
                <w:szCs w:val="24"/>
                <w:highlight w:val="none"/>
                <w:lang w:val="en-US" w:eastAsia="zh-CN" w:bidi="ar-SA"/>
              </w:rPr>
              <w:t>废水处理污泥：本项目</w:t>
            </w:r>
            <w:r>
              <w:rPr>
                <w:rFonts w:hint="eastAsia" w:ascii="Times New Roman" w:hAnsi="Times New Roman" w:eastAsia="宋体" w:cs="Times New Roman"/>
                <w:b w:val="0"/>
                <w:bCs w:val="0"/>
                <w:color w:val="auto"/>
                <w:kern w:val="2"/>
                <w:sz w:val="24"/>
                <w:szCs w:val="24"/>
                <w:highlight w:val="none"/>
                <w:lang w:val="en-US" w:eastAsia="zh-CN" w:bidi="ar-SA"/>
              </w:rPr>
              <w:t>实验</w:t>
            </w:r>
            <w:r>
              <w:rPr>
                <w:rFonts w:hint="eastAsia" w:cs="Times New Roman"/>
                <w:b w:val="0"/>
                <w:bCs w:val="0"/>
                <w:color w:val="auto"/>
                <w:kern w:val="2"/>
                <w:sz w:val="24"/>
                <w:szCs w:val="24"/>
                <w:highlight w:val="none"/>
                <w:lang w:val="en-US" w:eastAsia="zh-CN" w:bidi="ar-SA"/>
              </w:rPr>
              <w:t>清洗第五、六道清洗废水和台面、地面清洗废水收集后</w:t>
            </w:r>
            <w:r>
              <w:rPr>
                <w:rFonts w:hint="eastAsia" w:ascii="Times New Roman" w:hAnsi="Times New Roman" w:eastAsia="宋体" w:cs="Times New Roman"/>
                <w:b w:val="0"/>
                <w:bCs w:val="0"/>
                <w:color w:val="auto"/>
                <w:kern w:val="2"/>
                <w:sz w:val="24"/>
                <w:szCs w:val="24"/>
                <w:highlight w:val="none"/>
                <w:lang w:val="en-US" w:eastAsia="zh-CN" w:bidi="ar-SA"/>
              </w:rPr>
              <w:t>经</w:t>
            </w:r>
            <w:r>
              <w:rPr>
                <w:rFonts w:hint="eastAsia" w:cs="Times New Roman"/>
                <w:b w:val="0"/>
                <w:bCs w:val="0"/>
                <w:color w:val="auto"/>
                <w:kern w:val="2"/>
                <w:sz w:val="24"/>
                <w:szCs w:val="24"/>
                <w:highlight w:val="none"/>
                <w:lang w:val="en-US" w:eastAsia="zh-CN" w:bidi="ar-SA"/>
              </w:rPr>
              <w:t>现有依托的废水处理设施进行处理，处理过程废水处理设施会产生污泥，污泥量产生量极少，根据建设单位提供的资料，现有项目污泥产生量约为0.29kg/a，扩建后项目污泥产生量为约为1.5kg/a，则</w:t>
            </w:r>
            <w:r>
              <w:rPr>
                <w:rFonts w:hint="eastAsia" w:cs="Times New Roman"/>
                <w:color w:val="auto"/>
                <w:kern w:val="0"/>
                <w:sz w:val="24"/>
                <w:szCs w:val="24"/>
                <w:highlight w:val="none"/>
                <w:lang w:val="en-US" w:eastAsia="zh-CN" w:bidi="ar"/>
              </w:rPr>
              <w:t>本次扩建项目</w:t>
            </w:r>
            <w:r>
              <w:rPr>
                <w:rFonts w:hint="eastAsia" w:cs="Times New Roman"/>
                <w:b w:val="0"/>
                <w:bCs w:val="0"/>
                <w:color w:val="auto"/>
                <w:kern w:val="2"/>
                <w:sz w:val="24"/>
                <w:szCs w:val="24"/>
                <w:highlight w:val="none"/>
                <w:lang w:val="en-US" w:eastAsia="zh-CN" w:bidi="ar-SA"/>
              </w:rPr>
              <w:t>后污水产生量约为1.21kg/a。废水处理污泥属于危险废物，类别代码为HW49其他废物/非特定行业/772-006-49，收集后暂存于危废贮存库定期委托有资质的第三方单位外运处置。</w:t>
            </w:r>
          </w:p>
          <w:p w14:paraId="41013596">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Chars="171"/>
              <w:jc w:val="center"/>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表4-1</w:t>
            </w:r>
            <w:r>
              <w:rPr>
                <w:rFonts w:hint="eastAsia" w:cs="Times New Roman"/>
                <w:b/>
                <w:bCs/>
                <w:color w:val="auto"/>
                <w:kern w:val="2"/>
                <w:sz w:val="24"/>
                <w:szCs w:val="24"/>
                <w:highlight w:val="none"/>
                <w:lang w:val="en-US" w:eastAsia="zh-CN" w:bidi="ar-SA"/>
              </w:rPr>
              <w:t>6</w:t>
            </w:r>
            <w:r>
              <w:rPr>
                <w:rFonts w:hint="eastAsia" w:ascii="Times New Roman" w:hAnsi="Times New Roman" w:eastAsia="宋体" w:cs="Times New Roman"/>
                <w:b/>
                <w:bCs/>
                <w:color w:val="auto"/>
                <w:kern w:val="2"/>
                <w:sz w:val="24"/>
                <w:szCs w:val="24"/>
                <w:highlight w:val="none"/>
                <w:lang w:val="en-US" w:eastAsia="zh-CN" w:bidi="ar-SA"/>
              </w:rPr>
              <w:t xml:space="preserve"> </w:t>
            </w:r>
            <w:r>
              <w:rPr>
                <w:rFonts w:hint="eastAsia" w:cs="Times New Roman"/>
                <w:b/>
                <w:bCs/>
                <w:color w:val="auto"/>
                <w:kern w:val="2"/>
                <w:sz w:val="24"/>
                <w:szCs w:val="24"/>
                <w:highlight w:val="none"/>
                <w:lang w:val="en-US" w:eastAsia="zh-CN" w:bidi="ar-SA"/>
              </w:rPr>
              <w:t>项目扩建新增危险废物</w:t>
            </w:r>
            <w:r>
              <w:rPr>
                <w:rFonts w:hint="eastAsia" w:ascii="Times New Roman" w:hAnsi="Times New Roman" w:eastAsia="宋体" w:cs="Times New Roman"/>
                <w:b/>
                <w:bCs/>
                <w:color w:val="auto"/>
                <w:kern w:val="2"/>
                <w:sz w:val="24"/>
                <w:szCs w:val="24"/>
                <w:highlight w:val="none"/>
                <w:lang w:val="en-US" w:eastAsia="zh-CN" w:bidi="ar-SA"/>
              </w:rPr>
              <w:t>产生量及利用处置方式</w:t>
            </w:r>
          </w:p>
          <w:tbl>
            <w:tblPr>
              <w:tblStyle w:val="31"/>
              <w:tblW w:w="7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126"/>
              <w:gridCol w:w="1213"/>
              <w:gridCol w:w="999"/>
              <w:gridCol w:w="848"/>
              <w:gridCol w:w="435"/>
              <w:gridCol w:w="938"/>
              <w:gridCol w:w="500"/>
              <w:gridCol w:w="1005"/>
            </w:tblGrid>
            <w:tr w14:paraId="18DD7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 w:type="pct"/>
                  <w:tcBorders>
                    <w:tl2br w:val="nil"/>
                    <w:tr2bl w:val="nil"/>
                  </w:tcBorders>
                  <w:vAlign w:val="center"/>
                </w:tcPr>
                <w:p w14:paraId="405D68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序号</w:t>
                  </w:r>
                </w:p>
              </w:tc>
              <w:tc>
                <w:tcPr>
                  <w:tcW w:w="748" w:type="pct"/>
                  <w:tcBorders>
                    <w:tl2br w:val="nil"/>
                    <w:tr2bl w:val="nil"/>
                  </w:tcBorders>
                  <w:vAlign w:val="center"/>
                </w:tcPr>
                <w:p w14:paraId="564FB9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固体废物名称</w:t>
                  </w:r>
                </w:p>
              </w:tc>
              <w:tc>
                <w:tcPr>
                  <w:tcW w:w="806" w:type="pct"/>
                  <w:tcBorders>
                    <w:tl2br w:val="nil"/>
                    <w:tr2bl w:val="nil"/>
                  </w:tcBorders>
                  <w:vAlign w:val="center"/>
                </w:tcPr>
                <w:p w14:paraId="72233A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废物类别、代码</w:t>
                  </w:r>
                </w:p>
              </w:tc>
              <w:tc>
                <w:tcPr>
                  <w:tcW w:w="664" w:type="pct"/>
                  <w:tcBorders>
                    <w:tl2br w:val="nil"/>
                    <w:tr2bl w:val="nil"/>
                  </w:tcBorders>
                  <w:vAlign w:val="center"/>
                </w:tcPr>
                <w:p w14:paraId="4D5737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产生量</w:t>
                  </w:r>
                </w:p>
              </w:tc>
              <w:tc>
                <w:tcPr>
                  <w:tcW w:w="563" w:type="pct"/>
                  <w:tcBorders>
                    <w:tl2br w:val="nil"/>
                    <w:tr2bl w:val="nil"/>
                  </w:tcBorders>
                  <w:vAlign w:val="center"/>
                </w:tcPr>
                <w:p w14:paraId="342051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产生工序及装置</w:t>
                  </w:r>
                </w:p>
              </w:tc>
              <w:tc>
                <w:tcPr>
                  <w:tcW w:w="289" w:type="pct"/>
                  <w:tcBorders>
                    <w:tl2br w:val="nil"/>
                    <w:tr2bl w:val="nil"/>
                  </w:tcBorders>
                  <w:vAlign w:val="center"/>
                </w:tcPr>
                <w:p w14:paraId="294CE1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形态</w:t>
                  </w:r>
                </w:p>
              </w:tc>
              <w:tc>
                <w:tcPr>
                  <w:tcW w:w="623" w:type="pct"/>
                  <w:tcBorders>
                    <w:tl2br w:val="nil"/>
                    <w:tr2bl w:val="nil"/>
                  </w:tcBorders>
                  <w:vAlign w:val="center"/>
                </w:tcPr>
                <w:p w14:paraId="799F58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主要成分</w:t>
                  </w:r>
                </w:p>
              </w:tc>
              <w:tc>
                <w:tcPr>
                  <w:tcW w:w="332" w:type="pct"/>
                  <w:tcBorders>
                    <w:tl2br w:val="nil"/>
                    <w:tr2bl w:val="nil"/>
                  </w:tcBorders>
                  <w:vAlign w:val="center"/>
                </w:tcPr>
                <w:p w14:paraId="463891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危险特性</w:t>
                  </w:r>
                </w:p>
              </w:tc>
              <w:tc>
                <w:tcPr>
                  <w:tcW w:w="668" w:type="pct"/>
                  <w:tcBorders>
                    <w:tl2br w:val="nil"/>
                    <w:tr2bl w:val="nil"/>
                  </w:tcBorders>
                  <w:vAlign w:val="center"/>
                </w:tcPr>
                <w:p w14:paraId="6E8B00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污染防治措施</w:t>
                  </w:r>
                </w:p>
              </w:tc>
            </w:tr>
            <w:tr w14:paraId="595F18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3" w:type="pct"/>
                  <w:tcBorders>
                    <w:tl2br w:val="nil"/>
                    <w:tr2bl w:val="nil"/>
                  </w:tcBorders>
                  <w:vAlign w:val="center"/>
                </w:tcPr>
                <w:p w14:paraId="167CED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748" w:type="pct"/>
                  <w:tcBorders>
                    <w:tl2br w:val="nil"/>
                    <w:tr2bl w:val="nil"/>
                  </w:tcBorders>
                  <w:vAlign w:val="center"/>
                </w:tcPr>
                <w:p w14:paraId="53A530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实验室废液</w:t>
                  </w:r>
                </w:p>
              </w:tc>
              <w:tc>
                <w:tcPr>
                  <w:tcW w:w="806" w:type="pct"/>
                  <w:tcBorders>
                    <w:tl2br w:val="nil"/>
                    <w:tr2bl w:val="nil"/>
                  </w:tcBorders>
                  <w:vAlign w:val="center"/>
                </w:tcPr>
                <w:p w14:paraId="75C3C4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474A2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900-047-49</w:t>
                  </w:r>
                </w:p>
              </w:tc>
              <w:tc>
                <w:tcPr>
                  <w:tcW w:w="664" w:type="pct"/>
                  <w:tcBorders>
                    <w:tl2br w:val="nil"/>
                    <w:tr2bl w:val="nil"/>
                  </w:tcBorders>
                  <w:shd w:val="clear" w:color="auto" w:fill="auto"/>
                  <w:vAlign w:val="center"/>
                </w:tcPr>
                <w:p w14:paraId="78191C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37.8t/a</w:t>
                  </w:r>
                </w:p>
              </w:tc>
              <w:tc>
                <w:tcPr>
                  <w:tcW w:w="563" w:type="pct"/>
                  <w:tcBorders>
                    <w:tl2br w:val="nil"/>
                    <w:tr2bl w:val="nil"/>
                  </w:tcBorders>
                  <w:vAlign w:val="center"/>
                </w:tcPr>
                <w:p w14:paraId="2F74E9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实验研发</w:t>
                  </w:r>
                </w:p>
              </w:tc>
              <w:tc>
                <w:tcPr>
                  <w:tcW w:w="289" w:type="pct"/>
                  <w:tcBorders>
                    <w:tl2br w:val="nil"/>
                    <w:tr2bl w:val="nil"/>
                  </w:tcBorders>
                  <w:vAlign w:val="center"/>
                </w:tcPr>
                <w:p w14:paraId="7E0F69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液态</w:t>
                  </w:r>
                </w:p>
              </w:tc>
              <w:tc>
                <w:tcPr>
                  <w:tcW w:w="623" w:type="pct"/>
                  <w:tcBorders>
                    <w:tl2br w:val="nil"/>
                    <w:tr2bl w:val="nil"/>
                  </w:tcBorders>
                  <w:vAlign w:val="center"/>
                </w:tcPr>
                <w:p w14:paraId="22A01A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化学试剂</w:t>
                  </w:r>
                </w:p>
              </w:tc>
              <w:tc>
                <w:tcPr>
                  <w:tcW w:w="332" w:type="pct"/>
                  <w:tcBorders>
                    <w:tl2br w:val="nil"/>
                    <w:tr2bl w:val="nil"/>
                  </w:tcBorders>
                  <w:vAlign w:val="center"/>
                </w:tcPr>
                <w:p w14:paraId="0708B9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T/C/I/R</w:t>
                  </w:r>
                </w:p>
              </w:tc>
              <w:tc>
                <w:tcPr>
                  <w:tcW w:w="668" w:type="pct"/>
                  <w:vMerge w:val="restart"/>
                  <w:tcBorders>
                    <w:tl2br w:val="nil"/>
                    <w:tr2bl w:val="nil"/>
                  </w:tcBorders>
                  <w:vAlign w:val="center"/>
                </w:tcPr>
                <w:p w14:paraId="40D85E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暂存危</w:t>
                  </w:r>
                </w:p>
                <w:p w14:paraId="2E525A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废库内，定期交由陕西水发环境有限公司处置</w:t>
                  </w:r>
                </w:p>
              </w:tc>
            </w:tr>
            <w:tr w14:paraId="3F088F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303" w:type="pct"/>
                  <w:tcBorders>
                    <w:tl2br w:val="nil"/>
                    <w:tr2bl w:val="nil"/>
                  </w:tcBorders>
                  <w:shd w:val="clear" w:color="auto" w:fill="auto"/>
                  <w:vAlign w:val="center"/>
                </w:tcPr>
                <w:p w14:paraId="3791AD0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w:t>
                  </w:r>
                </w:p>
              </w:tc>
              <w:tc>
                <w:tcPr>
                  <w:tcW w:w="748" w:type="pct"/>
                  <w:tcBorders>
                    <w:tl2br w:val="nil"/>
                    <w:tr2bl w:val="nil"/>
                  </w:tcBorders>
                  <w:vAlign w:val="center"/>
                </w:tcPr>
                <w:p w14:paraId="231E51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实验废弃物</w:t>
                  </w:r>
                </w:p>
              </w:tc>
              <w:tc>
                <w:tcPr>
                  <w:tcW w:w="806" w:type="pct"/>
                  <w:tcBorders>
                    <w:tl2br w:val="nil"/>
                    <w:tr2bl w:val="nil"/>
                  </w:tcBorders>
                  <w:vAlign w:val="center"/>
                </w:tcPr>
                <w:p w14:paraId="09AA44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HW49</w:t>
                  </w:r>
                </w:p>
                <w:p w14:paraId="78BA0A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900-047-49</w:t>
                  </w:r>
                </w:p>
              </w:tc>
              <w:tc>
                <w:tcPr>
                  <w:tcW w:w="664" w:type="pct"/>
                  <w:tcBorders>
                    <w:tl2br w:val="nil"/>
                    <w:tr2bl w:val="nil"/>
                  </w:tcBorders>
                  <w:shd w:val="clear" w:color="auto" w:fill="auto"/>
                  <w:vAlign w:val="center"/>
                </w:tcPr>
                <w:p w14:paraId="56BA4E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1.02t/a</w:t>
                  </w:r>
                </w:p>
              </w:tc>
              <w:tc>
                <w:tcPr>
                  <w:tcW w:w="563" w:type="pct"/>
                  <w:tcBorders>
                    <w:tl2br w:val="nil"/>
                    <w:tr2bl w:val="nil"/>
                  </w:tcBorders>
                  <w:vAlign w:val="center"/>
                </w:tcPr>
                <w:p w14:paraId="3FEE09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实验研发</w:t>
                  </w:r>
                </w:p>
              </w:tc>
              <w:tc>
                <w:tcPr>
                  <w:tcW w:w="289" w:type="pct"/>
                  <w:tcBorders>
                    <w:tl2br w:val="nil"/>
                    <w:tr2bl w:val="nil"/>
                  </w:tcBorders>
                  <w:vAlign w:val="center"/>
                </w:tcPr>
                <w:p w14:paraId="15C501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固体/液体</w:t>
                  </w:r>
                </w:p>
              </w:tc>
              <w:tc>
                <w:tcPr>
                  <w:tcW w:w="623" w:type="pct"/>
                  <w:tcBorders>
                    <w:tl2br w:val="nil"/>
                    <w:tr2bl w:val="nil"/>
                  </w:tcBorders>
                  <w:vAlign w:val="center"/>
                </w:tcPr>
                <w:p w14:paraId="393A62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化学试剂</w:t>
                  </w:r>
                </w:p>
              </w:tc>
              <w:tc>
                <w:tcPr>
                  <w:tcW w:w="332" w:type="pct"/>
                  <w:tcBorders>
                    <w:tl2br w:val="nil"/>
                    <w:tr2bl w:val="nil"/>
                  </w:tcBorders>
                  <w:vAlign w:val="center"/>
                </w:tcPr>
                <w:p w14:paraId="3B7E11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T/C/I/R</w:t>
                  </w:r>
                </w:p>
              </w:tc>
              <w:tc>
                <w:tcPr>
                  <w:tcW w:w="668" w:type="pct"/>
                  <w:vMerge w:val="continue"/>
                  <w:tcBorders>
                    <w:tl2br w:val="nil"/>
                    <w:tr2bl w:val="nil"/>
                  </w:tcBorders>
                  <w:vAlign w:val="center"/>
                </w:tcPr>
                <w:p w14:paraId="7C0C6D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r>
            <w:tr w14:paraId="06D979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40" w:hRule="atLeast"/>
                <w:jc w:val="center"/>
              </w:trPr>
              <w:tc>
                <w:tcPr>
                  <w:tcW w:w="303" w:type="pct"/>
                  <w:tcBorders>
                    <w:tl2br w:val="nil"/>
                    <w:tr2bl w:val="nil"/>
                  </w:tcBorders>
                  <w:shd w:val="clear" w:color="auto" w:fill="auto"/>
                  <w:vAlign w:val="center"/>
                </w:tcPr>
                <w:p w14:paraId="60CE90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3</w:t>
                  </w:r>
                </w:p>
              </w:tc>
              <w:tc>
                <w:tcPr>
                  <w:tcW w:w="748" w:type="pct"/>
                  <w:tcBorders>
                    <w:tl2br w:val="nil"/>
                    <w:tr2bl w:val="nil"/>
                  </w:tcBorders>
                  <w:vAlign w:val="center"/>
                </w:tcPr>
                <w:p w14:paraId="10F491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沾染化学试剂的一次性实验用品</w:t>
                  </w:r>
                </w:p>
              </w:tc>
              <w:tc>
                <w:tcPr>
                  <w:tcW w:w="806" w:type="pct"/>
                  <w:tcBorders>
                    <w:tl2br w:val="nil"/>
                    <w:tr2bl w:val="nil"/>
                  </w:tcBorders>
                  <w:vAlign w:val="center"/>
                </w:tcPr>
                <w:p w14:paraId="66AF56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022D15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900-047-49</w:t>
                  </w:r>
                </w:p>
              </w:tc>
              <w:tc>
                <w:tcPr>
                  <w:tcW w:w="664" w:type="pct"/>
                  <w:tcBorders>
                    <w:tl2br w:val="nil"/>
                    <w:tr2bl w:val="nil"/>
                  </w:tcBorders>
                  <w:vAlign w:val="center"/>
                </w:tcPr>
                <w:p w14:paraId="1C688B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1.5 t/a</w:t>
                  </w:r>
                </w:p>
              </w:tc>
              <w:tc>
                <w:tcPr>
                  <w:tcW w:w="563" w:type="pct"/>
                  <w:tcBorders>
                    <w:tl2br w:val="nil"/>
                    <w:tr2bl w:val="nil"/>
                  </w:tcBorders>
                  <w:vAlign w:val="center"/>
                </w:tcPr>
                <w:p w14:paraId="21F174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实验研发</w:t>
                  </w:r>
                </w:p>
              </w:tc>
              <w:tc>
                <w:tcPr>
                  <w:tcW w:w="289" w:type="pct"/>
                  <w:tcBorders>
                    <w:tl2br w:val="nil"/>
                    <w:tr2bl w:val="nil"/>
                  </w:tcBorders>
                  <w:vAlign w:val="center"/>
                </w:tcPr>
                <w:p w14:paraId="2AE29C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固态</w:t>
                  </w:r>
                </w:p>
              </w:tc>
              <w:tc>
                <w:tcPr>
                  <w:tcW w:w="623" w:type="pct"/>
                  <w:tcBorders>
                    <w:tl2br w:val="nil"/>
                    <w:tr2bl w:val="nil"/>
                  </w:tcBorders>
                  <w:vAlign w:val="center"/>
                </w:tcPr>
                <w:p w14:paraId="4E7E71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rPr>
                  </w:pPr>
                  <w:r>
                    <w:rPr>
                      <w:rFonts w:hint="eastAsia"/>
                      <w:color w:val="auto"/>
                      <w:sz w:val="21"/>
                      <w:szCs w:val="21"/>
                      <w:highlight w:val="none"/>
                      <w:lang w:val="en-US" w:eastAsia="zh-CN"/>
                    </w:rPr>
                    <w:t>化学试剂</w:t>
                  </w:r>
                </w:p>
              </w:tc>
              <w:tc>
                <w:tcPr>
                  <w:tcW w:w="332" w:type="pct"/>
                  <w:tcBorders>
                    <w:tl2br w:val="nil"/>
                    <w:tr2bl w:val="nil"/>
                  </w:tcBorders>
                  <w:vAlign w:val="center"/>
                </w:tcPr>
                <w:p w14:paraId="33B4EC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T/C/I/R</w:t>
                  </w:r>
                </w:p>
              </w:tc>
              <w:tc>
                <w:tcPr>
                  <w:tcW w:w="668" w:type="pct"/>
                  <w:vMerge w:val="continue"/>
                  <w:tcBorders>
                    <w:tl2br w:val="nil"/>
                    <w:tr2bl w:val="nil"/>
                  </w:tcBorders>
                  <w:vAlign w:val="center"/>
                </w:tcPr>
                <w:p w14:paraId="2C7767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51EEE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03" w:type="pct"/>
                  <w:tcBorders>
                    <w:tl2br w:val="nil"/>
                    <w:tr2bl w:val="nil"/>
                  </w:tcBorders>
                  <w:vAlign w:val="center"/>
                </w:tcPr>
                <w:p w14:paraId="00BE6C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w:t>
                  </w:r>
                </w:p>
              </w:tc>
              <w:tc>
                <w:tcPr>
                  <w:tcW w:w="748" w:type="pct"/>
                  <w:tcBorders>
                    <w:tl2br w:val="nil"/>
                    <w:tr2bl w:val="nil"/>
                  </w:tcBorders>
                  <w:vAlign w:val="center"/>
                </w:tcPr>
                <w:p w14:paraId="5E20D6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废活性炭</w:t>
                  </w:r>
                </w:p>
              </w:tc>
              <w:tc>
                <w:tcPr>
                  <w:tcW w:w="806" w:type="pct"/>
                  <w:tcBorders>
                    <w:tl2br w:val="nil"/>
                    <w:tr2bl w:val="nil"/>
                  </w:tcBorders>
                  <w:vAlign w:val="center"/>
                </w:tcPr>
                <w:p w14:paraId="2E5F4A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126311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900-0</w:t>
                  </w:r>
                  <w:r>
                    <w:rPr>
                      <w:rFonts w:hint="eastAsia"/>
                      <w:color w:val="auto"/>
                      <w:sz w:val="21"/>
                      <w:szCs w:val="21"/>
                      <w:highlight w:val="none"/>
                      <w:lang w:val="en-US" w:eastAsia="zh-CN"/>
                    </w:rPr>
                    <w:t>39</w:t>
                  </w:r>
                  <w:r>
                    <w:rPr>
                      <w:rFonts w:hint="default"/>
                      <w:color w:val="auto"/>
                      <w:sz w:val="21"/>
                      <w:szCs w:val="21"/>
                      <w:highlight w:val="none"/>
                      <w:lang w:val="en-US" w:eastAsia="zh-CN"/>
                    </w:rPr>
                    <w:t>-49</w:t>
                  </w:r>
                </w:p>
              </w:tc>
              <w:tc>
                <w:tcPr>
                  <w:tcW w:w="664" w:type="pct"/>
                  <w:tcBorders>
                    <w:tl2br w:val="nil"/>
                    <w:tr2bl w:val="nil"/>
                  </w:tcBorders>
                  <w:vAlign w:val="center"/>
                </w:tcPr>
                <w:p w14:paraId="2644E0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0.61t/a</w:t>
                  </w:r>
                </w:p>
              </w:tc>
              <w:tc>
                <w:tcPr>
                  <w:tcW w:w="563" w:type="pct"/>
                  <w:tcBorders>
                    <w:tl2br w:val="nil"/>
                    <w:tr2bl w:val="nil"/>
                  </w:tcBorders>
                  <w:vAlign w:val="center"/>
                </w:tcPr>
                <w:p w14:paraId="6608F9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有机废气治理</w:t>
                  </w:r>
                </w:p>
              </w:tc>
              <w:tc>
                <w:tcPr>
                  <w:tcW w:w="289" w:type="pct"/>
                  <w:tcBorders>
                    <w:tl2br w:val="nil"/>
                    <w:tr2bl w:val="nil"/>
                  </w:tcBorders>
                  <w:vAlign w:val="center"/>
                </w:tcPr>
                <w:p w14:paraId="32793A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固态</w:t>
                  </w:r>
                </w:p>
              </w:tc>
              <w:tc>
                <w:tcPr>
                  <w:tcW w:w="623" w:type="pct"/>
                  <w:tcBorders>
                    <w:tl2br w:val="nil"/>
                    <w:tr2bl w:val="nil"/>
                  </w:tcBorders>
                  <w:vAlign w:val="center"/>
                </w:tcPr>
                <w:p w14:paraId="18F9B8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废活性炭</w:t>
                  </w:r>
                </w:p>
              </w:tc>
              <w:tc>
                <w:tcPr>
                  <w:tcW w:w="332" w:type="pct"/>
                  <w:tcBorders>
                    <w:tl2br w:val="nil"/>
                    <w:tr2bl w:val="nil"/>
                  </w:tcBorders>
                  <w:vAlign w:val="center"/>
                </w:tcPr>
                <w:p w14:paraId="1F3558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T/In</w:t>
                  </w:r>
                </w:p>
              </w:tc>
              <w:tc>
                <w:tcPr>
                  <w:tcW w:w="668" w:type="pct"/>
                  <w:vMerge w:val="continue"/>
                  <w:tcBorders>
                    <w:tl2br w:val="nil"/>
                    <w:tr2bl w:val="nil"/>
                  </w:tcBorders>
                  <w:vAlign w:val="center"/>
                </w:tcPr>
                <w:p w14:paraId="0A68F4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5B6748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0" w:hRule="atLeast"/>
                <w:jc w:val="center"/>
              </w:trPr>
              <w:tc>
                <w:tcPr>
                  <w:tcW w:w="303" w:type="pct"/>
                  <w:tcBorders>
                    <w:tl2br w:val="nil"/>
                    <w:tr2bl w:val="nil"/>
                  </w:tcBorders>
                  <w:vAlign w:val="center"/>
                </w:tcPr>
                <w:p w14:paraId="3818D32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5</w:t>
                  </w:r>
                </w:p>
              </w:tc>
              <w:tc>
                <w:tcPr>
                  <w:tcW w:w="748" w:type="pct"/>
                  <w:tcBorders>
                    <w:tl2br w:val="nil"/>
                    <w:tr2bl w:val="nil"/>
                  </w:tcBorders>
                  <w:vAlign w:val="center"/>
                </w:tcPr>
                <w:p w14:paraId="6791BC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废SDG</w:t>
                  </w:r>
                </w:p>
              </w:tc>
              <w:tc>
                <w:tcPr>
                  <w:tcW w:w="806" w:type="pct"/>
                  <w:tcBorders>
                    <w:tl2br w:val="nil"/>
                    <w:tr2bl w:val="nil"/>
                  </w:tcBorders>
                  <w:vAlign w:val="center"/>
                </w:tcPr>
                <w:p w14:paraId="52A5D9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3E0B72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900-0</w:t>
                  </w:r>
                  <w:r>
                    <w:rPr>
                      <w:rFonts w:hint="eastAsia"/>
                      <w:color w:val="auto"/>
                      <w:sz w:val="21"/>
                      <w:szCs w:val="21"/>
                      <w:highlight w:val="none"/>
                      <w:lang w:val="en-US" w:eastAsia="zh-CN"/>
                    </w:rPr>
                    <w:t>39</w:t>
                  </w:r>
                  <w:r>
                    <w:rPr>
                      <w:rFonts w:hint="default"/>
                      <w:color w:val="auto"/>
                      <w:sz w:val="21"/>
                      <w:szCs w:val="21"/>
                      <w:highlight w:val="none"/>
                      <w:lang w:val="en-US" w:eastAsia="zh-CN"/>
                    </w:rPr>
                    <w:t>-49</w:t>
                  </w:r>
                </w:p>
              </w:tc>
              <w:tc>
                <w:tcPr>
                  <w:tcW w:w="664" w:type="pct"/>
                  <w:tcBorders>
                    <w:tl2br w:val="nil"/>
                    <w:tr2bl w:val="nil"/>
                  </w:tcBorders>
                  <w:vAlign w:val="center"/>
                </w:tcPr>
                <w:p w14:paraId="10F5110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0.72t/a</w:t>
                  </w:r>
                </w:p>
              </w:tc>
              <w:tc>
                <w:tcPr>
                  <w:tcW w:w="563" w:type="pct"/>
                  <w:tcBorders>
                    <w:tl2br w:val="nil"/>
                    <w:tr2bl w:val="nil"/>
                  </w:tcBorders>
                  <w:vAlign w:val="center"/>
                </w:tcPr>
                <w:p w14:paraId="1014D37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无机废气治理</w:t>
                  </w:r>
                </w:p>
              </w:tc>
              <w:tc>
                <w:tcPr>
                  <w:tcW w:w="289" w:type="pct"/>
                  <w:tcBorders>
                    <w:tl2br w:val="nil"/>
                    <w:tr2bl w:val="nil"/>
                  </w:tcBorders>
                  <w:vAlign w:val="center"/>
                </w:tcPr>
                <w:p w14:paraId="74CBC9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固体</w:t>
                  </w:r>
                </w:p>
              </w:tc>
              <w:tc>
                <w:tcPr>
                  <w:tcW w:w="623" w:type="pct"/>
                  <w:tcBorders>
                    <w:tl2br w:val="nil"/>
                    <w:tr2bl w:val="nil"/>
                  </w:tcBorders>
                  <w:vAlign w:val="center"/>
                </w:tcPr>
                <w:p w14:paraId="587290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废SDG</w:t>
                  </w:r>
                </w:p>
              </w:tc>
              <w:tc>
                <w:tcPr>
                  <w:tcW w:w="332" w:type="pct"/>
                  <w:tcBorders>
                    <w:tl2br w:val="nil"/>
                    <w:tr2bl w:val="nil"/>
                  </w:tcBorders>
                  <w:vAlign w:val="center"/>
                </w:tcPr>
                <w:p w14:paraId="3B978F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T/In</w:t>
                  </w:r>
                </w:p>
              </w:tc>
              <w:tc>
                <w:tcPr>
                  <w:tcW w:w="668" w:type="pct"/>
                  <w:vMerge w:val="continue"/>
                  <w:tcBorders>
                    <w:tl2br w:val="nil"/>
                    <w:tr2bl w:val="nil"/>
                  </w:tcBorders>
                  <w:vAlign w:val="center"/>
                </w:tcPr>
                <w:p w14:paraId="478C8F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0FE781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03" w:type="pct"/>
                  <w:tcBorders>
                    <w:tl2br w:val="nil"/>
                    <w:tr2bl w:val="nil"/>
                  </w:tcBorders>
                  <w:shd w:val="clear" w:color="auto" w:fill="auto"/>
                  <w:vAlign w:val="center"/>
                </w:tcPr>
                <w:p w14:paraId="2A3AEE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6</w:t>
                  </w:r>
                </w:p>
              </w:tc>
              <w:tc>
                <w:tcPr>
                  <w:tcW w:w="748" w:type="pct"/>
                  <w:tcBorders>
                    <w:tl2br w:val="nil"/>
                    <w:tr2bl w:val="nil"/>
                  </w:tcBorders>
                  <w:shd w:val="clear" w:color="auto" w:fill="auto"/>
                  <w:vAlign w:val="center"/>
                </w:tcPr>
                <w:p w14:paraId="23BFFC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废化学试剂</w:t>
                  </w:r>
                </w:p>
              </w:tc>
              <w:tc>
                <w:tcPr>
                  <w:tcW w:w="806" w:type="pct"/>
                  <w:tcBorders>
                    <w:tl2br w:val="nil"/>
                    <w:tr2bl w:val="nil"/>
                  </w:tcBorders>
                  <w:shd w:val="clear" w:color="auto" w:fill="auto"/>
                  <w:vAlign w:val="center"/>
                </w:tcPr>
                <w:p w14:paraId="2725B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kern w:val="0"/>
                      <w:sz w:val="24"/>
                      <w:highlight w:val="none"/>
                      <w:u w:val="none"/>
                      <w:lang w:bidi="ar"/>
                    </w:rPr>
                    <w:t xml:space="preserve"> </w:t>
                  </w:r>
                  <w:r>
                    <w:rPr>
                      <w:rFonts w:hint="default" w:ascii="Times New Roman" w:hAnsi="Times New Roman" w:cs="Times New Roman"/>
                      <w:color w:val="auto"/>
                      <w:kern w:val="2"/>
                      <w:sz w:val="21"/>
                      <w:szCs w:val="21"/>
                      <w:highlight w:val="none"/>
                      <w:u w:val="none"/>
                      <w:lang w:bidi="ar"/>
                    </w:rPr>
                    <w:t>HW03 900-002-03</w:t>
                  </w:r>
                </w:p>
              </w:tc>
              <w:tc>
                <w:tcPr>
                  <w:tcW w:w="664" w:type="pct"/>
                  <w:tcBorders>
                    <w:tl2br w:val="nil"/>
                    <w:tr2bl w:val="nil"/>
                  </w:tcBorders>
                  <w:shd w:val="clear" w:color="auto" w:fill="auto"/>
                  <w:vAlign w:val="center"/>
                </w:tcPr>
                <w:p w14:paraId="237611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0.01t/a</w:t>
                  </w:r>
                </w:p>
              </w:tc>
              <w:tc>
                <w:tcPr>
                  <w:tcW w:w="563" w:type="pct"/>
                  <w:tcBorders>
                    <w:tl2br w:val="nil"/>
                    <w:tr2bl w:val="nil"/>
                  </w:tcBorders>
                  <w:shd w:val="clear" w:color="auto" w:fill="auto"/>
                  <w:vAlign w:val="center"/>
                </w:tcPr>
                <w:p w14:paraId="22E3D1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实验研发</w:t>
                  </w:r>
                </w:p>
              </w:tc>
              <w:tc>
                <w:tcPr>
                  <w:tcW w:w="289" w:type="pct"/>
                  <w:tcBorders>
                    <w:tl2br w:val="nil"/>
                    <w:tr2bl w:val="nil"/>
                  </w:tcBorders>
                  <w:shd w:val="clear" w:color="auto" w:fill="auto"/>
                  <w:vAlign w:val="center"/>
                </w:tcPr>
                <w:p w14:paraId="6BE161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固体</w:t>
                  </w:r>
                </w:p>
              </w:tc>
              <w:tc>
                <w:tcPr>
                  <w:tcW w:w="623" w:type="pct"/>
                  <w:tcBorders>
                    <w:tl2br w:val="nil"/>
                    <w:tr2bl w:val="nil"/>
                  </w:tcBorders>
                  <w:shd w:val="clear" w:color="auto" w:fill="auto"/>
                  <w:vAlign w:val="center"/>
                </w:tcPr>
                <w:p w14:paraId="5B348E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化学试剂</w:t>
                  </w:r>
                </w:p>
              </w:tc>
              <w:tc>
                <w:tcPr>
                  <w:tcW w:w="332" w:type="pct"/>
                  <w:tcBorders>
                    <w:tl2br w:val="nil"/>
                    <w:tr2bl w:val="nil"/>
                  </w:tcBorders>
                  <w:shd w:val="clear" w:color="auto" w:fill="auto"/>
                  <w:vAlign w:val="center"/>
                </w:tcPr>
                <w:p w14:paraId="371C31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T/C/I/R</w:t>
                  </w:r>
                </w:p>
              </w:tc>
              <w:tc>
                <w:tcPr>
                  <w:tcW w:w="668" w:type="pct"/>
                  <w:vMerge w:val="restart"/>
                  <w:tcBorders>
                    <w:tl2br w:val="nil"/>
                    <w:tr2bl w:val="nil"/>
                  </w:tcBorders>
                  <w:vAlign w:val="center"/>
                </w:tcPr>
                <w:p w14:paraId="100712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暂存危废贮存库，定期委托有资质单位处置</w:t>
                  </w:r>
                </w:p>
              </w:tc>
            </w:tr>
            <w:tr w14:paraId="0DF61F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03" w:type="pct"/>
                  <w:tcBorders>
                    <w:tl2br w:val="nil"/>
                    <w:tr2bl w:val="nil"/>
                  </w:tcBorders>
                  <w:shd w:val="clear" w:color="auto" w:fill="auto"/>
                  <w:vAlign w:val="center"/>
                </w:tcPr>
                <w:p w14:paraId="1BA460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w:t>
                  </w:r>
                </w:p>
              </w:tc>
              <w:tc>
                <w:tcPr>
                  <w:tcW w:w="748" w:type="pct"/>
                  <w:tcBorders>
                    <w:tl2br w:val="nil"/>
                    <w:tr2bl w:val="nil"/>
                  </w:tcBorders>
                  <w:shd w:val="clear" w:color="auto" w:fill="auto"/>
                  <w:vAlign w:val="center"/>
                </w:tcPr>
                <w:p w14:paraId="25D9C55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废水处理污泥</w:t>
                  </w:r>
                </w:p>
              </w:tc>
              <w:tc>
                <w:tcPr>
                  <w:tcW w:w="806" w:type="pct"/>
                  <w:tcBorders>
                    <w:tl2br w:val="nil"/>
                    <w:tr2bl w:val="nil"/>
                  </w:tcBorders>
                  <w:shd w:val="clear" w:color="auto" w:fill="auto"/>
                  <w:vAlign w:val="center"/>
                </w:tcPr>
                <w:p w14:paraId="22C14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32EB1B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772</w:t>
                  </w:r>
                  <w:r>
                    <w:rPr>
                      <w:rFonts w:hint="default"/>
                      <w:color w:val="auto"/>
                      <w:sz w:val="21"/>
                      <w:szCs w:val="21"/>
                      <w:highlight w:val="none"/>
                      <w:lang w:val="en-US" w:eastAsia="zh-CN"/>
                    </w:rPr>
                    <w:t>-</w:t>
                  </w:r>
                  <w:r>
                    <w:rPr>
                      <w:rFonts w:hint="eastAsia"/>
                      <w:color w:val="auto"/>
                      <w:sz w:val="21"/>
                      <w:szCs w:val="21"/>
                      <w:highlight w:val="none"/>
                      <w:lang w:val="en-US" w:eastAsia="zh-CN"/>
                    </w:rPr>
                    <w:t>006</w:t>
                  </w:r>
                  <w:r>
                    <w:rPr>
                      <w:rFonts w:hint="default"/>
                      <w:color w:val="auto"/>
                      <w:sz w:val="21"/>
                      <w:szCs w:val="21"/>
                      <w:highlight w:val="none"/>
                      <w:lang w:val="en-US" w:eastAsia="zh-CN"/>
                    </w:rPr>
                    <w:t>-</w:t>
                  </w:r>
                  <w:r>
                    <w:rPr>
                      <w:rFonts w:hint="eastAsia"/>
                      <w:color w:val="auto"/>
                      <w:sz w:val="21"/>
                      <w:szCs w:val="21"/>
                      <w:highlight w:val="none"/>
                      <w:lang w:val="en-US" w:eastAsia="zh-CN"/>
                    </w:rPr>
                    <w:t>49</w:t>
                  </w:r>
                </w:p>
              </w:tc>
              <w:tc>
                <w:tcPr>
                  <w:tcW w:w="664" w:type="pct"/>
                  <w:tcBorders>
                    <w:tl2br w:val="nil"/>
                    <w:tr2bl w:val="nil"/>
                  </w:tcBorders>
                  <w:shd w:val="clear" w:color="auto" w:fill="auto"/>
                  <w:vAlign w:val="center"/>
                </w:tcPr>
                <w:p w14:paraId="4CB7BE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1.21kg/a</w:t>
                  </w:r>
                </w:p>
              </w:tc>
              <w:tc>
                <w:tcPr>
                  <w:tcW w:w="563" w:type="pct"/>
                  <w:tcBorders>
                    <w:tl2br w:val="nil"/>
                    <w:tr2bl w:val="nil"/>
                  </w:tcBorders>
                  <w:shd w:val="clear" w:color="auto" w:fill="auto"/>
                  <w:vAlign w:val="center"/>
                </w:tcPr>
                <w:p w14:paraId="17B04CC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污水处理</w:t>
                  </w:r>
                </w:p>
              </w:tc>
              <w:tc>
                <w:tcPr>
                  <w:tcW w:w="289" w:type="pct"/>
                  <w:tcBorders>
                    <w:tl2br w:val="nil"/>
                    <w:tr2bl w:val="nil"/>
                  </w:tcBorders>
                  <w:shd w:val="clear" w:color="auto" w:fill="auto"/>
                  <w:vAlign w:val="center"/>
                </w:tcPr>
                <w:p w14:paraId="3C6381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固态</w:t>
                  </w:r>
                </w:p>
              </w:tc>
              <w:tc>
                <w:tcPr>
                  <w:tcW w:w="623" w:type="pct"/>
                  <w:tcBorders>
                    <w:tl2br w:val="nil"/>
                    <w:tr2bl w:val="nil"/>
                  </w:tcBorders>
                  <w:shd w:val="clear" w:color="auto" w:fill="auto"/>
                  <w:vAlign w:val="center"/>
                </w:tcPr>
                <w:p w14:paraId="51E9A9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化学试剂</w:t>
                  </w:r>
                </w:p>
              </w:tc>
              <w:tc>
                <w:tcPr>
                  <w:tcW w:w="332" w:type="pct"/>
                  <w:tcBorders>
                    <w:tl2br w:val="nil"/>
                    <w:tr2bl w:val="nil"/>
                  </w:tcBorders>
                  <w:shd w:val="clear" w:color="auto" w:fill="auto"/>
                  <w:vAlign w:val="center"/>
                </w:tcPr>
                <w:p w14:paraId="54A87E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T/C/I/R</w:t>
                  </w:r>
                </w:p>
              </w:tc>
              <w:tc>
                <w:tcPr>
                  <w:tcW w:w="668" w:type="pct"/>
                  <w:vMerge w:val="continue"/>
                  <w:tcBorders>
                    <w:tl2br w:val="nil"/>
                    <w:tr2bl w:val="nil"/>
                  </w:tcBorders>
                  <w:vAlign w:val="center"/>
                </w:tcPr>
                <w:p w14:paraId="02DEB8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bl>
          <w:p w14:paraId="1EEA8D70">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19" w:leftChars="9" w:firstLine="340" w:firstLineChars="141"/>
              <w:jc w:val="center"/>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表4-17  危险废物贮存间基本情况样表</w:t>
            </w:r>
          </w:p>
          <w:tbl>
            <w:tblPr>
              <w:tblStyle w:val="31"/>
              <w:tblW w:w="75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75"/>
              <w:gridCol w:w="1054"/>
              <w:gridCol w:w="1125"/>
              <w:gridCol w:w="900"/>
              <w:gridCol w:w="587"/>
              <w:gridCol w:w="638"/>
              <w:gridCol w:w="694"/>
              <w:gridCol w:w="718"/>
            </w:tblGrid>
            <w:tr w14:paraId="591AC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vAlign w:val="center"/>
                </w:tcPr>
                <w:p w14:paraId="06CE18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序号</w:t>
                  </w:r>
                </w:p>
              </w:tc>
              <w:tc>
                <w:tcPr>
                  <w:tcW w:w="1275" w:type="dxa"/>
                  <w:tcBorders>
                    <w:tl2br w:val="nil"/>
                    <w:tr2bl w:val="nil"/>
                  </w:tcBorders>
                  <w:vAlign w:val="center"/>
                </w:tcPr>
                <w:p w14:paraId="2ACB47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贮存场所（设施）名称</w:t>
                  </w:r>
                </w:p>
              </w:tc>
              <w:tc>
                <w:tcPr>
                  <w:tcW w:w="1054" w:type="dxa"/>
                  <w:tcBorders>
                    <w:tl2br w:val="nil"/>
                    <w:tr2bl w:val="nil"/>
                  </w:tcBorders>
                  <w:vAlign w:val="center"/>
                </w:tcPr>
                <w:p w14:paraId="78DEE0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危险废物名称</w:t>
                  </w:r>
                </w:p>
              </w:tc>
              <w:tc>
                <w:tcPr>
                  <w:tcW w:w="1125" w:type="dxa"/>
                  <w:tcBorders>
                    <w:tl2br w:val="nil"/>
                    <w:tr2bl w:val="nil"/>
                  </w:tcBorders>
                  <w:vAlign w:val="center"/>
                </w:tcPr>
                <w:p w14:paraId="5F4441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危险废物类别、代码</w:t>
                  </w:r>
                </w:p>
              </w:tc>
              <w:tc>
                <w:tcPr>
                  <w:tcW w:w="900" w:type="dxa"/>
                  <w:tcBorders>
                    <w:tl2br w:val="nil"/>
                    <w:tr2bl w:val="nil"/>
                  </w:tcBorders>
                  <w:vAlign w:val="center"/>
                </w:tcPr>
                <w:p w14:paraId="03B02B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位置</w:t>
                  </w:r>
                </w:p>
              </w:tc>
              <w:tc>
                <w:tcPr>
                  <w:tcW w:w="587" w:type="dxa"/>
                  <w:tcBorders>
                    <w:tl2br w:val="nil"/>
                    <w:tr2bl w:val="nil"/>
                  </w:tcBorders>
                  <w:vAlign w:val="center"/>
                </w:tcPr>
                <w:p w14:paraId="521664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color w:val="auto"/>
                      <w:sz w:val="21"/>
                      <w:szCs w:val="21"/>
                      <w:highlight w:val="none"/>
                      <w:lang w:val="en-US" w:eastAsia="zh-CN"/>
                    </w:rPr>
                  </w:pPr>
                  <w:r>
                    <w:rPr>
                      <w:rFonts w:hint="eastAsia"/>
                      <w:b/>
                      <w:bCs/>
                      <w:color w:val="auto"/>
                      <w:sz w:val="21"/>
                      <w:szCs w:val="21"/>
                      <w:highlight w:val="none"/>
                      <w:lang w:val="en-US" w:eastAsia="zh-CN"/>
                    </w:rPr>
                    <w:t>占地</w:t>
                  </w:r>
                </w:p>
                <w:p w14:paraId="7BD707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面积</w:t>
                  </w:r>
                </w:p>
              </w:tc>
              <w:tc>
                <w:tcPr>
                  <w:tcW w:w="638" w:type="dxa"/>
                  <w:tcBorders>
                    <w:tl2br w:val="nil"/>
                    <w:tr2bl w:val="nil"/>
                  </w:tcBorders>
                  <w:vAlign w:val="center"/>
                </w:tcPr>
                <w:p w14:paraId="0A152D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贮存方式</w:t>
                  </w:r>
                </w:p>
              </w:tc>
              <w:tc>
                <w:tcPr>
                  <w:tcW w:w="694" w:type="dxa"/>
                  <w:tcBorders>
                    <w:tl2br w:val="nil"/>
                    <w:tr2bl w:val="nil"/>
                  </w:tcBorders>
                  <w:vAlign w:val="center"/>
                </w:tcPr>
                <w:p w14:paraId="43B617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贮存能力</w:t>
                  </w:r>
                </w:p>
              </w:tc>
              <w:tc>
                <w:tcPr>
                  <w:tcW w:w="718" w:type="dxa"/>
                  <w:tcBorders>
                    <w:tl2br w:val="nil"/>
                    <w:tr2bl w:val="nil"/>
                  </w:tcBorders>
                  <w:vAlign w:val="center"/>
                </w:tcPr>
                <w:p w14:paraId="247346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转运周期</w:t>
                  </w:r>
                </w:p>
              </w:tc>
            </w:tr>
            <w:tr w14:paraId="68E826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vAlign w:val="center"/>
                </w:tcPr>
                <w:p w14:paraId="02468A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1275" w:type="dxa"/>
                  <w:vMerge w:val="restart"/>
                  <w:tcBorders>
                    <w:tl2br w:val="nil"/>
                    <w:tr2bl w:val="nil"/>
                  </w:tcBorders>
                  <w:vAlign w:val="center"/>
                </w:tcPr>
                <w:p w14:paraId="4D2B92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危废贮存库</w:t>
                  </w:r>
                </w:p>
              </w:tc>
              <w:tc>
                <w:tcPr>
                  <w:tcW w:w="1054" w:type="dxa"/>
                  <w:tcBorders>
                    <w:tl2br w:val="nil"/>
                    <w:tr2bl w:val="nil"/>
                  </w:tcBorders>
                  <w:vAlign w:val="center"/>
                </w:tcPr>
                <w:p w14:paraId="1CC7C2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实验室废液</w:t>
                  </w:r>
                </w:p>
              </w:tc>
              <w:tc>
                <w:tcPr>
                  <w:tcW w:w="1125" w:type="dxa"/>
                  <w:tcBorders>
                    <w:tl2br w:val="nil"/>
                    <w:tr2bl w:val="nil"/>
                  </w:tcBorders>
                  <w:vAlign w:val="center"/>
                </w:tcPr>
                <w:p w14:paraId="3CC031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65AD94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900-047-49</w:t>
                  </w:r>
                </w:p>
              </w:tc>
              <w:tc>
                <w:tcPr>
                  <w:tcW w:w="900" w:type="dxa"/>
                  <w:vMerge w:val="restart"/>
                  <w:tcBorders>
                    <w:tl2br w:val="nil"/>
                    <w:tr2bl w:val="nil"/>
                  </w:tcBorders>
                  <w:vAlign w:val="center"/>
                </w:tcPr>
                <w:p w14:paraId="683575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位于10601室西侧</w:t>
                  </w:r>
                </w:p>
              </w:tc>
              <w:tc>
                <w:tcPr>
                  <w:tcW w:w="587" w:type="dxa"/>
                  <w:vMerge w:val="restart"/>
                  <w:tcBorders>
                    <w:tl2br w:val="nil"/>
                    <w:tr2bl w:val="nil"/>
                  </w:tcBorders>
                  <w:vAlign w:val="center"/>
                </w:tcPr>
                <w:p w14:paraId="4A1644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33.12m</w:t>
                  </w:r>
                  <w:r>
                    <w:rPr>
                      <w:rFonts w:hint="eastAsia"/>
                      <w:color w:val="auto"/>
                      <w:sz w:val="21"/>
                      <w:szCs w:val="21"/>
                      <w:highlight w:val="none"/>
                      <w:vertAlign w:val="superscript"/>
                      <w:lang w:val="en-US" w:eastAsia="zh-CN"/>
                    </w:rPr>
                    <w:t>2</w:t>
                  </w:r>
                </w:p>
              </w:tc>
              <w:tc>
                <w:tcPr>
                  <w:tcW w:w="638" w:type="dxa"/>
                  <w:tcBorders>
                    <w:tl2br w:val="nil"/>
                    <w:tr2bl w:val="nil"/>
                  </w:tcBorders>
                  <w:vAlign w:val="center"/>
                </w:tcPr>
                <w:p w14:paraId="2A3E4B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桶装</w:t>
                  </w:r>
                </w:p>
              </w:tc>
              <w:tc>
                <w:tcPr>
                  <w:tcW w:w="694" w:type="dxa"/>
                  <w:vMerge w:val="restart"/>
                  <w:tcBorders>
                    <w:tl2br w:val="nil"/>
                    <w:tr2bl w:val="nil"/>
                  </w:tcBorders>
                  <w:vAlign w:val="center"/>
                </w:tcPr>
                <w:p w14:paraId="6D32E6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20t</w:t>
                  </w:r>
                </w:p>
              </w:tc>
              <w:tc>
                <w:tcPr>
                  <w:tcW w:w="718" w:type="dxa"/>
                  <w:vMerge w:val="restart"/>
                  <w:tcBorders>
                    <w:tl2br w:val="nil"/>
                    <w:tr2bl w:val="nil"/>
                  </w:tcBorders>
                  <w:vAlign w:val="center"/>
                </w:tcPr>
                <w:p w14:paraId="710EE7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至少3次/年</w:t>
                  </w:r>
                </w:p>
              </w:tc>
            </w:tr>
            <w:tr w14:paraId="6CE346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2B103D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w:t>
                  </w:r>
                </w:p>
              </w:tc>
              <w:tc>
                <w:tcPr>
                  <w:tcW w:w="1275" w:type="dxa"/>
                  <w:vMerge w:val="continue"/>
                  <w:tcBorders>
                    <w:tl2br w:val="nil"/>
                    <w:tr2bl w:val="nil"/>
                  </w:tcBorders>
                  <w:vAlign w:val="center"/>
                </w:tcPr>
                <w:p w14:paraId="19B885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c>
                <w:tcPr>
                  <w:tcW w:w="1054" w:type="dxa"/>
                  <w:tcBorders>
                    <w:tl2br w:val="nil"/>
                    <w:tr2bl w:val="nil"/>
                  </w:tcBorders>
                  <w:vAlign w:val="center"/>
                </w:tcPr>
                <w:p w14:paraId="00FEF9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废弃</w:t>
                  </w:r>
                </w:p>
                <w:p w14:paraId="4C327F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实验物</w:t>
                  </w:r>
                </w:p>
              </w:tc>
              <w:tc>
                <w:tcPr>
                  <w:tcW w:w="1125" w:type="dxa"/>
                  <w:tcBorders>
                    <w:tl2br w:val="nil"/>
                    <w:tr2bl w:val="nil"/>
                  </w:tcBorders>
                  <w:vAlign w:val="center"/>
                </w:tcPr>
                <w:p w14:paraId="538087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5A7623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900-047-49</w:t>
                  </w:r>
                </w:p>
              </w:tc>
              <w:tc>
                <w:tcPr>
                  <w:tcW w:w="900" w:type="dxa"/>
                  <w:vMerge w:val="continue"/>
                  <w:tcBorders>
                    <w:tl2br w:val="nil"/>
                    <w:tr2bl w:val="nil"/>
                  </w:tcBorders>
                  <w:vAlign w:val="center"/>
                </w:tcPr>
                <w:p w14:paraId="5B53B8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c>
                <w:tcPr>
                  <w:tcW w:w="587" w:type="dxa"/>
                  <w:vMerge w:val="continue"/>
                  <w:tcBorders>
                    <w:tl2br w:val="nil"/>
                    <w:tr2bl w:val="nil"/>
                  </w:tcBorders>
                  <w:vAlign w:val="center"/>
                </w:tcPr>
                <w:p w14:paraId="0BD032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c>
                <w:tcPr>
                  <w:tcW w:w="638" w:type="dxa"/>
                  <w:tcBorders>
                    <w:tl2br w:val="nil"/>
                    <w:tr2bl w:val="nil"/>
                  </w:tcBorders>
                  <w:vAlign w:val="center"/>
                </w:tcPr>
                <w:p w14:paraId="72859B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桶装</w:t>
                  </w:r>
                </w:p>
              </w:tc>
              <w:tc>
                <w:tcPr>
                  <w:tcW w:w="694" w:type="dxa"/>
                  <w:vMerge w:val="continue"/>
                  <w:tcBorders>
                    <w:tl2br w:val="nil"/>
                    <w:tr2bl w:val="nil"/>
                  </w:tcBorders>
                  <w:vAlign w:val="center"/>
                </w:tcPr>
                <w:p w14:paraId="2E6977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c>
                <w:tcPr>
                  <w:tcW w:w="718" w:type="dxa"/>
                  <w:vMerge w:val="continue"/>
                  <w:tcBorders>
                    <w:tl2br w:val="nil"/>
                    <w:tr2bl w:val="nil"/>
                  </w:tcBorders>
                  <w:vAlign w:val="center"/>
                </w:tcPr>
                <w:p w14:paraId="462FF5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r>
            <w:tr w14:paraId="15B30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6B5D75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3</w:t>
                  </w:r>
                </w:p>
              </w:tc>
              <w:tc>
                <w:tcPr>
                  <w:tcW w:w="1275" w:type="dxa"/>
                  <w:vMerge w:val="continue"/>
                  <w:tcBorders>
                    <w:tl2br w:val="nil"/>
                    <w:tr2bl w:val="nil"/>
                  </w:tcBorders>
                  <w:vAlign w:val="center"/>
                </w:tcPr>
                <w:p w14:paraId="15F47A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1054" w:type="dxa"/>
                  <w:tcBorders>
                    <w:tl2br w:val="nil"/>
                    <w:tr2bl w:val="nil"/>
                  </w:tcBorders>
                  <w:vAlign w:val="center"/>
                </w:tcPr>
                <w:p w14:paraId="18DA47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沾染化学试剂的废一次性实验物品</w:t>
                  </w:r>
                </w:p>
              </w:tc>
              <w:tc>
                <w:tcPr>
                  <w:tcW w:w="1125" w:type="dxa"/>
                  <w:tcBorders>
                    <w:tl2br w:val="nil"/>
                    <w:tr2bl w:val="nil"/>
                  </w:tcBorders>
                  <w:vAlign w:val="center"/>
                </w:tcPr>
                <w:p w14:paraId="122E26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74C6E12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900-047-49</w:t>
                  </w:r>
                </w:p>
              </w:tc>
              <w:tc>
                <w:tcPr>
                  <w:tcW w:w="900" w:type="dxa"/>
                  <w:vMerge w:val="continue"/>
                  <w:tcBorders>
                    <w:tl2br w:val="nil"/>
                    <w:tr2bl w:val="nil"/>
                  </w:tcBorders>
                  <w:vAlign w:val="center"/>
                </w:tcPr>
                <w:p w14:paraId="52C692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587" w:type="dxa"/>
                  <w:vMerge w:val="continue"/>
                  <w:tcBorders>
                    <w:tl2br w:val="nil"/>
                    <w:tr2bl w:val="nil"/>
                  </w:tcBorders>
                  <w:vAlign w:val="center"/>
                </w:tcPr>
                <w:p w14:paraId="462CCEB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638" w:type="dxa"/>
                  <w:tcBorders>
                    <w:tl2br w:val="nil"/>
                    <w:tr2bl w:val="nil"/>
                  </w:tcBorders>
                  <w:vAlign w:val="center"/>
                </w:tcPr>
                <w:p w14:paraId="5989FC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桶装</w:t>
                  </w:r>
                </w:p>
              </w:tc>
              <w:tc>
                <w:tcPr>
                  <w:tcW w:w="694" w:type="dxa"/>
                  <w:vMerge w:val="continue"/>
                  <w:tcBorders>
                    <w:tl2br w:val="nil"/>
                    <w:tr2bl w:val="nil"/>
                  </w:tcBorders>
                  <w:vAlign w:val="center"/>
                </w:tcPr>
                <w:p w14:paraId="059D55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718" w:type="dxa"/>
                  <w:vMerge w:val="continue"/>
                  <w:tcBorders>
                    <w:tl2br w:val="nil"/>
                    <w:tr2bl w:val="nil"/>
                  </w:tcBorders>
                  <w:vAlign w:val="center"/>
                </w:tcPr>
                <w:p w14:paraId="2FF531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012A2A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3A1517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w:t>
                  </w:r>
                </w:p>
              </w:tc>
              <w:tc>
                <w:tcPr>
                  <w:tcW w:w="1275" w:type="dxa"/>
                  <w:vMerge w:val="continue"/>
                  <w:tcBorders>
                    <w:tl2br w:val="nil"/>
                    <w:tr2bl w:val="nil"/>
                  </w:tcBorders>
                  <w:vAlign w:val="center"/>
                </w:tcPr>
                <w:p w14:paraId="09B7F5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1054" w:type="dxa"/>
                  <w:tcBorders>
                    <w:tl2br w:val="nil"/>
                    <w:tr2bl w:val="nil"/>
                  </w:tcBorders>
                  <w:vAlign w:val="center"/>
                </w:tcPr>
                <w:p w14:paraId="291F6A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废化学试剂</w:t>
                  </w:r>
                </w:p>
              </w:tc>
              <w:tc>
                <w:tcPr>
                  <w:tcW w:w="1125" w:type="dxa"/>
                  <w:tcBorders>
                    <w:tl2br w:val="nil"/>
                    <w:tr2bl w:val="nil"/>
                  </w:tcBorders>
                  <w:vAlign w:val="center"/>
                </w:tcPr>
                <w:p w14:paraId="115275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default" w:ascii="Times New Roman" w:hAnsi="Times New Roman" w:cs="Times New Roman"/>
                      <w:color w:val="auto"/>
                      <w:kern w:val="2"/>
                      <w:sz w:val="21"/>
                      <w:szCs w:val="21"/>
                      <w:highlight w:val="none"/>
                      <w:u w:val="none"/>
                      <w:lang w:bidi="ar"/>
                    </w:rPr>
                    <w:t>HW03 900-002-03</w:t>
                  </w:r>
                </w:p>
              </w:tc>
              <w:tc>
                <w:tcPr>
                  <w:tcW w:w="900" w:type="dxa"/>
                  <w:vMerge w:val="continue"/>
                  <w:tcBorders>
                    <w:tl2br w:val="nil"/>
                    <w:tr2bl w:val="nil"/>
                  </w:tcBorders>
                  <w:vAlign w:val="center"/>
                </w:tcPr>
                <w:p w14:paraId="1FEA01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587" w:type="dxa"/>
                  <w:vMerge w:val="continue"/>
                  <w:tcBorders>
                    <w:tl2br w:val="nil"/>
                    <w:tr2bl w:val="nil"/>
                  </w:tcBorders>
                  <w:vAlign w:val="center"/>
                </w:tcPr>
                <w:p w14:paraId="6503A6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638" w:type="dxa"/>
                  <w:tcBorders>
                    <w:tl2br w:val="nil"/>
                    <w:tr2bl w:val="nil"/>
                  </w:tcBorders>
                  <w:vAlign w:val="center"/>
                </w:tcPr>
                <w:p w14:paraId="31B465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桶装</w:t>
                  </w:r>
                </w:p>
              </w:tc>
              <w:tc>
                <w:tcPr>
                  <w:tcW w:w="694" w:type="dxa"/>
                  <w:vMerge w:val="continue"/>
                  <w:tcBorders>
                    <w:tl2br w:val="nil"/>
                    <w:tr2bl w:val="nil"/>
                  </w:tcBorders>
                  <w:vAlign w:val="center"/>
                </w:tcPr>
                <w:p w14:paraId="346F08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718" w:type="dxa"/>
                  <w:vMerge w:val="continue"/>
                  <w:tcBorders>
                    <w:tl2br w:val="nil"/>
                    <w:tr2bl w:val="nil"/>
                  </w:tcBorders>
                  <w:vAlign w:val="center"/>
                </w:tcPr>
                <w:p w14:paraId="743037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49F08E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0363AA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w:t>
                  </w:r>
                </w:p>
              </w:tc>
              <w:tc>
                <w:tcPr>
                  <w:tcW w:w="1275" w:type="dxa"/>
                  <w:vMerge w:val="continue"/>
                  <w:tcBorders>
                    <w:tl2br w:val="nil"/>
                    <w:tr2bl w:val="nil"/>
                  </w:tcBorders>
                  <w:vAlign w:val="center"/>
                </w:tcPr>
                <w:p w14:paraId="6705B58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1054" w:type="dxa"/>
                  <w:tcBorders>
                    <w:tl2br w:val="nil"/>
                    <w:tr2bl w:val="nil"/>
                  </w:tcBorders>
                  <w:shd w:val="clear" w:color="auto" w:fill="auto"/>
                  <w:vAlign w:val="center"/>
                </w:tcPr>
                <w:p w14:paraId="2F020F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废活性炭</w:t>
                  </w:r>
                </w:p>
              </w:tc>
              <w:tc>
                <w:tcPr>
                  <w:tcW w:w="1125" w:type="dxa"/>
                  <w:tcBorders>
                    <w:tl2br w:val="nil"/>
                    <w:tr2bl w:val="nil"/>
                  </w:tcBorders>
                  <w:shd w:val="clear" w:color="auto" w:fill="auto"/>
                  <w:vAlign w:val="center"/>
                </w:tcPr>
                <w:p w14:paraId="4040F2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HW49</w:t>
                  </w:r>
                </w:p>
                <w:p w14:paraId="4D70EF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900-039-49</w:t>
                  </w:r>
                </w:p>
              </w:tc>
              <w:tc>
                <w:tcPr>
                  <w:tcW w:w="900" w:type="dxa"/>
                  <w:vMerge w:val="continue"/>
                  <w:tcBorders>
                    <w:tl2br w:val="nil"/>
                    <w:tr2bl w:val="nil"/>
                  </w:tcBorders>
                  <w:vAlign w:val="center"/>
                </w:tcPr>
                <w:p w14:paraId="43488A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587" w:type="dxa"/>
                  <w:vMerge w:val="continue"/>
                  <w:tcBorders>
                    <w:tl2br w:val="nil"/>
                    <w:tr2bl w:val="nil"/>
                  </w:tcBorders>
                  <w:vAlign w:val="center"/>
                </w:tcPr>
                <w:p w14:paraId="602AFC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638" w:type="dxa"/>
                  <w:tcBorders>
                    <w:tl2br w:val="nil"/>
                    <w:tr2bl w:val="nil"/>
                  </w:tcBorders>
                  <w:shd w:val="clear" w:color="auto" w:fill="auto"/>
                  <w:vAlign w:val="center"/>
                </w:tcPr>
                <w:p w14:paraId="79AF0D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桶装</w:t>
                  </w:r>
                </w:p>
              </w:tc>
              <w:tc>
                <w:tcPr>
                  <w:tcW w:w="694" w:type="dxa"/>
                  <w:vMerge w:val="continue"/>
                  <w:tcBorders>
                    <w:tl2br w:val="nil"/>
                    <w:tr2bl w:val="nil"/>
                  </w:tcBorders>
                  <w:vAlign w:val="center"/>
                </w:tcPr>
                <w:p w14:paraId="05CD65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718" w:type="dxa"/>
                  <w:vMerge w:val="continue"/>
                  <w:tcBorders>
                    <w:tl2br w:val="nil"/>
                    <w:tr2bl w:val="nil"/>
                  </w:tcBorders>
                  <w:vAlign w:val="center"/>
                </w:tcPr>
                <w:p w14:paraId="6194F2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658E5A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198B72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1275" w:type="dxa"/>
                  <w:vMerge w:val="continue"/>
                  <w:tcBorders>
                    <w:tl2br w:val="nil"/>
                    <w:tr2bl w:val="nil"/>
                  </w:tcBorders>
                  <w:vAlign w:val="center"/>
                </w:tcPr>
                <w:p w14:paraId="7A47DA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1054" w:type="dxa"/>
                  <w:tcBorders>
                    <w:tl2br w:val="nil"/>
                    <w:tr2bl w:val="nil"/>
                  </w:tcBorders>
                  <w:shd w:val="clear" w:color="auto" w:fill="auto"/>
                  <w:vAlign w:val="center"/>
                </w:tcPr>
                <w:p w14:paraId="6E0F5E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废SDG</w:t>
                  </w:r>
                </w:p>
              </w:tc>
              <w:tc>
                <w:tcPr>
                  <w:tcW w:w="1125" w:type="dxa"/>
                  <w:tcBorders>
                    <w:tl2br w:val="nil"/>
                    <w:tr2bl w:val="nil"/>
                  </w:tcBorders>
                  <w:shd w:val="clear" w:color="auto" w:fill="auto"/>
                  <w:vAlign w:val="center"/>
                </w:tcPr>
                <w:p w14:paraId="0F2676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HW49</w:t>
                  </w:r>
                </w:p>
                <w:p w14:paraId="295B316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900-039-49</w:t>
                  </w:r>
                </w:p>
              </w:tc>
              <w:tc>
                <w:tcPr>
                  <w:tcW w:w="900" w:type="dxa"/>
                  <w:vMerge w:val="continue"/>
                  <w:tcBorders>
                    <w:tl2br w:val="nil"/>
                    <w:tr2bl w:val="nil"/>
                  </w:tcBorders>
                  <w:vAlign w:val="center"/>
                </w:tcPr>
                <w:p w14:paraId="732F9B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587" w:type="dxa"/>
                  <w:vMerge w:val="continue"/>
                  <w:tcBorders>
                    <w:tl2br w:val="nil"/>
                    <w:tr2bl w:val="nil"/>
                  </w:tcBorders>
                  <w:vAlign w:val="center"/>
                </w:tcPr>
                <w:p w14:paraId="46510D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638" w:type="dxa"/>
                  <w:tcBorders>
                    <w:tl2br w:val="nil"/>
                    <w:tr2bl w:val="nil"/>
                  </w:tcBorders>
                  <w:shd w:val="clear" w:color="auto" w:fill="auto"/>
                  <w:vAlign w:val="center"/>
                </w:tcPr>
                <w:p w14:paraId="76374B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p>
              </w:tc>
              <w:tc>
                <w:tcPr>
                  <w:tcW w:w="694" w:type="dxa"/>
                  <w:vMerge w:val="continue"/>
                  <w:tcBorders>
                    <w:tl2br w:val="nil"/>
                    <w:tr2bl w:val="nil"/>
                  </w:tcBorders>
                  <w:vAlign w:val="center"/>
                </w:tcPr>
                <w:p w14:paraId="4096D5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718" w:type="dxa"/>
                  <w:vMerge w:val="continue"/>
                  <w:tcBorders>
                    <w:tl2br w:val="nil"/>
                    <w:tr2bl w:val="nil"/>
                  </w:tcBorders>
                  <w:vAlign w:val="center"/>
                </w:tcPr>
                <w:p w14:paraId="72A10C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r w14:paraId="744659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4" w:type="dxa"/>
                  <w:tcBorders>
                    <w:tl2br w:val="nil"/>
                    <w:tr2bl w:val="nil"/>
                  </w:tcBorders>
                  <w:shd w:val="clear" w:color="auto" w:fill="auto"/>
                  <w:vAlign w:val="center"/>
                </w:tcPr>
                <w:p w14:paraId="6C2FDB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7</w:t>
                  </w:r>
                </w:p>
              </w:tc>
              <w:tc>
                <w:tcPr>
                  <w:tcW w:w="1275" w:type="dxa"/>
                  <w:vMerge w:val="continue"/>
                  <w:tcBorders>
                    <w:tl2br w:val="nil"/>
                    <w:tr2bl w:val="nil"/>
                  </w:tcBorders>
                  <w:vAlign w:val="center"/>
                </w:tcPr>
                <w:p w14:paraId="1FEE40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1054" w:type="dxa"/>
                  <w:tcBorders>
                    <w:tl2br w:val="nil"/>
                    <w:tr2bl w:val="nil"/>
                  </w:tcBorders>
                  <w:shd w:val="clear" w:color="auto" w:fill="auto"/>
                  <w:vAlign w:val="center"/>
                </w:tcPr>
                <w:p w14:paraId="4B50AF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废水处理污泥</w:t>
                  </w:r>
                </w:p>
              </w:tc>
              <w:tc>
                <w:tcPr>
                  <w:tcW w:w="1125" w:type="dxa"/>
                  <w:tcBorders>
                    <w:tl2br w:val="nil"/>
                    <w:tr2bl w:val="nil"/>
                  </w:tcBorders>
                  <w:shd w:val="clear" w:color="auto" w:fill="auto"/>
                  <w:vAlign w:val="center"/>
                </w:tcPr>
                <w:p w14:paraId="32D478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HW49</w:t>
                  </w:r>
                </w:p>
                <w:p w14:paraId="51C924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772</w:t>
                  </w:r>
                  <w:r>
                    <w:rPr>
                      <w:rFonts w:hint="default"/>
                      <w:color w:val="auto"/>
                      <w:sz w:val="21"/>
                      <w:szCs w:val="21"/>
                      <w:highlight w:val="none"/>
                      <w:lang w:val="en-US" w:eastAsia="zh-CN"/>
                    </w:rPr>
                    <w:t>-</w:t>
                  </w:r>
                  <w:r>
                    <w:rPr>
                      <w:rFonts w:hint="eastAsia"/>
                      <w:color w:val="auto"/>
                      <w:sz w:val="21"/>
                      <w:szCs w:val="21"/>
                      <w:highlight w:val="none"/>
                      <w:lang w:val="en-US" w:eastAsia="zh-CN"/>
                    </w:rPr>
                    <w:t>006</w:t>
                  </w:r>
                  <w:r>
                    <w:rPr>
                      <w:rFonts w:hint="default"/>
                      <w:color w:val="auto"/>
                      <w:sz w:val="21"/>
                      <w:szCs w:val="21"/>
                      <w:highlight w:val="none"/>
                      <w:lang w:val="en-US" w:eastAsia="zh-CN"/>
                    </w:rPr>
                    <w:t>-</w:t>
                  </w:r>
                  <w:r>
                    <w:rPr>
                      <w:rFonts w:hint="eastAsia"/>
                      <w:color w:val="auto"/>
                      <w:sz w:val="21"/>
                      <w:szCs w:val="21"/>
                      <w:highlight w:val="none"/>
                      <w:lang w:val="en-US" w:eastAsia="zh-CN"/>
                    </w:rPr>
                    <w:t>49</w:t>
                  </w:r>
                </w:p>
              </w:tc>
              <w:tc>
                <w:tcPr>
                  <w:tcW w:w="900" w:type="dxa"/>
                  <w:vMerge w:val="continue"/>
                  <w:tcBorders>
                    <w:tl2br w:val="nil"/>
                    <w:tr2bl w:val="nil"/>
                  </w:tcBorders>
                  <w:vAlign w:val="center"/>
                </w:tcPr>
                <w:p w14:paraId="1564E7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587" w:type="dxa"/>
                  <w:vMerge w:val="continue"/>
                  <w:tcBorders>
                    <w:tl2br w:val="nil"/>
                    <w:tr2bl w:val="nil"/>
                  </w:tcBorders>
                  <w:vAlign w:val="center"/>
                </w:tcPr>
                <w:p w14:paraId="483F16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638" w:type="dxa"/>
                  <w:tcBorders>
                    <w:tl2br w:val="nil"/>
                    <w:tr2bl w:val="nil"/>
                  </w:tcBorders>
                  <w:shd w:val="clear" w:color="auto" w:fill="auto"/>
                  <w:vAlign w:val="center"/>
                </w:tcPr>
                <w:p w14:paraId="1D130C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桶装</w:t>
                  </w:r>
                </w:p>
              </w:tc>
              <w:tc>
                <w:tcPr>
                  <w:tcW w:w="694" w:type="dxa"/>
                  <w:vMerge w:val="continue"/>
                  <w:tcBorders>
                    <w:tl2br w:val="nil"/>
                    <w:tr2bl w:val="nil"/>
                  </w:tcBorders>
                  <w:vAlign w:val="center"/>
                </w:tcPr>
                <w:p w14:paraId="03793B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c>
                <w:tcPr>
                  <w:tcW w:w="718" w:type="dxa"/>
                  <w:vMerge w:val="continue"/>
                  <w:tcBorders>
                    <w:tl2br w:val="nil"/>
                    <w:tr2bl w:val="nil"/>
                  </w:tcBorders>
                  <w:vAlign w:val="center"/>
                </w:tcPr>
                <w:p w14:paraId="00A3FB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21"/>
                      <w:szCs w:val="21"/>
                      <w:highlight w:val="none"/>
                      <w:lang w:val="en-US" w:eastAsia="zh-CN"/>
                    </w:rPr>
                  </w:pPr>
                </w:p>
              </w:tc>
            </w:tr>
          </w:tbl>
          <w:p w14:paraId="2C89C7E8">
            <w:pPr>
              <w:pStyle w:val="25"/>
              <w:keepNext w:val="0"/>
              <w:keepLines w:val="0"/>
              <w:pageBreakBefore w:val="0"/>
              <w:widowControl w:val="0"/>
              <w:numPr>
                <w:ilvl w:val="0"/>
                <w:numId w:val="3"/>
              </w:numPr>
              <w:tabs>
                <w:tab w:val="left" w:pos="0"/>
              </w:tabs>
              <w:kinsoku/>
              <w:wordWrap/>
              <w:overflowPunct/>
              <w:topLinePunct w:val="0"/>
              <w:autoSpaceDE/>
              <w:autoSpaceDN/>
              <w:bidi w:val="0"/>
              <w:adjustRightInd/>
              <w:snapToGrid w:val="0"/>
              <w:spacing w:line="360" w:lineRule="auto"/>
              <w:ind w:left="-62" w:leftChars="0" w:firstLine="482" w:firstLineChars="0"/>
              <w:jc w:val="both"/>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危废贮存库依托性分析</w:t>
            </w:r>
          </w:p>
          <w:p w14:paraId="0CB554E1">
            <w:pPr>
              <w:autoSpaceDE w:val="0"/>
              <w:autoSpaceDN w:val="0"/>
              <w:adjustRightInd w:val="0"/>
              <w:spacing w:line="360" w:lineRule="auto"/>
              <w:ind w:firstLine="480" w:firstLineChars="200"/>
              <w:rPr>
                <w:color w:val="auto"/>
                <w:sz w:val="24"/>
              </w:rPr>
            </w:pPr>
            <w:r>
              <w:rPr>
                <w:rFonts w:hint="eastAsia"/>
                <w:color w:val="auto"/>
                <w:sz w:val="24"/>
                <w:lang w:eastAsia="zh-CN"/>
              </w:rPr>
              <w:t>危废贮存库</w:t>
            </w:r>
            <w:r>
              <w:rPr>
                <w:rFonts w:hint="eastAsia"/>
                <w:color w:val="auto"/>
                <w:sz w:val="24"/>
              </w:rPr>
              <w:t>面积为</w:t>
            </w:r>
            <w:r>
              <w:rPr>
                <w:rFonts w:hint="eastAsia"/>
                <w:color w:val="auto"/>
                <w:sz w:val="24"/>
                <w:lang w:val="en-US" w:eastAsia="zh-CN"/>
              </w:rPr>
              <w:t>33.12</w:t>
            </w:r>
            <w:r>
              <w:rPr>
                <w:rFonts w:hint="eastAsia"/>
                <w:color w:val="auto"/>
                <w:sz w:val="24"/>
              </w:rPr>
              <w:t>m</w:t>
            </w:r>
            <w:r>
              <w:rPr>
                <w:rFonts w:hint="eastAsia"/>
                <w:color w:val="auto"/>
                <w:sz w:val="24"/>
                <w:vertAlign w:val="superscript"/>
              </w:rPr>
              <w:t>2</w:t>
            </w:r>
            <w:r>
              <w:rPr>
                <w:rFonts w:hint="eastAsia"/>
                <w:color w:val="auto"/>
                <w:sz w:val="24"/>
              </w:rPr>
              <w:t>，暂存本项目产生的</w:t>
            </w:r>
            <w:r>
              <w:rPr>
                <w:rFonts w:hint="eastAsia" w:cs="Times New Roman"/>
                <w:i w:val="0"/>
                <w:iCs w:val="0"/>
                <w:color w:val="auto"/>
                <w:kern w:val="0"/>
                <w:sz w:val="24"/>
                <w:szCs w:val="24"/>
                <w:highlight w:val="none"/>
                <w:u w:val="none"/>
                <w:lang w:val="en-US" w:eastAsia="zh-CN" w:bidi="ar"/>
              </w:rPr>
              <w:t>沾染化学试剂的一次性实验用品</w:t>
            </w:r>
            <w:r>
              <w:rPr>
                <w:rFonts w:hint="eastAsia" w:ascii="宋体" w:hAnsi="宋体" w:eastAsia="宋体" w:cs="宋体"/>
                <w:color w:val="auto"/>
                <w:kern w:val="0"/>
                <w:sz w:val="24"/>
                <w:szCs w:val="24"/>
                <w:highlight w:val="none"/>
                <w:lang w:val="en-US" w:eastAsia="zh-CN" w:bidi="ar"/>
              </w:rPr>
              <w:t>、废活性炭、</w:t>
            </w:r>
            <w:r>
              <w:rPr>
                <w:rFonts w:hint="eastAsia" w:cs="Times New Roman"/>
                <w:i w:val="0"/>
                <w:iCs w:val="0"/>
                <w:color w:val="auto"/>
                <w:kern w:val="0"/>
                <w:sz w:val="24"/>
                <w:szCs w:val="24"/>
                <w:highlight w:val="none"/>
                <w:u w:val="none"/>
                <w:lang w:val="en-US" w:eastAsia="zh-CN" w:bidi="ar"/>
              </w:rPr>
              <w:t>废弃样品及分析产物、废化学试剂、</w:t>
            </w:r>
            <w:r>
              <w:rPr>
                <w:rFonts w:hint="eastAsia" w:ascii="宋体" w:hAnsi="宋体" w:eastAsia="宋体" w:cs="宋体"/>
                <w:color w:val="auto"/>
                <w:kern w:val="0"/>
                <w:sz w:val="24"/>
                <w:szCs w:val="24"/>
                <w:highlight w:val="none"/>
                <w:lang w:val="en-US" w:eastAsia="zh-CN" w:bidi="ar"/>
              </w:rPr>
              <w:t>实验室废液、废水处理污泥</w:t>
            </w:r>
            <w:r>
              <w:rPr>
                <w:rFonts w:hint="eastAsia"/>
                <w:color w:val="auto"/>
                <w:sz w:val="24"/>
              </w:rPr>
              <w:t>等。本项目</w:t>
            </w:r>
            <w:r>
              <w:rPr>
                <w:rFonts w:hint="eastAsia"/>
                <w:color w:val="auto"/>
                <w:sz w:val="24"/>
                <w:lang w:eastAsia="zh-CN"/>
              </w:rPr>
              <w:t>危废贮存库</w:t>
            </w:r>
            <w:r>
              <w:rPr>
                <w:rFonts w:hint="eastAsia"/>
                <w:color w:val="auto"/>
                <w:sz w:val="24"/>
              </w:rPr>
              <w:t>已按照《</w:t>
            </w:r>
            <w:r>
              <w:rPr>
                <w:color w:val="auto"/>
                <w:sz w:val="24"/>
              </w:rPr>
              <w:t>危险废物贮存污染控制标准》（GB 18597-2023）中</w:t>
            </w:r>
            <w:r>
              <w:rPr>
                <w:rFonts w:hint="eastAsia"/>
                <w:color w:val="auto"/>
                <w:sz w:val="24"/>
                <w:lang w:eastAsia="zh-CN"/>
              </w:rPr>
              <w:t>“</w:t>
            </w:r>
            <w:r>
              <w:rPr>
                <w:color w:val="auto"/>
                <w:sz w:val="24"/>
              </w:rPr>
              <w:t>贮存点</w:t>
            </w:r>
            <w:r>
              <w:rPr>
                <w:rFonts w:hint="eastAsia"/>
                <w:color w:val="auto"/>
                <w:sz w:val="24"/>
                <w:lang w:eastAsia="zh-CN"/>
              </w:rPr>
              <w:t>”</w:t>
            </w:r>
            <w:r>
              <w:rPr>
                <w:rFonts w:hint="eastAsia"/>
                <w:color w:val="auto"/>
                <w:sz w:val="24"/>
              </w:rPr>
              <w:t>的</w:t>
            </w:r>
            <w:r>
              <w:rPr>
                <w:color w:val="auto"/>
                <w:sz w:val="24"/>
              </w:rPr>
              <w:t>建设要求</w:t>
            </w:r>
            <w:r>
              <w:rPr>
                <w:rFonts w:hint="eastAsia"/>
                <w:color w:val="auto"/>
                <w:sz w:val="24"/>
              </w:rPr>
              <w:t>建设，包括具有固定的区域边界，封闭空间具备防风、防雨、防晒，</w:t>
            </w:r>
            <w:r>
              <w:rPr>
                <w:rFonts w:hint="eastAsia"/>
                <w:color w:val="auto"/>
                <w:sz w:val="24"/>
                <w:highlight w:val="none"/>
              </w:rPr>
              <w:t>各项危险废物均放置在桶内，地面已采取防渗措施。本项目现有危废暂存量约为</w:t>
            </w:r>
            <w:r>
              <w:rPr>
                <w:rFonts w:hint="eastAsia"/>
                <w:color w:val="auto"/>
                <w:sz w:val="24"/>
                <w:highlight w:val="none"/>
                <w:lang w:val="en-US" w:eastAsia="zh-CN"/>
              </w:rPr>
              <w:t>13.92t</w:t>
            </w:r>
            <w:r>
              <w:rPr>
                <w:rFonts w:hint="eastAsia"/>
                <w:color w:val="auto"/>
                <w:sz w:val="24"/>
                <w:highlight w:val="none"/>
              </w:rPr>
              <w:t>/a，</w:t>
            </w:r>
            <w:r>
              <w:rPr>
                <w:rFonts w:hint="eastAsia"/>
                <w:color w:val="auto"/>
                <w:sz w:val="24"/>
                <w:highlight w:val="none"/>
                <w:lang w:val="en-US" w:eastAsia="zh-CN"/>
              </w:rPr>
              <w:t>转运</w:t>
            </w:r>
            <w:r>
              <w:rPr>
                <w:rFonts w:hint="eastAsia"/>
                <w:color w:val="auto"/>
                <w:sz w:val="24"/>
                <w:highlight w:val="none"/>
              </w:rPr>
              <w:t>本次扩建项目危险废物新增量</w:t>
            </w:r>
            <w:r>
              <w:rPr>
                <w:rFonts w:hint="eastAsia"/>
                <w:color w:val="auto"/>
                <w:sz w:val="24"/>
                <w:highlight w:val="none"/>
                <w:lang w:val="en-US" w:eastAsia="zh-CN"/>
              </w:rPr>
              <w:t>约</w:t>
            </w:r>
            <w:r>
              <w:rPr>
                <w:rFonts w:hint="eastAsia"/>
                <w:color w:val="auto"/>
                <w:sz w:val="24"/>
                <w:highlight w:val="none"/>
              </w:rPr>
              <w:t>为</w:t>
            </w:r>
            <w:r>
              <w:rPr>
                <w:rFonts w:hint="eastAsia"/>
                <w:color w:val="auto"/>
                <w:sz w:val="24"/>
                <w:highlight w:val="none"/>
                <w:lang w:val="en-US" w:eastAsia="zh-CN"/>
              </w:rPr>
              <w:t>41.66t</w:t>
            </w:r>
            <w:r>
              <w:rPr>
                <w:rFonts w:hint="eastAsia"/>
                <w:color w:val="auto"/>
                <w:sz w:val="24"/>
                <w:highlight w:val="none"/>
              </w:rPr>
              <w:t>/a，</w:t>
            </w:r>
            <w:r>
              <w:rPr>
                <w:rFonts w:hint="eastAsia"/>
                <w:color w:val="auto"/>
                <w:sz w:val="24"/>
                <w:highlight w:val="none"/>
                <w:lang w:val="en-US" w:eastAsia="zh-CN"/>
              </w:rPr>
              <w:t>建议</w:t>
            </w:r>
            <w:r>
              <w:rPr>
                <w:rFonts w:hint="eastAsia"/>
                <w:color w:val="auto"/>
                <w:sz w:val="24"/>
                <w:highlight w:val="none"/>
              </w:rPr>
              <w:t>增加</w:t>
            </w:r>
            <w:r>
              <w:rPr>
                <w:rFonts w:hint="eastAsia"/>
                <w:color w:val="auto"/>
                <w:sz w:val="24"/>
              </w:rPr>
              <w:t>危险废物周转</w:t>
            </w:r>
            <w:r>
              <w:rPr>
                <w:rFonts w:hint="eastAsia"/>
                <w:color w:val="auto"/>
                <w:sz w:val="24"/>
                <w:lang w:eastAsia="zh-CN"/>
              </w:rPr>
              <w:t>次数</w:t>
            </w:r>
            <w:r>
              <w:rPr>
                <w:rFonts w:hint="eastAsia"/>
                <w:color w:val="auto"/>
                <w:sz w:val="24"/>
                <w:lang w:val="en-US" w:eastAsia="zh-CN"/>
              </w:rPr>
              <w:t>至一年至少3</w:t>
            </w:r>
            <w:r>
              <w:rPr>
                <w:rFonts w:hint="eastAsia"/>
                <w:color w:val="auto"/>
                <w:sz w:val="24"/>
              </w:rPr>
              <w:t>次，可实现依托现有</w:t>
            </w:r>
            <w:r>
              <w:rPr>
                <w:rFonts w:hint="eastAsia"/>
                <w:color w:val="auto"/>
                <w:sz w:val="24"/>
                <w:lang w:eastAsia="zh-CN"/>
              </w:rPr>
              <w:t>危废贮存库</w:t>
            </w:r>
            <w:r>
              <w:rPr>
                <w:rFonts w:hint="eastAsia"/>
                <w:color w:val="auto"/>
                <w:sz w:val="24"/>
              </w:rPr>
              <w:t>。</w:t>
            </w:r>
          </w:p>
          <w:p w14:paraId="050E56E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150"/>
              <w:jc w:val="both"/>
              <w:textAlignment w:val="auto"/>
              <w:rPr>
                <w:rFonts w:hint="default"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（3）</w:t>
            </w:r>
            <w:r>
              <w:rPr>
                <w:rFonts w:hint="default" w:cs="Times New Roman"/>
                <w:b/>
                <w:bCs/>
                <w:color w:val="auto"/>
                <w:kern w:val="2"/>
                <w:sz w:val="24"/>
                <w:szCs w:val="24"/>
                <w:highlight w:val="none"/>
                <w:lang w:val="en-US" w:eastAsia="zh-CN" w:bidi="ar-SA"/>
              </w:rPr>
              <w:t>危险废物的管理要求</w:t>
            </w:r>
          </w:p>
          <w:p w14:paraId="0F57B9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A.</w:t>
            </w:r>
            <w:r>
              <w:rPr>
                <w:rFonts w:hint="eastAsia" w:cs="Times New Roman"/>
                <w:color w:val="auto"/>
                <w:sz w:val="24"/>
                <w:szCs w:val="24"/>
                <w:highlight w:val="none"/>
                <w:lang w:val="en-US" w:eastAsia="zh-CN"/>
              </w:rPr>
              <w:t>进一步</w:t>
            </w:r>
            <w:r>
              <w:rPr>
                <w:rFonts w:hint="default"/>
                <w:color w:val="auto"/>
                <w:sz w:val="24"/>
                <w:szCs w:val="24"/>
                <w:highlight w:val="none"/>
                <w:lang w:val="en-US" w:eastAsia="zh-CN"/>
              </w:rPr>
              <w:t>完善的危险废物管理制度；</w:t>
            </w:r>
          </w:p>
          <w:p w14:paraId="6C5F62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B.</w:t>
            </w:r>
            <w:r>
              <w:rPr>
                <w:rFonts w:hint="default"/>
                <w:color w:val="auto"/>
                <w:sz w:val="24"/>
                <w:szCs w:val="24"/>
                <w:highlight w:val="none"/>
                <w:lang w:val="en-US" w:eastAsia="zh-CN"/>
              </w:rPr>
              <w:t>危险废物</w:t>
            </w:r>
            <w:r>
              <w:rPr>
                <w:rFonts w:hint="eastAsia"/>
                <w:color w:val="auto"/>
                <w:sz w:val="24"/>
                <w:szCs w:val="24"/>
                <w:highlight w:val="none"/>
                <w:lang w:val="en-US" w:eastAsia="zh-CN"/>
              </w:rPr>
              <w:t>应</w:t>
            </w:r>
            <w:r>
              <w:rPr>
                <w:rFonts w:hint="default"/>
                <w:color w:val="auto"/>
                <w:sz w:val="24"/>
                <w:szCs w:val="24"/>
                <w:highlight w:val="none"/>
                <w:lang w:val="en-US" w:eastAsia="zh-CN"/>
              </w:rPr>
              <w:t>委托有资质的单位清运处理，并签订危险废物处理合同或协议；</w:t>
            </w:r>
          </w:p>
          <w:p w14:paraId="61AF8D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C.</w:t>
            </w:r>
            <w:r>
              <w:rPr>
                <w:rFonts w:hint="eastAsia"/>
                <w:color w:val="auto"/>
                <w:sz w:val="24"/>
                <w:szCs w:val="24"/>
                <w:highlight w:val="none"/>
                <w:lang w:val="en-US" w:eastAsia="zh-CN"/>
              </w:rPr>
              <w:t>废化学试剂和废水处理污泥应定期委托有资质单位进行处置，</w:t>
            </w:r>
            <w:r>
              <w:rPr>
                <w:rFonts w:hint="default"/>
                <w:color w:val="auto"/>
                <w:sz w:val="24"/>
                <w:szCs w:val="24"/>
                <w:highlight w:val="none"/>
                <w:lang w:val="en-US" w:eastAsia="zh-CN"/>
              </w:rPr>
              <w:t>并建立危废转移联单制度，设置专人管理，危废根据贮存情况定期清运；危险废物的转运严格按照《陕西省危险废物转移电子联单管理办法（试行）》的有关规定执行。</w:t>
            </w:r>
          </w:p>
          <w:p w14:paraId="07264B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 w:val="24"/>
                <w:szCs w:val="24"/>
                <w:highlight w:val="none"/>
                <w:lang w:val="en-US" w:eastAsia="zh-CN"/>
              </w:rPr>
            </w:pPr>
            <w:r>
              <w:rPr>
                <w:rFonts w:hint="default"/>
                <w:color w:val="auto"/>
                <w:sz w:val="24"/>
                <w:szCs w:val="24"/>
                <w:highlight w:val="none"/>
                <w:lang w:val="en-US" w:eastAsia="zh-CN"/>
              </w:rPr>
              <w:t>本项目</w:t>
            </w:r>
            <w:r>
              <w:rPr>
                <w:rFonts w:hint="eastAsia"/>
                <w:color w:val="auto"/>
                <w:sz w:val="24"/>
                <w:szCs w:val="24"/>
                <w:highlight w:val="none"/>
                <w:lang w:val="en-US" w:eastAsia="zh-CN"/>
              </w:rPr>
              <w:t>依托的危废贮存库</w:t>
            </w:r>
            <w:r>
              <w:rPr>
                <w:rFonts w:hint="default"/>
                <w:color w:val="auto"/>
                <w:sz w:val="24"/>
                <w:szCs w:val="24"/>
                <w:highlight w:val="none"/>
                <w:lang w:val="en-US" w:eastAsia="zh-CN"/>
              </w:rPr>
              <w:t>符合《危险废物贮存污染控制标准》（GB18597-2023）规定，采取上述措施后，本项目危险废物可得到</w:t>
            </w:r>
            <w:r>
              <w:rPr>
                <w:rFonts w:hint="eastAsia"/>
                <w:color w:val="auto"/>
                <w:sz w:val="24"/>
                <w:szCs w:val="24"/>
                <w:highlight w:val="none"/>
                <w:lang w:val="en-US" w:eastAsia="zh-CN"/>
              </w:rPr>
              <w:t>妥善地</w:t>
            </w:r>
            <w:r>
              <w:rPr>
                <w:rFonts w:hint="default"/>
                <w:color w:val="auto"/>
                <w:sz w:val="24"/>
                <w:szCs w:val="24"/>
                <w:highlight w:val="none"/>
                <w:lang w:val="en-US" w:eastAsia="zh-CN"/>
              </w:rPr>
              <w:t>处理，对周围环境造成的影响很小。</w:t>
            </w:r>
          </w:p>
          <w:p w14:paraId="1C78FB99">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5.地下水、土壤</w:t>
            </w:r>
          </w:p>
          <w:p w14:paraId="1A4CFBB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color w:val="auto"/>
                <w:sz w:val="24"/>
                <w:szCs w:val="24"/>
                <w:highlight w:val="none"/>
                <w:lang w:val="en-US" w:eastAsia="zh-CN"/>
              </w:rPr>
            </w:pPr>
            <w:r>
              <w:rPr>
                <w:rFonts w:hint="default"/>
                <w:color w:val="auto"/>
                <w:sz w:val="24"/>
                <w:szCs w:val="24"/>
                <w:highlight w:val="none"/>
                <w:lang w:val="en-US" w:eastAsia="zh-CN"/>
              </w:rPr>
              <w:t>依据《建设项目环境影响报告表编制技术指南污染影响类（试行）》中</w:t>
            </w:r>
            <w:r>
              <w:rPr>
                <w:rFonts w:hint="eastAsia"/>
                <w:color w:val="auto"/>
                <w:sz w:val="24"/>
                <w:szCs w:val="24"/>
                <w:highlight w:val="none"/>
                <w:lang w:val="en-US" w:eastAsia="zh-CN"/>
              </w:rPr>
              <w:t>“</w:t>
            </w:r>
            <w:r>
              <w:rPr>
                <w:rFonts w:hint="default"/>
                <w:color w:val="auto"/>
                <w:sz w:val="24"/>
                <w:szCs w:val="24"/>
                <w:highlight w:val="none"/>
                <w:lang w:val="en-US" w:eastAsia="zh-CN"/>
              </w:rPr>
              <w:t>原则上不开展环境质量现状调查</w:t>
            </w:r>
            <w:r>
              <w:rPr>
                <w:rFonts w:hint="eastAsia"/>
                <w:color w:val="auto"/>
                <w:sz w:val="24"/>
                <w:szCs w:val="24"/>
                <w:highlight w:val="none"/>
                <w:lang w:val="en-US" w:eastAsia="zh-CN"/>
              </w:rPr>
              <w:t>”</w:t>
            </w:r>
            <w:r>
              <w:rPr>
                <w:rFonts w:hint="default"/>
                <w:color w:val="auto"/>
                <w:sz w:val="24"/>
                <w:szCs w:val="24"/>
                <w:highlight w:val="none"/>
                <w:lang w:val="en-US" w:eastAsia="zh-CN"/>
              </w:rPr>
              <w:t>。建设项目存在土壤、地下水环境污染途径的，应结合污染源、保护目标分布情况开展现状调查以留作背景值。</w:t>
            </w:r>
          </w:p>
          <w:p w14:paraId="44DF80C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color w:val="auto"/>
                <w:sz w:val="24"/>
                <w:szCs w:val="24"/>
                <w:highlight w:val="none"/>
                <w:lang w:val="en-US" w:eastAsia="zh-CN"/>
              </w:rPr>
            </w:pPr>
            <w:r>
              <w:rPr>
                <w:rFonts w:hint="default"/>
                <w:color w:val="auto"/>
                <w:sz w:val="24"/>
                <w:szCs w:val="24"/>
                <w:highlight w:val="none"/>
                <w:lang w:val="en-US" w:eastAsia="zh-CN"/>
              </w:rPr>
              <w:t>本项目</w:t>
            </w:r>
            <w:r>
              <w:rPr>
                <w:rFonts w:hint="eastAsia"/>
                <w:color w:val="auto"/>
                <w:sz w:val="24"/>
                <w:szCs w:val="24"/>
                <w:highlight w:val="none"/>
                <w:lang w:val="en-US" w:eastAsia="zh-CN"/>
              </w:rPr>
              <w:t>实验室</w:t>
            </w:r>
            <w:r>
              <w:rPr>
                <w:rFonts w:hint="default"/>
                <w:color w:val="auto"/>
                <w:sz w:val="24"/>
                <w:szCs w:val="24"/>
                <w:highlight w:val="none"/>
                <w:lang w:val="en-US" w:eastAsia="zh-CN"/>
              </w:rPr>
              <w:t>、库房和危废贮存库、</w:t>
            </w:r>
            <w:r>
              <w:rPr>
                <w:rFonts w:hint="eastAsia"/>
                <w:color w:val="auto"/>
                <w:sz w:val="24"/>
                <w:szCs w:val="24"/>
                <w:highlight w:val="none"/>
                <w:lang w:val="en-US" w:eastAsia="zh-CN"/>
              </w:rPr>
              <w:t>各类试剂</w:t>
            </w:r>
            <w:r>
              <w:rPr>
                <w:rFonts w:hint="default"/>
                <w:color w:val="auto"/>
                <w:sz w:val="24"/>
                <w:szCs w:val="24"/>
                <w:highlight w:val="none"/>
                <w:lang w:val="en-US" w:eastAsia="zh-CN"/>
              </w:rPr>
              <w:t>库均硬化并达到相关防渗要求，设备均位于</w:t>
            </w:r>
            <w:r>
              <w:rPr>
                <w:rFonts w:hint="eastAsia"/>
                <w:color w:val="auto"/>
                <w:sz w:val="24"/>
                <w:szCs w:val="24"/>
                <w:highlight w:val="none"/>
                <w:lang w:val="en-US" w:eastAsia="zh-CN"/>
              </w:rPr>
              <w:t>实验室</w:t>
            </w:r>
            <w:r>
              <w:rPr>
                <w:rFonts w:hint="default"/>
                <w:color w:val="auto"/>
                <w:sz w:val="24"/>
                <w:szCs w:val="24"/>
                <w:highlight w:val="none"/>
                <w:lang w:val="en-US" w:eastAsia="zh-CN"/>
              </w:rPr>
              <w:t>地面上，暂存于危废贮存库，且用容器盛装，下方设置托盘，能有效阻隔液体渗漏。且项目</w:t>
            </w:r>
            <w:r>
              <w:rPr>
                <w:rFonts w:hint="eastAsia"/>
                <w:color w:val="auto"/>
                <w:sz w:val="24"/>
                <w:szCs w:val="24"/>
                <w:highlight w:val="none"/>
                <w:lang w:val="en-US" w:eastAsia="zh-CN"/>
              </w:rPr>
              <w:t>位</w:t>
            </w:r>
            <w:r>
              <w:rPr>
                <w:rFonts w:hint="default"/>
                <w:color w:val="auto"/>
                <w:sz w:val="24"/>
                <w:szCs w:val="24"/>
                <w:highlight w:val="none"/>
                <w:lang w:val="en-US" w:eastAsia="zh-CN"/>
              </w:rPr>
              <w:t>于</w:t>
            </w:r>
            <w:r>
              <w:rPr>
                <w:rFonts w:hint="eastAsia"/>
                <w:color w:val="auto"/>
                <w:sz w:val="24"/>
                <w:szCs w:val="24"/>
                <w:highlight w:val="none"/>
                <w:lang w:val="en-US" w:eastAsia="zh-CN"/>
              </w:rPr>
              <w:t>6</w:t>
            </w:r>
            <w:r>
              <w:rPr>
                <w:rFonts w:hint="default"/>
                <w:color w:val="auto"/>
                <w:sz w:val="24"/>
                <w:szCs w:val="24"/>
                <w:highlight w:val="none"/>
                <w:lang w:val="en-US" w:eastAsia="zh-CN"/>
              </w:rPr>
              <w:t>楼，不与地面直接接触，基本切断了废水、固废进入地下水和土壤的途径，污染物一般不会直接入渗地下水和土壤进而污染。本次环评不对地下水及土壤环境进行评价。</w:t>
            </w:r>
          </w:p>
          <w:p w14:paraId="5487F550">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6.</w:t>
            </w:r>
            <w:r>
              <w:rPr>
                <w:rFonts w:hint="default" w:cs="Times New Roman"/>
                <w:b/>
                <w:bCs/>
                <w:color w:val="auto"/>
                <w:kern w:val="2"/>
                <w:sz w:val="24"/>
                <w:szCs w:val="24"/>
                <w:highlight w:val="none"/>
                <w:lang w:val="en-US" w:eastAsia="zh-CN" w:bidi="ar-SA"/>
              </w:rPr>
              <w:t>环境风险</w:t>
            </w:r>
          </w:p>
          <w:p w14:paraId="6D70308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368" w:leftChars="175"/>
              <w:jc w:val="both"/>
              <w:textAlignment w:val="auto"/>
              <w:rPr>
                <w:rFonts w:hint="eastAsia"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w:t>
            </w:r>
            <w:r>
              <w:rPr>
                <w:rFonts w:hint="eastAsia" w:cs="Times New Roman"/>
                <w:b/>
                <w:bCs/>
                <w:color w:val="auto"/>
                <w:kern w:val="2"/>
                <w:sz w:val="24"/>
                <w:szCs w:val="24"/>
                <w:highlight w:val="none"/>
                <w:lang w:val="en-US" w:eastAsia="zh-CN" w:bidi="ar-SA"/>
              </w:rPr>
              <w:t>评价等级确定</w:t>
            </w:r>
          </w:p>
          <w:p w14:paraId="6B1C38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 w:val="24"/>
                <w:szCs w:val="24"/>
                <w:highlight w:val="none"/>
                <w:lang w:val="en-US" w:eastAsia="zh-CN"/>
              </w:rPr>
            </w:pPr>
            <w:r>
              <w:rPr>
                <w:rFonts w:hint="default"/>
                <w:color w:val="auto"/>
                <w:sz w:val="24"/>
                <w:szCs w:val="24"/>
                <w:highlight w:val="none"/>
                <w:lang w:val="en-US" w:eastAsia="zh-CN"/>
              </w:rPr>
              <w:t>根据《建设项目环境风险评价技术导则》（HJ169-2018）附录B</w:t>
            </w:r>
            <w:r>
              <w:rPr>
                <w:rFonts w:hint="eastAsia"/>
                <w:color w:val="auto"/>
                <w:sz w:val="24"/>
                <w:szCs w:val="24"/>
                <w:highlight w:val="none"/>
                <w:lang w:val="en-US" w:eastAsia="zh-CN"/>
              </w:rPr>
              <w:t>、</w:t>
            </w:r>
            <w:r>
              <w:rPr>
                <w:rFonts w:hint="default"/>
                <w:color w:val="auto"/>
                <w:sz w:val="24"/>
                <w:szCs w:val="24"/>
                <w:highlight w:val="none"/>
                <w:lang w:val="en-US" w:eastAsia="zh-CN"/>
              </w:rPr>
              <w:t>《危险化学品重大危险源辨识》（GB18218-2018）</w:t>
            </w:r>
            <w:r>
              <w:rPr>
                <w:rFonts w:hint="eastAsia"/>
                <w:color w:val="auto"/>
                <w:sz w:val="24"/>
                <w:szCs w:val="24"/>
                <w:highlight w:val="none"/>
                <w:lang w:val="en-US" w:eastAsia="zh-CN"/>
              </w:rPr>
              <w:t>以及</w:t>
            </w:r>
            <w:r>
              <w:rPr>
                <w:rFonts w:hint="default"/>
                <w:color w:val="auto"/>
                <w:sz w:val="24"/>
                <w:highlight w:val="none"/>
              </w:rPr>
              <w:t>《企业突发环境事件风险分级方法》（HJ941-2018）</w:t>
            </w:r>
            <w:r>
              <w:rPr>
                <w:rFonts w:hint="default"/>
                <w:color w:val="auto"/>
                <w:sz w:val="24"/>
                <w:szCs w:val="24"/>
                <w:highlight w:val="none"/>
                <w:lang w:val="en-US" w:eastAsia="zh-CN"/>
              </w:rPr>
              <w:t>，筛选出本</w:t>
            </w:r>
            <w:r>
              <w:rPr>
                <w:rFonts w:hint="eastAsia"/>
                <w:color w:val="auto"/>
                <w:sz w:val="24"/>
                <w:szCs w:val="24"/>
                <w:highlight w:val="none"/>
                <w:lang w:val="en-US" w:eastAsia="zh-CN"/>
              </w:rPr>
              <w:t>次扩建项目</w:t>
            </w:r>
            <w:r>
              <w:rPr>
                <w:rFonts w:hint="default"/>
                <w:color w:val="auto"/>
                <w:sz w:val="24"/>
                <w:szCs w:val="24"/>
                <w:highlight w:val="none"/>
                <w:lang w:val="en-US" w:eastAsia="zh-CN"/>
              </w:rPr>
              <w:t>的工程分析及生产、加工、运输、使用和贮存过程中涉及的主要风</w:t>
            </w:r>
            <w:r>
              <w:rPr>
                <w:rFonts w:hint="eastAsia"/>
                <w:color w:val="auto"/>
                <w:sz w:val="24"/>
                <w:szCs w:val="24"/>
                <w:highlight w:val="none"/>
                <w:lang w:val="en-US" w:eastAsia="zh-CN"/>
              </w:rPr>
              <w:t>险物</w:t>
            </w:r>
            <w:r>
              <w:rPr>
                <w:rFonts w:hint="default"/>
                <w:color w:val="auto"/>
                <w:sz w:val="24"/>
                <w:szCs w:val="24"/>
                <w:highlight w:val="none"/>
                <w:lang w:val="en-US" w:eastAsia="zh-CN"/>
              </w:rPr>
              <w:t>质，风险物质数量与临界量比值Q按下式计算：</w:t>
            </w:r>
          </w:p>
          <w:p w14:paraId="261223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 w:val="24"/>
                <w:szCs w:val="24"/>
                <w:highlight w:val="none"/>
                <w:lang w:val="en-US" w:eastAsia="zh-CN"/>
              </w:rPr>
            </w:pPr>
            <w:r>
              <w:rPr>
                <w:rFonts w:hint="default"/>
                <w:color w:val="auto"/>
                <w:sz w:val="24"/>
                <w:szCs w:val="24"/>
                <w:highlight w:val="none"/>
                <w:lang w:val="en-US" w:eastAsia="zh-CN"/>
              </w:rPr>
              <w:t>当存在多种危险物质时，则按下式计算物质总量与其临界量比值（Q）。</w:t>
            </w:r>
          </w:p>
          <w:p w14:paraId="21929945">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2" w:firstLineChars="175"/>
              <w:jc w:val="center"/>
              <w:textAlignment w:val="auto"/>
              <w:rPr>
                <w:rFonts w:hint="default" w:hAnsi="Cambria Math" w:cs="Times New Roman"/>
                <w:b/>
                <w:bCs/>
                <w:i w:val="0"/>
                <w:color w:val="auto"/>
                <w:kern w:val="2"/>
                <w:sz w:val="24"/>
                <w:szCs w:val="24"/>
                <w:highlight w:val="none"/>
                <w:lang w:val="en-US" w:eastAsia="zh-CN" w:bidi="ar-SA"/>
              </w:rPr>
            </w:pPr>
            <w:r>
              <w:rPr>
                <w:rFonts w:hint="default" w:hAnsi="Cambria Math" w:cs="Times New Roman"/>
                <w:b/>
                <w:bCs/>
                <w:i w:val="0"/>
                <w:color w:val="auto"/>
                <w:kern w:val="2"/>
                <w:position w:val="-30"/>
                <w:sz w:val="24"/>
                <w:szCs w:val="24"/>
                <w:highlight w:val="none"/>
                <w:lang w:val="en-US" w:eastAsia="zh-CN" w:bidi="ar-SA"/>
              </w:rPr>
              <w:object>
                <v:shape id="_x0000_i1031" o:spt="75" type="#_x0000_t75" style="height:30.35pt;width:104.5pt;" o:ole="t" filled="f" o:preferrelative="t" stroked="f" coordsize="21600,21600">
                  <v:path/>
                  <v:fill on="f" focussize="0,0"/>
                  <v:stroke on="f"/>
                  <v:imagedata r:id="rId28" o:title=""/>
                  <o:lock v:ext="edit" aspectratio="t"/>
                  <w10:wrap type="none"/>
                  <w10:anchorlock/>
                </v:shape>
                <o:OLEObject Type="Embed" ProgID="Equation.KSEE3" ShapeID="_x0000_i1031" DrawAspect="Content" ObjectID="_1468075731" r:id="rId27">
                  <o:LockedField>false</o:LockedField>
                </o:OLEObject>
              </w:object>
            </w:r>
          </w:p>
          <w:p w14:paraId="3A07C192">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hAnsi="Cambria Math" w:cs="Times New Roman"/>
                <w:bCs w:val="0"/>
                <w:i w:val="0"/>
                <w:color w:val="auto"/>
                <w:kern w:val="2"/>
                <w:sz w:val="24"/>
                <w:szCs w:val="24"/>
                <w:highlight w:val="none"/>
                <w:lang w:val="en-US" w:eastAsia="zh-CN" w:bidi="ar-SA"/>
              </w:rPr>
            </w:pPr>
            <w:r>
              <w:rPr>
                <w:rFonts w:hint="eastAsia" w:hAnsi="Cambria Math" w:cs="Times New Roman"/>
                <w:bCs w:val="0"/>
                <w:i w:val="0"/>
                <w:color w:val="auto"/>
                <w:kern w:val="2"/>
                <w:sz w:val="24"/>
                <w:szCs w:val="24"/>
                <w:highlight w:val="none"/>
                <w:lang w:val="en-US" w:eastAsia="zh-CN" w:bidi="ar-SA"/>
              </w:rPr>
              <w:t>式中：q</w:t>
            </w:r>
            <w:r>
              <w:rPr>
                <w:rFonts w:hint="eastAsia" w:hAnsi="Cambria Math" w:cs="Times New Roman"/>
                <w:bCs w:val="0"/>
                <w:i w:val="0"/>
                <w:color w:val="auto"/>
                <w:kern w:val="2"/>
                <w:sz w:val="24"/>
                <w:szCs w:val="24"/>
                <w:highlight w:val="none"/>
                <w:vertAlign w:val="subscript"/>
                <w:lang w:val="en-US" w:eastAsia="zh-CN" w:bidi="ar-SA"/>
              </w:rPr>
              <w:t>1</w:t>
            </w:r>
            <w:r>
              <w:rPr>
                <w:rFonts w:hint="eastAsia" w:hAnsi="Cambria Math" w:cs="Times New Roman"/>
                <w:bCs w:val="0"/>
                <w:i w:val="0"/>
                <w:color w:val="auto"/>
                <w:kern w:val="2"/>
                <w:sz w:val="24"/>
                <w:szCs w:val="24"/>
                <w:highlight w:val="none"/>
                <w:lang w:val="en-US" w:eastAsia="zh-CN" w:bidi="ar-SA"/>
              </w:rPr>
              <w:t>，q</w:t>
            </w:r>
            <w:r>
              <w:rPr>
                <w:rFonts w:hint="eastAsia" w:hAnsi="Cambria Math" w:cs="Times New Roman"/>
                <w:bCs w:val="0"/>
                <w:i w:val="0"/>
                <w:color w:val="auto"/>
                <w:kern w:val="2"/>
                <w:sz w:val="24"/>
                <w:szCs w:val="24"/>
                <w:highlight w:val="none"/>
                <w:vertAlign w:val="subscript"/>
                <w:lang w:val="en-US" w:eastAsia="zh-CN" w:bidi="ar-SA"/>
              </w:rPr>
              <w:t>2</w:t>
            </w:r>
            <w:r>
              <w:rPr>
                <w:rFonts w:hint="eastAsia" w:hAnsi="Cambria Math" w:cs="Times New Roman"/>
                <w:bCs w:val="0"/>
                <w:i w:val="0"/>
                <w:color w:val="auto"/>
                <w:kern w:val="2"/>
                <w:sz w:val="24"/>
                <w:szCs w:val="24"/>
                <w:highlight w:val="none"/>
                <w:lang w:val="en-US" w:eastAsia="zh-CN" w:bidi="ar-SA"/>
              </w:rPr>
              <w:t>，......q</w:t>
            </w:r>
            <w:r>
              <w:rPr>
                <w:rFonts w:hint="eastAsia" w:hAnsi="Cambria Math" w:cs="Times New Roman"/>
                <w:bCs w:val="0"/>
                <w:i w:val="0"/>
                <w:color w:val="auto"/>
                <w:kern w:val="2"/>
                <w:sz w:val="24"/>
                <w:szCs w:val="24"/>
                <w:highlight w:val="none"/>
                <w:vertAlign w:val="subscript"/>
                <w:lang w:val="en-US" w:eastAsia="zh-CN" w:bidi="ar-SA"/>
              </w:rPr>
              <w:t>n</w:t>
            </w:r>
            <w:r>
              <w:rPr>
                <w:rFonts w:hint="eastAsia" w:hAnsi="Cambria Math" w:cs="Times New Roman"/>
                <w:bCs w:val="0"/>
                <w:i w:val="0"/>
                <w:color w:val="auto"/>
                <w:kern w:val="2"/>
                <w:sz w:val="24"/>
                <w:szCs w:val="24"/>
                <w:highlight w:val="none"/>
                <w:lang w:val="en-US" w:eastAsia="zh-CN" w:bidi="ar-SA"/>
              </w:rPr>
              <w:t>—每种危险物质的最大存在总量，t；</w:t>
            </w:r>
          </w:p>
          <w:p w14:paraId="14C3F298">
            <w:pPr>
              <w:pStyle w:val="25"/>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1058" w:firstLineChars="441"/>
              <w:jc w:val="both"/>
              <w:textAlignment w:val="auto"/>
              <w:rPr>
                <w:rFonts w:hint="eastAsia" w:hAnsi="Cambria Math" w:cs="Times New Roman"/>
                <w:bCs w:val="0"/>
                <w:i w:val="0"/>
                <w:color w:val="auto"/>
                <w:kern w:val="2"/>
                <w:sz w:val="24"/>
                <w:szCs w:val="24"/>
                <w:highlight w:val="none"/>
                <w:lang w:val="en-US" w:eastAsia="zh-CN" w:bidi="ar-SA"/>
              </w:rPr>
            </w:pPr>
            <w:r>
              <w:rPr>
                <w:rFonts w:hint="eastAsia" w:hAnsi="Cambria Math" w:cs="Times New Roman"/>
                <w:bCs w:val="0"/>
                <w:i w:val="0"/>
                <w:color w:val="auto"/>
                <w:kern w:val="2"/>
                <w:sz w:val="24"/>
                <w:szCs w:val="24"/>
                <w:highlight w:val="none"/>
                <w:lang w:val="en-US" w:eastAsia="zh-CN" w:bidi="ar-SA"/>
              </w:rPr>
              <w:t>Q</w:t>
            </w:r>
            <w:r>
              <w:rPr>
                <w:rFonts w:hint="eastAsia" w:hAnsi="Cambria Math" w:cs="Times New Roman"/>
                <w:bCs w:val="0"/>
                <w:i w:val="0"/>
                <w:color w:val="auto"/>
                <w:kern w:val="2"/>
                <w:sz w:val="24"/>
                <w:szCs w:val="24"/>
                <w:highlight w:val="none"/>
                <w:vertAlign w:val="subscript"/>
                <w:lang w:val="en-US" w:eastAsia="zh-CN" w:bidi="ar-SA"/>
              </w:rPr>
              <w:t>1</w:t>
            </w:r>
            <w:r>
              <w:rPr>
                <w:rFonts w:hint="eastAsia" w:hAnsi="Cambria Math" w:cs="Times New Roman"/>
                <w:bCs w:val="0"/>
                <w:i w:val="0"/>
                <w:color w:val="auto"/>
                <w:kern w:val="2"/>
                <w:sz w:val="24"/>
                <w:szCs w:val="24"/>
                <w:highlight w:val="none"/>
                <w:vertAlign w:val="baseline"/>
                <w:lang w:val="en-US" w:eastAsia="zh-CN" w:bidi="ar-SA"/>
              </w:rPr>
              <w:t>，</w:t>
            </w:r>
            <w:r>
              <w:rPr>
                <w:rFonts w:hint="eastAsia" w:hAnsi="Cambria Math" w:cs="Times New Roman"/>
                <w:bCs w:val="0"/>
                <w:i w:val="0"/>
                <w:color w:val="auto"/>
                <w:kern w:val="2"/>
                <w:sz w:val="24"/>
                <w:szCs w:val="24"/>
                <w:highlight w:val="none"/>
                <w:lang w:val="en-US" w:eastAsia="zh-CN" w:bidi="ar-SA"/>
              </w:rPr>
              <w:t>Q</w:t>
            </w:r>
            <w:r>
              <w:rPr>
                <w:rFonts w:hint="eastAsia" w:hAnsi="Cambria Math" w:cs="Times New Roman"/>
                <w:bCs w:val="0"/>
                <w:i w:val="0"/>
                <w:color w:val="auto"/>
                <w:kern w:val="2"/>
                <w:sz w:val="24"/>
                <w:szCs w:val="24"/>
                <w:highlight w:val="none"/>
                <w:vertAlign w:val="subscript"/>
                <w:lang w:val="en-US" w:eastAsia="zh-CN" w:bidi="ar-SA"/>
              </w:rPr>
              <w:t>2</w:t>
            </w:r>
            <w:r>
              <w:rPr>
                <w:rFonts w:hint="eastAsia" w:hAnsi="Cambria Math" w:cs="Times New Roman"/>
                <w:bCs w:val="0"/>
                <w:i w:val="0"/>
                <w:color w:val="auto"/>
                <w:kern w:val="2"/>
                <w:sz w:val="24"/>
                <w:szCs w:val="24"/>
                <w:highlight w:val="none"/>
                <w:vertAlign w:val="baseline"/>
                <w:lang w:val="en-US" w:eastAsia="zh-CN" w:bidi="ar-SA"/>
              </w:rPr>
              <w:t>，</w:t>
            </w:r>
            <w:r>
              <w:rPr>
                <w:rFonts w:hint="eastAsia" w:hAnsi="Cambria Math" w:cs="Times New Roman"/>
                <w:bCs w:val="0"/>
                <w:i w:val="0"/>
                <w:color w:val="auto"/>
                <w:kern w:val="2"/>
                <w:sz w:val="24"/>
                <w:szCs w:val="24"/>
                <w:highlight w:val="none"/>
                <w:lang w:val="en-US" w:eastAsia="zh-CN" w:bidi="ar-SA"/>
              </w:rPr>
              <w:t>......Q</w:t>
            </w:r>
            <w:r>
              <w:rPr>
                <w:rFonts w:hint="eastAsia" w:hAnsi="Cambria Math" w:cs="Times New Roman"/>
                <w:bCs w:val="0"/>
                <w:i w:val="0"/>
                <w:color w:val="auto"/>
                <w:kern w:val="2"/>
                <w:sz w:val="24"/>
                <w:szCs w:val="24"/>
                <w:highlight w:val="none"/>
                <w:vertAlign w:val="subscript"/>
                <w:lang w:val="en-US" w:eastAsia="zh-CN" w:bidi="ar-SA"/>
              </w:rPr>
              <w:t>n</w:t>
            </w:r>
            <w:r>
              <w:rPr>
                <w:rFonts w:hint="eastAsia" w:hAnsi="Cambria Math" w:cs="Times New Roman"/>
                <w:bCs w:val="0"/>
                <w:i w:val="0"/>
                <w:color w:val="auto"/>
                <w:kern w:val="2"/>
                <w:sz w:val="24"/>
                <w:szCs w:val="24"/>
                <w:highlight w:val="none"/>
                <w:lang w:val="en-US" w:eastAsia="zh-CN" w:bidi="ar-SA"/>
              </w:rPr>
              <w:t>—每种危险物质的临界量，t。</w:t>
            </w:r>
          </w:p>
          <w:p w14:paraId="0FF90D6A">
            <w:pPr>
              <w:pStyle w:val="25"/>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ind w:left="0" w:leftChars="0" w:firstLine="420" w:firstLineChars="175"/>
              <w:jc w:val="both"/>
              <w:textAlignment w:val="auto"/>
              <w:rPr>
                <w:rFonts w:hint="eastAsia" w:hAnsi="Cambria Math" w:cs="Times New Roman"/>
                <w:bCs w:val="0"/>
                <w:i w:val="0"/>
                <w:color w:val="auto"/>
                <w:kern w:val="2"/>
                <w:sz w:val="24"/>
                <w:szCs w:val="24"/>
                <w:highlight w:val="none"/>
                <w:lang w:val="en-US" w:eastAsia="zh-CN" w:bidi="ar-SA"/>
              </w:rPr>
            </w:pPr>
            <w:r>
              <w:rPr>
                <w:rFonts w:hint="eastAsia" w:hAnsi="Cambria Math" w:cs="Times New Roman"/>
                <w:bCs w:val="0"/>
                <w:i w:val="0"/>
                <w:color w:val="auto"/>
                <w:kern w:val="2"/>
                <w:sz w:val="24"/>
                <w:szCs w:val="24"/>
                <w:highlight w:val="none"/>
                <w:lang w:val="en-US" w:eastAsia="zh-CN" w:bidi="ar-SA"/>
              </w:rPr>
              <w:t>当Q≥1时，将Q值划分为：（1）1≤Q＜10；（2）10≤Q＜100；（3）Q≥100。</w:t>
            </w:r>
          </w:p>
          <w:p w14:paraId="725C93A7">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firstLine="480" w:firstLineChars="200"/>
              <w:jc w:val="both"/>
              <w:textAlignment w:val="auto"/>
              <w:rPr>
                <w:rFonts w:hint="eastAsia" w:cs="Times New Roman"/>
                <w:b w:val="0"/>
                <w:bCs w:val="0"/>
                <w:color w:val="auto"/>
                <w:kern w:val="2"/>
                <w:sz w:val="24"/>
                <w:szCs w:val="24"/>
                <w:highlight w:val="none"/>
                <w:lang w:val="en-US" w:eastAsia="zh-CN" w:bidi="ar-SA"/>
              </w:rPr>
            </w:pPr>
            <w:r>
              <w:rPr>
                <w:rFonts w:hint="eastAsia" w:cs="Times New Roman"/>
                <w:b w:val="0"/>
                <w:bCs w:val="0"/>
                <w:color w:val="auto"/>
                <w:kern w:val="2"/>
                <w:sz w:val="24"/>
                <w:szCs w:val="24"/>
                <w:highlight w:val="none"/>
                <w:lang w:val="en-US" w:eastAsia="zh-CN" w:bidi="ar-SA"/>
              </w:rPr>
              <w:t>根据建设单位提供的主要药剂清单，实验室风险识别及风险潜势判断见下表。</w:t>
            </w:r>
          </w:p>
          <w:p w14:paraId="54DB59EA">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表4-18 项目重大风险源识别表</w:t>
            </w:r>
          </w:p>
          <w:tbl>
            <w:tblPr>
              <w:tblStyle w:val="30"/>
              <w:tblW w:w="4999" w:type="pct"/>
              <w:tblInd w:w="-12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505"/>
              <w:gridCol w:w="1505"/>
              <w:gridCol w:w="1505"/>
              <w:gridCol w:w="1505"/>
              <w:gridCol w:w="1506"/>
            </w:tblGrid>
            <w:tr w14:paraId="7FDE10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10" w:hRule="atLeast"/>
              </w:trPr>
              <w:tc>
                <w:tcPr>
                  <w:tcW w:w="999" w:type="pct"/>
                  <w:tcBorders>
                    <w:tl2br w:val="nil"/>
                    <w:tr2bl w:val="nil"/>
                  </w:tcBorders>
                  <w:shd w:val="clear" w:color="auto" w:fill="auto"/>
                  <w:vAlign w:val="center"/>
                </w:tcPr>
                <w:p w14:paraId="7FA01E06">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危险物质名称</w:t>
                  </w:r>
                </w:p>
              </w:tc>
              <w:tc>
                <w:tcPr>
                  <w:tcW w:w="999" w:type="pct"/>
                  <w:tcBorders>
                    <w:tl2br w:val="nil"/>
                    <w:tr2bl w:val="nil"/>
                  </w:tcBorders>
                  <w:shd w:val="clear" w:color="auto" w:fill="auto"/>
                  <w:vAlign w:val="center"/>
                </w:tcPr>
                <w:p w14:paraId="4FB9D87A">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CAS</w:t>
                  </w:r>
                  <w:r>
                    <w:rPr>
                      <w:rFonts w:hint="eastAsia" w:ascii="宋体" w:hAnsi="宋体" w:eastAsia="宋体" w:cs="宋体"/>
                      <w:b/>
                      <w:bCs/>
                      <w:i w:val="0"/>
                      <w:iCs w:val="0"/>
                      <w:color w:val="auto"/>
                      <w:kern w:val="0"/>
                      <w:sz w:val="21"/>
                      <w:szCs w:val="21"/>
                      <w:highlight w:val="none"/>
                      <w:u w:val="none"/>
                      <w:lang w:val="en-US" w:eastAsia="zh-CN" w:bidi="ar"/>
                    </w:rPr>
                    <w:t>（号）</w:t>
                  </w:r>
                </w:p>
              </w:tc>
              <w:tc>
                <w:tcPr>
                  <w:tcW w:w="999" w:type="pct"/>
                  <w:tcBorders>
                    <w:tl2br w:val="nil"/>
                    <w:tr2bl w:val="nil"/>
                  </w:tcBorders>
                  <w:shd w:val="clear" w:color="auto" w:fill="auto"/>
                  <w:vAlign w:val="center"/>
                </w:tcPr>
                <w:p w14:paraId="67267AF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临界量（</w:t>
                  </w:r>
                  <w:r>
                    <w:rPr>
                      <w:rFonts w:hint="default" w:ascii="Times New Roman" w:hAnsi="Times New Roman" w:eastAsia="宋体" w:cs="Times New Roman"/>
                      <w:b/>
                      <w:bCs/>
                      <w:i w:val="0"/>
                      <w:iCs w:val="0"/>
                      <w:color w:val="auto"/>
                      <w:kern w:val="0"/>
                      <w:sz w:val="21"/>
                      <w:szCs w:val="21"/>
                      <w:highlight w:val="none"/>
                      <w:u w:val="none"/>
                      <w:lang w:val="en-US" w:eastAsia="zh-CN" w:bidi="ar"/>
                    </w:rPr>
                    <w:t>t</w:t>
                  </w:r>
                  <w:r>
                    <w:rPr>
                      <w:rFonts w:hint="eastAsia" w:ascii="宋体" w:hAnsi="宋体" w:eastAsia="宋体" w:cs="宋体"/>
                      <w:b/>
                      <w:bCs/>
                      <w:i w:val="0"/>
                      <w:iCs w:val="0"/>
                      <w:color w:val="auto"/>
                      <w:kern w:val="0"/>
                      <w:sz w:val="21"/>
                      <w:szCs w:val="21"/>
                      <w:highlight w:val="none"/>
                      <w:u w:val="none"/>
                      <w:lang w:val="en-US" w:eastAsia="zh-CN" w:bidi="ar"/>
                    </w:rPr>
                    <w:t>）</w:t>
                  </w:r>
                </w:p>
              </w:tc>
              <w:tc>
                <w:tcPr>
                  <w:tcW w:w="999" w:type="pct"/>
                  <w:tcBorders>
                    <w:tl2br w:val="nil"/>
                    <w:tr2bl w:val="nil"/>
                  </w:tcBorders>
                  <w:shd w:val="clear" w:color="auto" w:fill="auto"/>
                  <w:vAlign w:val="center"/>
                </w:tcPr>
                <w:p w14:paraId="64B90411">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项目最大存在量（</w:t>
                  </w:r>
                  <w:r>
                    <w:rPr>
                      <w:rFonts w:hint="default" w:ascii="Times New Roman" w:hAnsi="Times New Roman" w:eastAsia="宋体" w:cs="Times New Roman"/>
                      <w:b/>
                      <w:bCs/>
                      <w:i w:val="0"/>
                      <w:iCs w:val="0"/>
                      <w:color w:val="auto"/>
                      <w:kern w:val="0"/>
                      <w:sz w:val="21"/>
                      <w:szCs w:val="21"/>
                      <w:highlight w:val="none"/>
                      <w:u w:val="none"/>
                      <w:lang w:val="en-US" w:eastAsia="zh-CN" w:bidi="ar"/>
                    </w:rPr>
                    <w:t>t</w:t>
                  </w:r>
                  <w:r>
                    <w:rPr>
                      <w:rFonts w:hint="eastAsia" w:ascii="宋体" w:hAnsi="宋体" w:eastAsia="宋体" w:cs="宋体"/>
                      <w:b/>
                      <w:bCs/>
                      <w:i w:val="0"/>
                      <w:iCs w:val="0"/>
                      <w:color w:val="auto"/>
                      <w:kern w:val="0"/>
                      <w:sz w:val="21"/>
                      <w:szCs w:val="21"/>
                      <w:highlight w:val="none"/>
                      <w:u w:val="none"/>
                      <w:lang w:val="en-US" w:eastAsia="zh-CN" w:bidi="ar"/>
                    </w:rPr>
                    <w:t>）</w:t>
                  </w:r>
                </w:p>
              </w:tc>
              <w:tc>
                <w:tcPr>
                  <w:tcW w:w="1000" w:type="pct"/>
                  <w:tcBorders>
                    <w:tl2br w:val="nil"/>
                    <w:tr2bl w:val="nil"/>
                  </w:tcBorders>
                  <w:shd w:val="clear" w:color="auto" w:fill="auto"/>
                  <w:vAlign w:val="center"/>
                </w:tcPr>
                <w:p w14:paraId="08B37EF3">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Q</w:t>
                  </w:r>
                </w:p>
              </w:tc>
            </w:tr>
            <w:tr w14:paraId="5236D5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024B16B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石油醚</w:t>
                  </w:r>
                </w:p>
              </w:tc>
              <w:tc>
                <w:tcPr>
                  <w:tcW w:w="999" w:type="pct"/>
                  <w:tcBorders>
                    <w:tl2br w:val="nil"/>
                    <w:tr2bl w:val="nil"/>
                  </w:tcBorders>
                  <w:shd w:val="clear" w:color="auto" w:fill="auto"/>
                  <w:vAlign w:val="center"/>
                </w:tcPr>
                <w:p w14:paraId="2382E9D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8832-32-4</w:t>
                  </w:r>
                </w:p>
              </w:tc>
              <w:tc>
                <w:tcPr>
                  <w:tcW w:w="999" w:type="pct"/>
                  <w:tcBorders>
                    <w:tl2br w:val="nil"/>
                    <w:tr2bl w:val="nil"/>
                  </w:tcBorders>
                  <w:shd w:val="clear" w:color="auto" w:fill="auto"/>
                  <w:vAlign w:val="center"/>
                </w:tcPr>
                <w:p w14:paraId="3FB3679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99" w:type="pct"/>
                  <w:tcBorders>
                    <w:tl2br w:val="nil"/>
                    <w:tr2bl w:val="nil"/>
                  </w:tcBorders>
                  <w:shd w:val="clear" w:color="auto" w:fill="auto"/>
                  <w:vAlign w:val="center"/>
                </w:tcPr>
                <w:p w14:paraId="7BA011B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1000" w:type="pct"/>
                  <w:tcBorders>
                    <w:tl2br w:val="nil"/>
                    <w:tr2bl w:val="nil"/>
                  </w:tcBorders>
                  <w:shd w:val="clear" w:color="auto" w:fill="auto"/>
                  <w:vAlign w:val="center"/>
                </w:tcPr>
                <w:p w14:paraId="5DC1C35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r>
            <w:tr w14:paraId="7E91B8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2F22823E">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乙醇</w:t>
                  </w:r>
                </w:p>
              </w:tc>
              <w:tc>
                <w:tcPr>
                  <w:tcW w:w="999" w:type="pct"/>
                  <w:tcBorders>
                    <w:tl2br w:val="nil"/>
                    <w:tr2bl w:val="nil"/>
                  </w:tcBorders>
                  <w:shd w:val="clear" w:color="auto" w:fill="auto"/>
                  <w:vAlign w:val="center"/>
                </w:tcPr>
                <w:p w14:paraId="7695C0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64-17-5</w:t>
                  </w:r>
                </w:p>
              </w:tc>
              <w:tc>
                <w:tcPr>
                  <w:tcW w:w="999" w:type="pct"/>
                  <w:tcBorders>
                    <w:tl2br w:val="nil"/>
                    <w:tr2bl w:val="nil"/>
                  </w:tcBorders>
                  <w:shd w:val="clear" w:color="auto" w:fill="auto"/>
                  <w:vAlign w:val="center"/>
                </w:tcPr>
                <w:p w14:paraId="5D937D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500</w:t>
                  </w:r>
                </w:p>
              </w:tc>
              <w:tc>
                <w:tcPr>
                  <w:tcW w:w="999" w:type="pct"/>
                  <w:tcBorders>
                    <w:tl2br w:val="nil"/>
                    <w:tr2bl w:val="nil"/>
                  </w:tcBorders>
                  <w:shd w:val="clear" w:color="auto" w:fill="auto"/>
                  <w:vAlign w:val="center"/>
                </w:tcPr>
                <w:p w14:paraId="5B1C9A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w:t>
                  </w:r>
                </w:p>
              </w:tc>
              <w:tc>
                <w:tcPr>
                  <w:tcW w:w="1000" w:type="pct"/>
                  <w:tcBorders>
                    <w:tl2br w:val="nil"/>
                    <w:tr2bl w:val="nil"/>
                  </w:tcBorders>
                  <w:shd w:val="clear" w:color="auto" w:fill="auto"/>
                  <w:vAlign w:val="center"/>
                </w:tcPr>
                <w:p w14:paraId="56E46D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0.004</w:t>
                  </w:r>
                </w:p>
              </w:tc>
            </w:tr>
            <w:tr w14:paraId="6466ED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19D6964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正己烷</w:t>
                  </w:r>
                </w:p>
              </w:tc>
              <w:tc>
                <w:tcPr>
                  <w:tcW w:w="999" w:type="pct"/>
                  <w:tcBorders>
                    <w:tl2br w:val="nil"/>
                    <w:tr2bl w:val="nil"/>
                  </w:tcBorders>
                  <w:shd w:val="clear" w:color="auto" w:fill="auto"/>
                  <w:vAlign w:val="center"/>
                </w:tcPr>
                <w:p w14:paraId="39428E0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110-54-3</w:t>
                  </w:r>
                </w:p>
              </w:tc>
              <w:tc>
                <w:tcPr>
                  <w:tcW w:w="999" w:type="pct"/>
                  <w:tcBorders>
                    <w:tl2br w:val="nil"/>
                    <w:tr2bl w:val="nil"/>
                  </w:tcBorders>
                  <w:shd w:val="clear" w:color="auto" w:fill="auto"/>
                  <w:vAlign w:val="center"/>
                </w:tcPr>
                <w:p w14:paraId="1EA482E4">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99" w:type="pct"/>
                  <w:tcBorders>
                    <w:tl2br w:val="nil"/>
                    <w:tr2bl w:val="nil"/>
                  </w:tcBorders>
                  <w:shd w:val="clear" w:color="auto" w:fill="auto"/>
                  <w:vAlign w:val="center"/>
                </w:tcPr>
                <w:p w14:paraId="516FFD0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1000" w:type="pct"/>
                  <w:tcBorders>
                    <w:tl2br w:val="nil"/>
                    <w:tr2bl w:val="nil"/>
                  </w:tcBorders>
                  <w:shd w:val="clear" w:color="auto" w:fill="auto"/>
                  <w:vAlign w:val="center"/>
                </w:tcPr>
                <w:p w14:paraId="582DC9B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r>
            <w:tr w14:paraId="734E5B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7A83F22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乙酸乙酯</w:t>
                  </w:r>
                </w:p>
              </w:tc>
              <w:tc>
                <w:tcPr>
                  <w:tcW w:w="999" w:type="pct"/>
                  <w:tcBorders>
                    <w:tl2br w:val="nil"/>
                    <w:tr2bl w:val="nil"/>
                  </w:tcBorders>
                  <w:shd w:val="clear" w:color="auto" w:fill="auto"/>
                  <w:vAlign w:val="center"/>
                </w:tcPr>
                <w:p w14:paraId="1AC3181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141-78-6</w:t>
                  </w:r>
                </w:p>
              </w:tc>
              <w:tc>
                <w:tcPr>
                  <w:tcW w:w="999" w:type="pct"/>
                  <w:tcBorders>
                    <w:tl2br w:val="nil"/>
                    <w:tr2bl w:val="nil"/>
                  </w:tcBorders>
                  <w:shd w:val="clear" w:color="auto" w:fill="auto"/>
                  <w:vAlign w:val="center"/>
                </w:tcPr>
                <w:p w14:paraId="0FD5CE8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99" w:type="pct"/>
                  <w:tcBorders>
                    <w:tl2br w:val="nil"/>
                    <w:tr2bl w:val="nil"/>
                  </w:tcBorders>
                  <w:shd w:val="clear" w:color="auto" w:fill="auto"/>
                  <w:vAlign w:val="center"/>
                </w:tcPr>
                <w:p w14:paraId="195E91D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1000" w:type="pct"/>
                  <w:tcBorders>
                    <w:tl2br w:val="nil"/>
                    <w:tr2bl w:val="nil"/>
                  </w:tcBorders>
                  <w:shd w:val="clear" w:color="auto" w:fill="auto"/>
                  <w:vAlign w:val="center"/>
                </w:tcPr>
                <w:p w14:paraId="7AD7AF19">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r>
            <w:tr w14:paraId="7F7D93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199736A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二氯甲烷</w:t>
                  </w:r>
                </w:p>
              </w:tc>
              <w:tc>
                <w:tcPr>
                  <w:tcW w:w="999" w:type="pct"/>
                  <w:tcBorders>
                    <w:tl2br w:val="nil"/>
                    <w:tr2bl w:val="nil"/>
                  </w:tcBorders>
                  <w:shd w:val="clear" w:color="auto" w:fill="auto"/>
                  <w:vAlign w:val="center"/>
                </w:tcPr>
                <w:p w14:paraId="38F260C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75-09-2</w:t>
                  </w:r>
                </w:p>
              </w:tc>
              <w:tc>
                <w:tcPr>
                  <w:tcW w:w="999" w:type="pct"/>
                  <w:tcBorders>
                    <w:tl2br w:val="nil"/>
                    <w:tr2bl w:val="nil"/>
                  </w:tcBorders>
                  <w:shd w:val="clear" w:color="auto" w:fill="auto"/>
                  <w:vAlign w:val="center"/>
                </w:tcPr>
                <w:p w14:paraId="2DFCDFC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99" w:type="pct"/>
                  <w:tcBorders>
                    <w:tl2br w:val="nil"/>
                    <w:tr2bl w:val="nil"/>
                  </w:tcBorders>
                  <w:shd w:val="clear" w:color="auto" w:fill="auto"/>
                  <w:vAlign w:val="center"/>
                </w:tcPr>
                <w:p w14:paraId="1845D48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1000" w:type="pct"/>
                  <w:tcBorders>
                    <w:tl2br w:val="nil"/>
                    <w:tr2bl w:val="nil"/>
                  </w:tcBorders>
                  <w:shd w:val="clear" w:color="auto" w:fill="auto"/>
                  <w:vAlign w:val="center"/>
                </w:tcPr>
                <w:p w14:paraId="64C30A9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r>
            <w:tr w14:paraId="37C7A1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4C68CB9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甲酸</w:t>
                  </w:r>
                </w:p>
              </w:tc>
              <w:tc>
                <w:tcPr>
                  <w:tcW w:w="999" w:type="pct"/>
                  <w:tcBorders>
                    <w:tl2br w:val="nil"/>
                    <w:tr2bl w:val="nil"/>
                  </w:tcBorders>
                  <w:shd w:val="clear" w:color="auto" w:fill="auto"/>
                  <w:vAlign w:val="center"/>
                </w:tcPr>
                <w:p w14:paraId="69AB34C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64-18-6</w:t>
                  </w:r>
                </w:p>
              </w:tc>
              <w:tc>
                <w:tcPr>
                  <w:tcW w:w="999" w:type="pct"/>
                  <w:tcBorders>
                    <w:tl2br w:val="nil"/>
                    <w:tr2bl w:val="nil"/>
                  </w:tcBorders>
                  <w:shd w:val="clear" w:color="auto" w:fill="auto"/>
                  <w:vAlign w:val="center"/>
                </w:tcPr>
                <w:p w14:paraId="3CC48688">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999" w:type="pct"/>
                  <w:tcBorders>
                    <w:tl2br w:val="nil"/>
                    <w:tr2bl w:val="nil"/>
                  </w:tcBorders>
                  <w:shd w:val="clear" w:color="auto" w:fill="auto"/>
                  <w:vAlign w:val="center"/>
                </w:tcPr>
                <w:p w14:paraId="01D06D17">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0.03</w:t>
                  </w:r>
                </w:p>
              </w:tc>
              <w:tc>
                <w:tcPr>
                  <w:tcW w:w="1000" w:type="pct"/>
                  <w:tcBorders>
                    <w:tl2br w:val="nil"/>
                    <w:tr2bl w:val="nil"/>
                  </w:tcBorders>
                  <w:shd w:val="clear" w:color="auto" w:fill="auto"/>
                  <w:vAlign w:val="center"/>
                </w:tcPr>
                <w:p w14:paraId="23889D1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0.003</w:t>
                  </w:r>
                </w:p>
              </w:tc>
            </w:tr>
            <w:tr w14:paraId="24AFF1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791B557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三溴化硼</w:t>
                  </w:r>
                </w:p>
              </w:tc>
              <w:tc>
                <w:tcPr>
                  <w:tcW w:w="999" w:type="pct"/>
                  <w:tcBorders>
                    <w:tl2br w:val="nil"/>
                    <w:tr2bl w:val="nil"/>
                  </w:tcBorders>
                  <w:shd w:val="clear" w:color="auto" w:fill="auto"/>
                  <w:vAlign w:val="center"/>
                </w:tcPr>
                <w:p w14:paraId="36126BC2">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10294-33-4</w:t>
                  </w:r>
                </w:p>
              </w:tc>
              <w:tc>
                <w:tcPr>
                  <w:tcW w:w="999" w:type="pct"/>
                  <w:tcBorders>
                    <w:tl2br w:val="nil"/>
                    <w:tr2bl w:val="nil"/>
                  </w:tcBorders>
                  <w:shd w:val="clear" w:color="auto" w:fill="auto"/>
                  <w:vAlign w:val="center"/>
                </w:tcPr>
                <w:p w14:paraId="6DDCC57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999" w:type="pct"/>
                  <w:tcBorders>
                    <w:tl2br w:val="nil"/>
                    <w:tr2bl w:val="nil"/>
                  </w:tcBorders>
                  <w:shd w:val="clear" w:color="auto" w:fill="auto"/>
                  <w:vAlign w:val="center"/>
                </w:tcPr>
                <w:p w14:paraId="52B6425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c>
                <w:tcPr>
                  <w:tcW w:w="1000" w:type="pct"/>
                  <w:tcBorders>
                    <w:tl2br w:val="nil"/>
                    <w:tr2bl w:val="nil"/>
                  </w:tcBorders>
                  <w:shd w:val="clear" w:color="auto" w:fill="auto"/>
                  <w:vAlign w:val="center"/>
                </w:tcPr>
                <w:p w14:paraId="300C3E0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0.004</w:t>
                  </w:r>
                </w:p>
              </w:tc>
            </w:tr>
            <w:tr w14:paraId="362325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46BBFC80">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盐</w:t>
                  </w:r>
                  <w:r>
                    <w:rPr>
                      <w:rFonts w:hint="default" w:ascii="Times New Roman" w:hAnsi="Times New Roman" w:cs="Times New Roman"/>
                      <w:i w:val="0"/>
                      <w:iCs w:val="0"/>
                      <w:color w:val="auto"/>
                      <w:kern w:val="0"/>
                      <w:sz w:val="21"/>
                      <w:szCs w:val="21"/>
                      <w:highlight w:val="none"/>
                      <w:u w:val="none"/>
                      <w:lang w:val="en-US" w:eastAsia="zh-CN" w:bidi="ar"/>
                    </w:rPr>
                    <w:t>酸</w:t>
                  </w:r>
                </w:p>
              </w:tc>
              <w:tc>
                <w:tcPr>
                  <w:tcW w:w="999" w:type="pct"/>
                  <w:tcBorders>
                    <w:tl2br w:val="nil"/>
                    <w:tr2bl w:val="nil"/>
                  </w:tcBorders>
                  <w:shd w:val="clear" w:color="auto" w:fill="auto"/>
                  <w:vAlign w:val="center"/>
                </w:tcPr>
                <w:p w14:paraId="158F4A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7647-01-2</w:t>
                  </w:r>
                </w:p>
              </w:tc>
              <w:tc>
                <w:tcPr>
                  <w:tcW w:w="999" w:type="pct"/>
                  <w:tcBorders>
                    <w:tl2br w:val="nil"/>
                    <w:tr2bl w:val="nil"/>
                  </w:tcBorders>
                  <w:shd w:val="clear" w:color="auto" w:fill="auto"/>
                  <w:vAlign w:val="center"/>
                </w:tcPr>
                <w:p w14:paraId="1923AB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7.5</w:t>
                  </w:r>
                </w:p>
              </w:tc>
              <w:tc>
                <w:tcPr>
                  <w:tcW w:w="999" w:type="pct"/>
                  <w:tcBorders>
                    <w:tl2br w:val="nil"/>
                    <w:tr2bl w:val="nil"/>
                  </w:tcBorders>
                  <w:shd w:val="clear" w:color="auto" w:fill="auto"/>
                  <w:vAlign w:val="center"/>
                </w:tcPr>
                <w:p w14:paraId="70CB3F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0.05</w:t>
                  </w:r>
                </w:p>
              </w:tc>
              <w:tc>
                <w:tcPr>
                  <w:tcW w:w="1000" w:type="pct"/>
                  <w:tcBorders>
                    <w:tl2br w:val="nil"/>
                    <w:tr2bl w:val="nil"/>
                  </w:tcBorders>
                  <w:shd w:val="clear" w:color="auto" w:fill="auto"/>
                  <w:vAlign w:val="top"/>
                </w:tcPr>
                <w:p w14:paraId="0BD681F3">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olor w:val="000000"/>
                      <w:sz w:val="21"/>
                      <w:szCs w:val="24"/>
                      <w:lang w:val="en-US" w:eastAsia="zh-CN"/>
                    </w:rPr>
                    <w:t>0.0</w:t>
                  </w:r>
                  <w:r>
                    <w:rPr>
                      <w:rFonts w:hint="eastAsia"/>
                      <w:color w:val="000000"/>
                      <w:sz w:val="21"/>
                      <w:szCs w:val="24"/>
                      <w:lang w:val="en-US" w:eastAsia="zh-CN"/>
                    </w:rPr>
                    <w:t>0</w:t>
                  </w:r>
                  <w:r>
                    <w:rPr>
                      <w:rFonts w:hint="eastAsia" w:eastAsia="宋体"/>
                      <w:color w:val="000000"/>
                      <w:sz w:val="21"/>
                      <w:szCs w:val="24"/>
                      <w:lang w:val="en-US" w:eastAsia="zh-CN"/>
                    </w:rPr>
                    <w:t>67</w:t>
                  </w:r>
                </w:p>
              </w:tc>
            </w:tr>
            <w:tr w14:paraId="17F0C0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1E2001F2">
                  <w:pPr>
                    <w:keepNext w:val="0"/>
                    <w:keepLines w:val="0"/>
                    <w:widowControl/>
                    <w:suppressLineNumbers w:val="0"/>
                    <w:jc w:val="center"/>
                    <w:textAlignment w:val="center"/>
                    <w:rPr>
                      <w:rFonts w:hint="default"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硝酸</w:t>
                  </w:r>
                </w:p>
              </w:tc>
              <w:tc>
                <w:tcPr>
                  <w:tcW w:w="999" w:type="pct"/>
                  <w:tcBorders>
                    <w:tl2br w:val="nil"/>
                    <w:tr2bl w:val="nil"/>
                  </w:tcBorders>
                  <w:shd w:val="clear" w:color="auto" w:fill="auto"/>
                  <w:vAlign w:val="center"/>
                </w:tcPr>
                <w:p w14:paraId="1241F0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7697-37-2</w:t>
                  </w:r>
                </w:p>
              </w:tc>
              <w:tc>
                <w:tcPr>
                  <w:tcW w:w="999" w:type="pct"/>
                  <w:tcBorders>
                    <w:tl2br w:val="nil"/>
                    <w:tr2bl w:val="nil"/>
                  </w:tcBorders>
                  <w:shd w:val="clear" w:color="auto" w:fill="auto"/>
                  <w:vAlign w:val="center"/>
                </w:tcPr>
                <w:p w14:paraId="0D34A5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7.5</w:t>
                  </w:r>
                </w:p>
              </w:tc>
              <w:tc>
                <w:tcPr>
                  <w:tcW w:w="999" w:type="pct"/>
                  <w:tcBorders>
                    <w:tl2br w:val="nil"/>
                    <w:tr2bl w:val="nil"/>
                  </w:tcBorders>
                  <w:shd w:val="clear" w:color="auto" w:fill="auto"/>
                  <w:vAlign w:val="center"/>
                </w:tcPr>
                <w:p w14:paraId="6A9075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0.05</w:t>
                  </w:r>
                </w:p>
              </w:tc>
              <w:tc>
                <w:tcPr>
                  <w:tcW w:w="1000" w:type="pct"/>
                  <w:tcBorders>
                    <w:tl2br w:val="nil"/>
                    <w:tr2bl w:val="nil"/>
                  </w:tcBorders>
                  <w:shd w:val="clear" w:color="auto" w:fill="auto"/>
                  <w:vAlign w:val="top"/>
                </w:tcPr>
                <w:p w14:paraId="01C22A7C">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Times New Roman"/>
                      <w:color w:val="000000"/>
                      <w:sz w:val="21"/>
                      <w:szCs w:val="24"/>
                    </w:rPr>
                    <w:t xml:space="preserve">0.0067 </w:t>
                  </w:r>
                </w:p>
              </w:tc>
            </w:tr>
            <w:tr w14:paraId="52D256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5080B117">
                  <w:pPr>
                    <w:keepNext w:val="0"/>
                    <w:keepLines w:val="0"/>
                    <w:widowControl/>
                    <w:suppressLineNumbers w:val="0"/>
                    <w:jc w:val="center"/>
                    <w:textAlignment w:val="center"/>
                    <w:rPr>
                      <w:rFonts w:hint="default"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氰化钠</w:t>
                  </w:r>
                </w:p>
              </w:tc>
              <w:tc>
                <w:tcPr>
                  <w:tcW w:w="999" w:type="pct"/>
                  <w:tcBorders>
                    <w:tl2br w:val="nil"/>
                    <w:tr2bl w:val="nil"/>
                  </w:tcBorders>
                  <w:shd w:val="clear" w:color="auto" w:fill="auto"/>
                  <w:vAlign w:val="center"/>
                </w:tcPr>
                <w:p w14:paraId="009E0BCF">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143-33-9</w:t>
                  </w:r>
                </w:p>
              </w:tc>
              <w:tc>
                <w:tcPr>
                  <w:tcW w:w="999" w:type="pct"/>
                  <w:tcBorders>
                    <w:tl2br w:val="nil"/>
                    <w:tr2bl w:val="nil"/>
                  </w:tcBorders>
                  <w:shd w:val="clear" w:color="auto" w:fill="auto"/>
                  <w:vAlign w:val="center"/>
                </w:tcPr>
                <w:p w14:paraId="75FDA12C">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999" w:type="pct"/>
                  <w:tcBorders>
                    <w:tl2br w:val="nil"/>
                    <w:tr2bl w:val="nil"/>
                  </w:tcBorders>
                  <w:shd w:val="clear" w:color="auto" w:fill="auto"/>
                  <w:vAlign w:val="center"/>
                </w:tcPr>
                <w:p w14:paraId="0C861411">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0.001</w:t>
                  </w:r>
                </w:p>
              </w:tc>
              <w:tc>
                <w:tcPr>
                  <w:tcW w:w="1000" w:type="pct"/>
                  <w:tcBorders>
                    <w:tl2br w:val="nil"/>
                    <w:tr2bl w:val="nil"/>
                  </w:tcBorders>
                  <w:shd w:val="clear" w:color="auto" w:fill="auto"/>
                  <w:vAlign w:val="top"/>
                </w:tcPr>
                <w:p w14:paraId="0F8E5277">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Times New Roman"/>
                      <w:color w:val="000000"/>
                      <w:sz w:val="21"/>
                      <w:szCs w:val="24"/>
                    </w:rPr>
                    <w:t>0.001</w:t>
                  </w:r>
                </w:p>
              </w:tc>
            </w:tr>
            <w:tr w14:paraId="727FCD6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4F42133D">
                  <w:pPr>
                    <w:keepNext w:val="0"/>
                    <w:keepLines w:val="0"/>
                    <w:widowControl/>
                    <w:suppressLineNumbers w:val="0"/>
                    <w:jc w:val="center"/>
                    <w:textAlignment w:val="center"/>
                    <w:rPr>
                      <w:rFonts w:hint="eastAsia" w:ascii="宋体" w:hAnsi="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丙酮氰醇</w:t>
                  </w:r>
                </w:p>
              </w:tc>
              <w:tc>
                <w:tcPr>
                  <w:tcW w:w="999" w:type="pct"/>
                  <w:tcBorders>
                    <w:tl2br w:val="nil"/>
                    <w:tr2bl w:val="nil"/>
                  </w:tcBorders>
                  <w:shd w:val="clear" w:color="auto" w:fill="auto"/>
                  <w:vAlign w:val="center"/>
                </w:tcPr>
                <w:p w14:paraId="07E7935E">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75-86-5</w:t>
                  </w:r>
                </w:p>
              </w:tc>
              <w:tc>
                <w:tcPr>
                  <w:tcW w:w="999" w:type="pct"/>
                  <w:tcBorders>
                    <w:tl2br w:val="nil"/>
                    <w:tr2bl w:val="nil"/>
                  </w:tcBorders>
                  <w:shd w:val="clear" w:color="auto" w:fill="auto"/>
                  <w:vAlign w:val="center"/>
                </w:tcPr>
                <w:p w14:paraId="3405A0C4">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2.5</w:t>
                  </w:r>
                </w:p>
              </w:tc>
              <w:tc>
                <w:tcPr>
                  <w:tcW w:w="999" w:type="pct"/>
                  <w:tcBorders>
                    <w:tl2br w:val="nil"/>
                    <w:tr2bl w:val="nil"/>
                  </w:tcBorders>
                  <w:shd w:val="clear" w:color="auto" w:fill="auto"/>
                  <w:vAlign w:val="center"/>
                </w:tcPr>
                <w:p w14:paraId="1ED31F4E">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0.02</w:t>
                  </w:r>
                </w:p>
              </w:tc>
              <w:tc>
                <w:tcPr>
                  <w:tcW w:w="1000" w:type="pct"/>
                  <w:tcBorders>
                    <w:tl2br w:val="nil"/>
                    <w:tr2bl w:val="nil"/>
                  </w:tcBorders>
                  <w:shd w:val="clear" w:color="auto" w:fill="auto"/>
                  <w:vAlign w:val="top"/>
                </w:tcPr>
                <w:p w14:paraId="4560A026">
                  <w:pPr>
                    <w:keepNext w:val="0"/>
                    <w:keepLines w:val="0"/>
                    <w:widowControl/>
                    <w:suppressLineNumbers w:val="0"/>
                    <w:spacing w:beforeLines="0" w:afterLine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Times New Roman"/>
                      <w:color w:val="000000"/>
                      <w:sz w:val="21"/>
                      <w:szCs w:val="24"/>
                    </w:rPr>
                    <w:t>0.008</w:t>
                  </w:r>
                </w:p>
              </w:tc>
            </w:tr>
            <w:tr w14:paraId="603C5F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trPr>
              <w:tc>
                <w:tcPr>
                  <w:tcW w:w="999" w:type="pct"/>
                  <w:tcBorders>
                    <w:tl2br w:val="nil"/>
                    <w:tr2bl w:val="nil"/>
                  </w:tcBorders>
                  <w:shd w:val="clear" w:color="auto" w:fill="auto"/>
                  <w:vAlign w:val="center"/>
                </w:tcPr>
                <w:p w14:paraId="4B3E258C">
                  <w:pPr>
                    <w:keepNext w:val="0"/>
                    <w:keepLines w:val="0"/>
                    <w:widowControl/>
                    <w:suppressLineNumbers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cs="宋体"/>
                      <w:i w:val="0"/>
                      <w:iCs w:val="0"/>
                      <w:color w:val="auto"/>
                      <w:kern w:val="0"/>
                      <w:sz w:val="21"/>
                      <w:szCs w:val="21"/>
                      <w:highlight w:val="none"/>
                      <w:u w:val="none"/>
                      <w:lang w:val="en-US" w:eastAsia="zh-CN" w:bidi="ar"/>
                    </w:rPr>
                    <w:t>实验废液</w:t>
                  </w:r>
                </w:p>
              </w:tc>
              <w:tc>
                <w:tcPr>
                  <w:tcW w:w="999" w:type="pct"/>
                  <w:tcBorders>
                    <w:tl2br w:val="nil"/>
                    <w:tr2bl w:val="nil"/>
                  </w:tcBorders>
                  <w:shd w:val="clear" w:color="auto" w:fill="auto"/>
                  <w:vAlign w:val="center"/>
                </w:tcPr>
                <w:p w14:paraId="3318EA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c>
                <w:tcPr>
                  <w:tcW w:w="999" w:type="pct"/>
                  <w:tcBorders>
                    <w:tl2br w:val="nil"/>
                    <w:tr2bl w:val="nil"/>
                  </w:tcBorders>
                  <w:shd w:val="clear" w:color="auto" w:fill="auto"/>
                  <w:vAlign w:val="center"/>
                </w:tcPr>
                <w:p w14:paraId="68733F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50</w:t>
                  </w:r>
                </w:p>
              </w:tc>
              <w:tc>
                <w:tcPr>
                  <w:tcW w:w="999" w:type="pct"/>
                  <w:tcBorders>
                    <w:tl2br w:val="nil"/>
                    <w:tr2bl w:val="nil"/>
                  </w:tcBorders>
                  <w:shd w:val="clear" w:color="auto" w:fill="auto"/>
                  <w:vAlign w:val="center"/>
                </w:tcPr>
                <w:p w14:paraId="02DDAC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w:t>
                  </w:r>
                </w:p>
              </w:tc>
              <w:tc>
                <w:tcPr>
                  <w:tcW w:w="1000" w:type="pct"/>
                  <w:tcBorders>
                    <w:tl2br w:val="nil"/>
                    <w:tr2bl w:val="nil"/>
                  </w:tcBorders>
                  <w:shd w:val="clear" w:color="auto" w:fill="auto"/>
                  <w:vAlign w:val="center"/>
                </w:tcPr>
                <w:p w14:paraId="590801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0.4</w:t>
                  </w:r>
                </w:p>
              </w:tc>
            </w:tr>
            <w:tr w14:paraId="44BB87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trPr>
              <w:tc>
                <w:tcPr>
                  <w:tcW w:w="3999" w:type="pct"/>
                  <w:gridSpan w:val="4"/>
                  <w:tcBorders>
                    <w:tl2br w:val="nil"/>
                    <w:tr2bl w:val="nil"/>
                  </w:tcBorders>
                  <w:shd w:val="clear" w:color="auto" w:fill="auto"/>
                  <w:vAlign w:val="center"/>
                </w:tcPr>
                <w:p w14:paraId="3817373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合计</w:t>
                  </w:r>
                </w:p>
              </w:tc>
              <w:tc>
                <w:tcPr>
                  <w:tcW w:w="1000" w:type="pct"/>
                  <w:tcBorders>
                    <w:tl2br w:val="nil"/>
                    <w:tr2bl w:val="nil"/>
                  </w:tcBorders>
                  <w:shd w:val="clear" w:color="auto" w:fill="auto"/>
                  <w:vAlign w:val="center"/>
                </w:tcPr>
                <w:p w14:paraId="7572DAC3">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lang w:val="en-US"/>
                    </w:rPr>
                  </w:pPr>
                  <w:r>
                    <w:rPr>
                      <w:rFonts w:hint="eastAsia" w:cs="Times New Roman"/>
                      <w:i w:val="0"/>
                      <w:iCs w:val="0"/>
                      <w:color w:val="auto"/>
                      <w:kern w:val="0"/>
                      <w:sz w:val="21"/>
                      <w:szCs w:val="21"/>
                      <w:highlight w:val="none"/>
                      <w:u w:val="none"/>
                      <w:lang w:val="en-US" w:eastAsia="zh-CN" w:bidi="ar"/>
                    </w:rPr>
                    <w:t>0.51</w:t>
                  </w:r>
                </w:p>
              </w:tc>
            </w:tr>
          </w:tbl>
          <w:p w14:paraId="5C2369F6">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eastAsia" w:cs="Times New Roman"/>
                <w:b/>
                <w:bCs/>
                <w:color w:val="auto"/>
                <w:kern w:val="2"/>
                <w:sz w:val="24"/>
                <w:szCs w:val="24"/>
                <w:highlight w:val="none"/>
                <w:lang w:val="en-US" w:eastAsia="zh-CN" w:bidi="ar-SA"/>
              </w:rPr>
            </w:pPr>
          </w:p>
          <w:p w14:paraId="14FC9F24">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经计算，Q=</w:t>
            </w:r>
            <w:r>
              <w:rPr>
                <w:rFonts w:hint="eastAsia" w:cs="Times New Roman"/>
                <w:color w:val="auto"/>
                <w:sz w:val="24"/>
                <w:szCs w:val="24"/>
                <w:highlight w:val="none"/>
                <w:lang w:val="en-US" w:eastAsia="zh-CN"/>
              </w:rPr>
              <w:t>0.51</w:t>
            </w:r>
            <w:r>
              <w:rPr>
                <w:rFonts w:hint="default" w:ascii="Times New Roman" w:hAnsi="Times New Roman" w:eastAsia="宋体" w:cs="Times New Roman"/>
                <w:color w:val="auto"/>
                <w:sz w:val="24"/>
                <w:szCs w:val="24"/>
                <w:highlight w:val="none"/>
                <w:lang w:val="en-US" w:eastAsia="zh-CN"/>
              </w:rPr>
              <w:t>＜1，</w:t>
            </w:r>
            <w:r>
              <w:rPr>
                <w:rFonts w:hint="default"/>
                <w:color w:val="auto"/>
                <w:sz w:val="24"/>
                <w:highlight w:val="none"/>
              </w:rPr>
              <w:t>环境风险潜势判定为I。根据《建设项目环境风险评价技术导则》（HJ169-2018）表 1 评价工作等级划分可知，本项目评价工作只需简单分析。</w:t>
            </w:r>
          </w:p>
          <w:p w14:paraId="3ACA115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0000FF"/>
                <w:sz w:val="24"/>
                <w:szCs w:val="24"/>
                <w:highlight w:val="none"/>
                <w:lang w:val="en-US" w:eastAsia="zh-CN"/>
              </w:rPr>
            </w:pPr>
            <w:r>
              <w:rPr>
                <w:rFonts w:hint="default" w:ascii="Times New Roman" w:hAnsi="Times New Roman" w:cs="Times New Roman"/>
                <w:b/>
                <w:bCs/>
                <w:color w:val="0000FF"/>
                <w:sz w:val="24"/>
                <w:szCs w:val="24"/>
                <w:highlight w:val="none"/>
                <w:lang w:val="en-US" w:eastAsia="zh-CN"/>
              </w:rPr>
              <w:t>（2）风险识别</w:t>
            </w:r>
          </w:p>
          <w:p w14:paraId="17590C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color w:val="0000FF"/>
                <w:sz w:val="24"/>
                <w:highlight w:val="none"/>
              </w:rPr>
              <w:t>根据项目生产设施风险识别和生产过程所涉及的物质风险识别，本项目存在的环境风险事故类型主要是危险化学品泄漏、环保设施故障而造成废气、废水超标排放以及火灾、爆炸风险险等。因此项目可能影响的环境途径包括：火 灾、爆炸和泄漏事故，其主要污染环境要素为水环境和环境空气。</w:t>
            </w:r>
          </w:p>
          <w:p w14:paraId="6CDF9E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ascii="Times New Roman" w:hAnsi="Times New Roman" w:cs="Times New Roman"/>
                <w:color w:val="0000FF"/>
                <w:sz w:val="24"/>
                <w:szCs w:val="24"/>
                <w:highlight w:val="none"/>
                <w:lang w:val="en-US" w:eastAsia="zh-CN"/>
              </w:rPr>
              <w:t xml:space="preserve">（3）环境风险防范措施 </w:t>
            </w:r>
          </w:p>
          <w:p w14:paraId="43257B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ascii="Times New Roman" w:hAnsi="Times New Roman" w:cs="Times New Roman"/>
                <w:color w:val="0000FF"/>
                <w:sz w:val="24"/>
                <w:szCs w:val="24"/>
                <w:highlight w:val="none"/>
                <w:lang w:val="en-US" w:eastAsia="zh-CN"/>
              </w:rPr>
              <w:t>项目企业采取以下风险防范措施，将环境风险降至最低</w:t>
            </w:r>
            <w:r>
              <w:rPr>
                <w:rFonts w:hint="eastAsia" w:cs="Times New Roman"/>
                <w:color w:val="0000FF"/>
                <w:sz w:val="24"/>
                <w:szCs w:val="24"/>
                <w:highlight w:val="none"/>
                <w:lang w:val="en-US" w:eastAsia="zh-CN"/>
              </w:rPr>
              <w:t>：</w:t>
            </w:r>
          </w:p>
          <w:p w14:paraId="4162AB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color w:val="0000FF"/>
                <w:sz w:val="24"/>
                <w:highlight w:val="none"/>
              </w:rPr>
            </w:pPr>
            <w:r>
              <w:rPr>
                <w:rFonts w:hint="eastAsia" w:ascii="微软雅黑" w:hAnsi="微软雅黑" w:eastAsia="微软雅黑" w:cs="微软雅黑"/>
                <w:b/>
                <w:bCs/>
                <w:color w:val="0000FF"/>
                <w:sz w:val="24"/>
                <w:szCs w:val="24"/>
                <w:highlight w:val="none"/>
                <w:lang w:val="en-US" w:eastAsia="zh-CN"/>
              </w:rPr>
              <w:t>①</w:t>
            </w:r>
            <w:r>
              <w:rPr>
                <w:rFonts w:hint="eastAsia"/>
                <w:b/>
                <w:bCs/>
                <w:color w:val="0000FF"/>
                <w:sz w:val="24"/>
                <w:highlight w:val="none"/>
              </w:rPr>
              <w:t>火灾事故防范措施</w:t>
            </w:r>
          </w:p>
          <w:p w14:paraId="1C8DBA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根据现场调查， 目前厂区内已有的火灾爆炸事故风险防范措施包括：</w:t>
            </w:r>
          </w:p>
          <w:p w14:paraId="45ED00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FF"/>
                <w:sz w:val="24"/>
                <w:highlight w:val="none"/>
              </w:rPr>
            </w:pPr>
            <w:r>
              <w:rPr>
                <w:rFonts w:hint="eastAsia"/>
                <w:color w:val="0000FF"/>
                <w:sz w:val="24"/>
                <w:highlight w:val="none"/>
                <w:lang w:val="en-US" w:eastAsia="zh-CN"/>
              </w:rPr>
              <w:t>A.</w:t>
            </w:r>
            <w:r>
              <w:rPr>
                <w:rFonts w:hint="eastAsia"/>
                <w:color w:val="0000FF"/>
                <w:sz w:val="24"/>
                <w:highlight w:val="none"/>
              </w:rPr>
              <w:t>企业总平面布置已严格遵守国家颁布的有关防火和安全等方面规范和规定，实验室等与办公区分离，并设置明显的标志。</w:t>
            </w:r>
          </w:p>
          <w:p w14:paraId="508323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lang w:val="en-US" w:eastAsia="zh-CN"/>
              </w:rPr>
              <w:t>B.</w:t>
            </w:r>
            <w:r>
              <w:rPr>
                <w:rFonts w:hint="eastAsia" w:ascii="Times New Roman" w:hAnsi="Times New Roman" w:eastAsia="宋体" w:cs="Times New Roman"/>
                <w:color w:val="0000FF"/>
                <w:sz w:val="24"/>
                <w:highlight w:val="none"/>
              </w:rPr>
              <w:t>设置火灾报警系统。在实验室设置可燃气体探测器、火灾报警系统，系统 用于监控生产装置的火情，以实现对火灾的早期报警。</w:t>
            </w:r>
          </w:p>
          <w:p w14:paraId="2FDBB1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FF"/>
                <w:sz w:val="24"/>
                <w:highlight w:val="none"/>
                <w:lang w:eastAsia="zh-CN"/>
              </w:rPr>
            </w:pPr>
            <w:r>
              <w:rPr>
                <w:rFonts w:hint="eastAsia" w:ascii="Times New Roman" w:hAnsi="Times New Roman" w:eastAsia="宋体" w:cs="Times New Roman"/>
                <w:color w:val="0000FF"/>
                <w:sz w:val="24"/>
                <w:highlight w:val="none"/>
                <w:lang w:val="en-US" w:eastAsia="zh-CN"/>
              </w:rPr>
              <w:t>C.</w:t>
            </w:r>
            <w:r>
              <w:rPr>
                <w:rFonts w:hint="eastAsia" w:ascii="Times New Roman" w:hAnsi="Times New Roman" w:eastAsia="宋体" w:cs="Times New Roman"/>
                <w:color w:val="0000FF"/>
                <w:sz w:val="24"/>
                <w:highlight w:val="none"/>
              </w:rPr>
              <w:t>设置消防器材。</w:t>
            </w:r>
            <w:r>
              <w:rPr>
                <w:rFonts w:hint="eastAsia" w:ascii="Times New Roman" w:hAnsi="Times New Roman" w:eastAsia="宋体" w:cs="Times New Roman"/>
                <w:color w:val="0000FF"/>
                <w:sz w:val="24"/>
                <w:highlight w:val="none"/>
                <w:lang w:val="en-US" w:eastAsia="zh-CN"/>
              </w:rPr>
              <w:t>各区域</w:t>
            </w:r>
            <w:r>
              <w:rPr>
                <w:rFonts w:hint="eastAsia" w:ascii="Times New Roman" w:hAnsi="Times New Roman" w:eastAsia="宋体" w:cs="Times New Roman"/>
                <w:color w:val="0000FF"/>
                <w:sz w:val="24"/>
                <w:highlight w:val="none"/>
              </w:rPr>
              <w:t>设置有足够的消防器材</w:t>
            </w:r>
            <w:r>
              <w:rPr>
                <w:rFonts w:hint="eastAsia" w:ascii="Times New Roman" w:hAnsi="Times New Roman" w:eastAsia="宋体" w:cs="Times New Roman"/>
                <w:color w:val="0000FF"/>
                <w:sz w:val="24"/>
                <w:highlight w:val="none"/>
                <w:lang w:eastAsia="zh-CN"/>
              </w:rPr>
              <w:t>。</w:t>
            </w:r>
          </w:p>
          <w:p w14:paraId="654FF695">
            <w:pPr>
              <w:spacing w:before="0" w:line="360" w:lineRule="auto"/>
              <w:ind w:left="0" w:firstLine="482" w:firstLineChars="200"/>
              <w:rPr>
                <w:rFonts w:hint="eastAsia" w:ascii="Times New Roman" w:hAnsi="Times New Roman" w:eastAsia="宋体" w:cs="Times New Roman"/>
                <w:b/>
                <w:bCs/>
                <w:color w:val="0000FF"/>
                <w:sz w:val="24"/>
                <w:szCs w:val="24"/>
                <w:highlight w:val="none"/>
              </w:rPr>
            </w:pPr>
            <w:r>
              <w:rPr>
                <w:rFonts w:hint="eastAsia" w:ascii="Times New Roman" w:hAnsi="Times New Roman" w:eastAsia="宋体" w:cs="Times New Roman"/>
                <w:b/>
                <w:bCs/>
                <w:color w:val="0000FF"/>
                <w:spacing w:val="0"/>
                <w:sz w:val="24"/>
                <w:szCs w:val="24"/>
                <w:highlight w:val="none"/>
              </w:rPr>
              <w:t>根据项目实际情况，本次环评要求：</w:t>
            </w:r>
          </w:p>
          <w:p w14:paraId="2CF43320">
            <w:pPr>
              <w:spacing w:before="0" w:line="360" w:lineRule="auto"/>
              <w:ind w:left="0" w:right="0" w:firstLine="480" w:firstLineChars="200"/>
              <w:rPr>
                <w:rFonts w:hint="eastAsia" w:ascii="Times New Roman" w:hAnsi="Times New Roman" w:eastAsia="宋体" w:cs="Times New Roman"/>
                <w:color w:val="0000FF"/>
                <w:sz w:val="24"/>
                <w:szCs w:val="24"/>
                <w:highlight w:val="none"/>
              </w:rPr>
            </w:pPr>
            <w:r>
              <w:rPr>
                <w:rFonts w:hint="eastAsia" w:ascii="Times New Roman" w:hAnsi="Times New Roman" w:eastAsia="宋体" w:cs="Times New Roman"/>
                <w:color w:val="0000FF"/>
                <w:spacing w:val="0"/>
                <w:sz w:val="24"/>
                <w:szCs w:val="24"/>
                <w:highlight w:val="none"/>
                <w:lang w:val="en-US" w:eastAsia="zh-CN"/>
              </w:rPr>
              <w:t>A.</w:t>
            </w:r>
            <w:r>
              <w:rPr>
                <w:rFonts w:hint="eastAsia" w:ascii="Times New Roman" w:hAnsi="Times New Roman" w:eastAsia="宋体" w:cs="Times New Roman"/>
                <w:color w:val="0000FF"/>
                <w:spacing w:val="0"/>
                <w:sz w:val="24"/>
                <w:szCs w:val="24"/>
                <w:highlight w:val="none"/>
              </w:rPr>
              <w:t>消除和控制明火源。在实验区域设置醒目的严禁烟火标志，严禁动火吸烟；</w:t>
            </w:r>
            <w:r>
              <w:rPr>
                <w:rFonts w:hint="eastAsia" w:ascii="Times New Roman" w:hAnsi="Times New Roman" w:eastAsia="宋体" w:cs="Times New Roman"/>
                <w:color w:val="0000FF"/>
                <w:sz w:val="24"/>
                <w:szCs w:val="24"/>
                <w:highlight w:val="none"/>
              </w:rPr>
              <w:t xml:space="preserve"> </w:t>
            </w:r>
            <w:r>
              <w:rPr>
                <w:rFonts w:hint="eastAsia" w:ascii="Times New Roman" w:hAnsi="Times New Roman" w:eastAsia="宋体" w:cs="Times New Roman"/>
                <w:color w:val="0000FF"/>
                <w:spacing w:val="0"/>
                <w:sz w:val="24"/>
                <w:szCs w:val="24"/>
                <w:highlight w:val="none"/>
              </w:rPr>
              <w:t>实验过程中，备好灭火器材，采取防护措施，且必须遵守安全技术规程；</w:t>
            </w:r>
          </w:p>
          <w:p w14:paraId="19AC3DC2">
            <w:pPr>
              <w:keepNext w:val="0"/>
              <w:spacing w:line="360" w:lineRule="auto"/>
              <w:ind w:firstLine="480" w:firstLineChars="200"/>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szCs w:val="24"/>
                <w:highlight w:val="none"/>
                <w:lang w:val="en-US" w:eastAsia="zh-CN"/>
              </w:rPr>
              <w:t>B.</w:t>
            </w:r>
            <w:r>
              <w:rPr>
                <w:rFonts w:hint="eastAsia" w:ascii="Times New Roman" w:hAnsi="Times New Roman" w:eastAsia="宋体" w:cs="Times New Roman"/>
                <w:color w:val="0000FF"/>
                <w:sz w:val="24"/>
                <w:szCs w:val="24"/>
                <w:highlight w:val="none"/>
              </w:rPr>
              <w:t>规范实验操作。实验过程严格按照规程操作，设备运行时实验人员不得</w:t>
            </w:r>
            <w:r>
              <w:rPr>
                <w:rFonts w:hint="eastAsia" w:ascii="Times New Roman" w:hAnsi="Times New Roman" w:eastAsia="宋体" w:cs="Times New Roman"/>
                <w:color w:val="0000FF"/>
                <w:sz w:val="24"/>
                <w:highlight w:val="none"/>
              </w:rPr>
              <w:t>开实验室，所有设备均应定期检查，超过使用年限后及时报废。对特定装置，如高 压灭菌锅，需要实验人员经过培训后进行使用；</w:t>
            </w:r>
          </w:p>
          <w:p w14:paraId="3BC86C22">
            <w:pPr>
              <w:keepNext w:val="0"/>
              <w:spacing w:line="360" w:lineRule="auto"/>
              <w:ind w:firstLine="480" w:firstLineChars="200"/>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rPr>
              <w:t xml:space="preserve"> </w:t>
            </w:r>
            <w:r>
              <w:rPr>
                <w:rFonts w:hint="eastAsia" w:ascii="Times New Roman" w:hAnsi="Times New Roman" w:eastAsia="宋体" w:cs="Times New Roman"/>
                <w:color w:val="0000FF"/>
                <w:sz w:val="24"/>
                <w:highlight w:val="none"/>
                <w:lang w:val="en-US" w:eastAsia="zh-CN"/>
              </w:rPr>
              <w:t>C.</w:t>
            </w:r>
            <w:r>
              <w:rPr>
                <w:rFonts w:hint="eastAsia" w:ascii="Times New Roman" w:hAnsi="Times New Roman" w:eastAsia="宋体" w:cs="Times New Roman"/>
                <w:color w:val="0000FF"/>
                <w:sz w:val="24"/>
                <w:highlight w:val="none"/>
              </w:rPr>
              <w:t>严控设备超温。对有超温风险的生产设备，安装温度控制器，当温度超过 设置的安全温度时，立即切断生产设备的电源，停止生产，并采用有效的降温措施 进行降温；</w:t>
            </w:r>
          </w:p>
          <w:p w14:paraId="6F8E6816">
            <w:pPr>
              <w:keepNext w:val="0"/>
              <w:spacing w:line="360" w:lineRule="auto"/>
              <w:ind w:firstLine="480" w:firstLineChars="200"/>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rPr>
              <w:t xml:space="preserve"> </w:t>
            </w:r>
            <w:r>
              <w:rPr>
                <w:rFonts w:hint="eastAsia" w:ascii="Times New Roman" w:hAnsi="Times New Roman" w:eastAsia="宋体" w:cs="Times New Roman"/>
                <w:color w:val="0000FF"/>
                <w:sz w:val="24"/>
                <w:highlight w:val="none"/>
                <w:lang w:val="en-US" w:eastAsia="zh-CN"/>
              </w:rPr>
              <w:t>D.</w:t>
            </w:r>
            <w:r>
              <w:rPr>
                <w:rFonts w:hint="eastAsia" w:ascii="Times New Roman" w:hAnsi="Times New Roman" w:eastAsia="宋体" w:cs="Times New Roman"/>
                <w:color w:val="0000FF"/>
                <w:sz w:val="24"/>
                <w:highlight w:val="none"/>
              </w:rPr>
              <w:t>定期消防巡检。根据消防工作的需要，对各类消防用具定期进行检查试验， 如有损坏或失效时，需立即进行修理和更换补充</w:t>
            </w:r>
            <w:r>
              <w:rPr>
                <w:rFonts w:hint="eastAsia" w:ascii="Times New Roman" w:hAnsi="Times New Roman" w:eastAsia="宋体" w:cs="Times New Roman"/>
                <w:color w:val="0000FF"/>
                <w:sz w:val="24"/>
                <w:highlight w:val="none"/>
                <w:lang w:val="en-US" w:eastAsia="zh-CN"/>
              </w:rPr>
              <w:t>.</w:t>
            </w:r>
          </w:p>
          <w:p w14:paraId="280F68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color w:val="0000FF"/>
                <w:sz w:val="24"/>
                <w:highlight w:val="none"/>
              </w:rPr>
            </w:pPr>
            <w:r>
              <w:rPr>
                <w:rFonts w:hint="eastAsia" w:ascii="微软雅黑" w:hAnsi="微软雅黑" w:eastAsia="微软雅黑" w:cs="微软雅黑"/>
                <w:b/>
                <w:bCs/>
                <w:color w:val="0000FF"/>
                <w:sz w:val="24"/>
                <w:szCs w:val="24"/>
                <w:highlight w:val="none"/>
                <w:lang w:val="en-US" w:eastAsia="zh-CN"/>
              </w:rPr>
              <w:t>②</w:t>
            </w:r>
            <w:r>
              <w:rPr>
                <w:rFonts w:hint="eastAsia"/>
                <w:b/>
                <w:bCs/>
                <w:color w:val="0000FF"/>
                <w:sz w:val="24"/>
                <w:highlight w:val="none"/>
              </w:rPr>
              <w:t>危险化学品存放风险防范措施</w:t>
            </w:r>
          </w:p>
          <w:p w14:paraId="75DAC1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本项目依托厂区已建的</w:t>
            </w:r>
            <w:r>
              <w:rPr>
                <w:rFonts w:hint="eastAsia" w:ascii="Times New Roman" w:hAnsi="Times New Roman" w:eastAsia="宋体" w:cs="Times New Roman"/>
                <w:color w:val="0000FF"/>
                <w:sz w:val="24"/>
                <w:highlight w:val="none"/>
                <w:lang w:val="en-US" w:eastAsia="zh-CN"/>
              </w:rPr>
              <w:t>试剂室、剧毒品室、易制爆室、易制毒室</w:t>
            </w:r>
            <w:r>
              <w:rPr>
                <w:rFonts w:hint="eastAsia"/>
                <w:color w:val="0000FF"/>
                <w:sz w:val="24"/>
                <w:highlight w:val="none"/>
              </w:rPr>
              <w:t>。根据调查，</w:t>
            </w:r>
            <w:r>
              <w:rPr>
                <w:rFonts w:hint="eastAsia" w:ascii="Times New Roman" w:hAnsi="Times New Roman" w:eastAsia="宋体" w:cs="Times New Roman"/>
                <w:color w:val="0000FF"/>
                <w:sz w:val="24"/>
                <w:highlight w:val="none"/>
                <w:lang w:val="en-US" w:eastAsia="zh-CN"/>
              </w:rPr>
              <w:t>各类试剂室</w:t>
            </w:r>
            <w:r>
              <w:rPr>
                <w:rFonts w:hint="eastAsia"/>
                <w:color w:val="0000FF"/>
                <w:sz w:val="24"/>
                <w:highlight w:val="none"/>
              </w:rPr>
              <w:t>已采取的风险防范措施具体如下：</w:t>
            </w:r>
          </w:p>
          <w:p w14:paraId="195CC0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ascii="Times New Roman" w:hAnsi="Times New Roman" w:eastAsia="宋体" w:cs="Times New Roman"/>
                <w:color w:val="0000FF"/>
                <w:sz w:val="24"/>
                <w:highlight w:val="none"/>
                <w:lang w:val="en-US" w:eastAsia="zh-CN"/>
              </w:rPr>
              <w:t>A.</w:t>
            </w:r>
            <w:r>
              <w:rPr>
                <w:rFonts w:hint="eastAsia"/>
                <w:color w:val="0000FF"/>
                <w:sz w:val="24"/>
                <w:highlight w:val="none"/>
              </w:rPr>
              <w:t>配备专门的试剂管理人员。配备有专业知识的技术人员，负责所有实验室 及场所的试剂使用管理；</w:t>
            </w:r>
          </w:p>
          <w:p w14:paraId="358BEB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ascii="Times New Roman" w:hAnsi="Times New Roman" w:eastAsia="宋体" w:cs="Times New Roman"/>
                <w:color w:val="0000FF"/>
                <w:sz w:val="24"/>
                <w:highlight w:val="none"/>
                <w:lang w:val="en-US" w:eastAsia="zh-CN"/>
              </w:rPr>
              <w:t>B.</w:t>
            </w:r>
            <w:r>
              <w:rPr>
                <w:rFonts w:hint="eastAsia"/>
                <w:color w:val="0000FF"/>
                <w:sz w:val="24"/>
                <w:highlight w:val="none"/>
              </w:rPr>
              <w:t>地面重点防渗。</w:t>
            </w:r>
            <w:r>
              <w:rPr>
                <w:rFonts w:hint="eastAsia" w:ascii="Times New Roman" w:hAnsi="Times New Roman" w:eastAsia="宋体" w:cs="Times New Roman"/>
                <w:color w:val="0000FF"/>
                <w:sz w:val="24"/>
                <w:highlight w:val="none"/>
                <w:lang w:val="en-US" w:eastAsia="zh-CN"/>
              </w:rPr>
              <w:t>各类试剂室</w:t>
            </w:r>
            <w:r>
              <w:rPr>
                <w:rFonts w:hint="eastAsia"/>
                <w:color w:val="0000FF"/>
                <w:sz w:val="24"/>
                <w:highlight w:val="none"/>
              </w:rPr>
              <w:t>位于</w:t>
            </w:r>
            <w:r>
              <w:rPr>
                <w:rFonts w:hint="eastAsia" w:ascii="Times New Roman" w:hAnsi="Times New Roman" w:eastAsia="宋体" w:cs="Times New Roman"/>
                <w:color w:val="0000FF"/>
                <w:sz w:val="24"/>
                <w:highlight w:val="none"/>
                <w:lang w:eastAsia="zh-CN"/>
              </w:rPr>
              <w:t>3</w:t>
            </w:r>
            <w:r>
              <w:rPr>
                <w:rFonts w:hint="eastAsia" w:ascii="Times New Roman" w:hAnsi="Times New Roman" w:eastAsia="宋体" w:cs="Times New Roman"/>
                <w:color w:val="0000FF"/>
                <w:sz w:val="24"/>
                <w:highlight w:val="none"/>
                <w:lang w:val="en-US" w:eastAsia="zh-CN"/>
              </w:rPr>
              <w:t>6</w:t>
            </w:r>
            <w:r>
              <w:rPr>
                <w:rFonts w:hint="eastAsia"/>
                <w:color w:val="0000FF"/>
                <w:sz w:val="24"/>
                <w:highlight w:val="none"/>
              </w:rPr>
              <w:t xml:space="preserve"> 栋</w:t>
            </w:r>
            <w:r>
              <w:rPr>
                <w:rFonts w:hint="eastAsia" w:ascii="Times New Roman" w:hAnsi="Times New Roman" w:eastAsia="宋体" w:cs="Times New Roman"/>
                <w:color w:val="0000FF"/>
                <w:sz w:val="24"/>
                <w:highlight w:val="none"/>
                <w:lang w:eastAsia="zh-CN"/>
              </w:rPr>
              <w:t>6</w:t>
            </w:r>
            <w:r>
              <w:rPr>
                <w:rFonts w:hint="eastAsia"/>
                <w:color w:val="0000FF"/>
                <w:sz w:val="24"/>
                <w:highlight w:val="none"/>
              </w:rPr>
              <w:t>F，理论上不会对地下水及土壤造成影响，</w:t>
            </w:r>
            <w:r>
              <w:rPr>
                <w:rFonts w:hint="eastAsia" w:ascii="Times New Roman" w:hAnsi="Times New Roman" w:eastAsia="宋体" w:cs="Times New Roman"/>
                <w:color w:val="0000FF"/>
                <w:sz w:val="24"/>
                <w:highlight w:val="none"/>
                <w:lang w:val="en-US" w:eastAsia="zh-CN"/>
              </w:rPr>
              <w:t>且</w:t>
            </w:r>
            <w:r>
              <w:rPr>
                <w:rFonts w:hint="eastAsia"/>
                <w:color w:val="0000FF"/>
                <w:sz w:val="24"/>
                <w:highlight w:val="none"/>
              </w:rPr>
              <w:t>企业亦严格按照规范对地面进行了重点防渗，采取了 20cm 厚的 P8 等级混凝土，渗透系数 K≤10</w:t>
            </w:r>
            <w:r>
              <w:rPr>
                <w:rFonts w:hint="eastAsia"/>
                <w:color w:val="0000FF"/>
                <w:sz w:val="24"/>
                <w:highlight w:val="none"/>
                <w:vertAlign w:val="superscript"/>
              </w:rPr>
              <w:t>-7</w:t>
            </w:r>
            <w:r>
              <w:rPr>
                <w:rFonts w:hint="eastAsia"/>
                <w:color w:val="0000FF"/>
                <w:sz w:val="24"/>
                <w:highlight w:val="none"/>
              </w:rPr>
              <w:t>cm/s ，满足防渗要求；</w:t>
            </w:r>
          </w:p>
          <w:p w14:paraId="32C863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FF"/>
                <w:sz w:val="24"/>
                <w:highlight w:val="none"/>
              </w:rPr>
            </w:pPr>
            <w:r>
              <w:rPr>
                <w:rFonts w:hint="eastAsia"/>
                <w:color w:val="0000FF"/>
                <w:sz w:val="24"/>
                <w:highlight w:val="none"/>
              </w:rPr>
              <w:t xml:space="preserve"> </w:t>
            </w:r>
            <w:r>
              <w:rPr>
                <w:rFonts w:hint="eastAsia" w:ascii="Times New Roman" w:hAnsi="Times New Roman" w:eastAsia="宋体" w:cs="Times New Roman"/>
                <w:color w:val="0000FF"/>
                <w:sz w:val="24"/>
                <w:highlight w:val="none"/>
                <w:lang w:val="en-US" w:eastAsia="zh-CN"/>
              </w:rPr>
              <w:t>B.</w:t>
            </w:r>
            <w:r>
              <w:rPr>
                <w:rFonts w:hint="eastAsia"/>
                <w:color w:val="0000FF"/>
                <w:sz w:val="24"/>
                <w:highlight w:val="none"/>
              </w:rPr>
              <w:t>化学品分类储存。项目使用的盐酸属于易制毒危险化学品，存放于易制毒</w:t>
            </w:r>
            <w:r>
              <w:rPr>
                <w:rFonts w:hint="eastAsia" w:ascii="Times New Roman" w:hAnsi="Times New Roman" w:eastAsia="宋体" w:cs="Times New Roman"/>
                <w:color w:val="0000FF"/>
                <w:sz w:val="24"/>
                <w:highlight w:val="none"/>
                <w:lang w:val="en-US" w:eastAsia="zh-CN"/>
              </w:rPr>
              <w:t>室</w:t>
            </w:r>
            <w:r>
              <w:rPr>
                <w:rFonts w:hint="eastAsia"/>
                <w:color w:val="0000FF"/>
                <w:sz w:val="24"/>
                <w:highlight w:val="none"/>
              </w:rPr>
              <w:t>试剂柜内，</w:t>
            </w:r>
            <w:r>
              <w:rPr>
                <w:rFonts w:hint="eastAsia" w:ascii="Times New Roman" w:hAnsi="Times New Roman" w:eastAsia="宋体" w:cs="Times New Roman"/>
                <w:color w:val="0000FF"/>
                <w:sz w:val="24"/>
                <w:highlight w:val="none"/>
                <w:lang w:val="en-US" w:eastAsia="zh-CN"/>
              </w:rPr>
              <w:t>使用的硝酸属于</w:t>
            </w:r>
            <w:r>
              <w:rPr>
                <w:rFonts w:hint="eastAsia"/>
                <w:color w:val="0000FF"/>
                <w:sz w:val="24"/>
                <w:highlight w:val="none"/>
              </w:rPr>
              <w:t>易制爆化学品，存放易制爆室</w:t>
            </w:r>
            <w:r>
              <w:rPr>
                <w:rFonts w:hint="eastAsia" w:ascii="Times New Roman" w:hAnsi="Times New Roman" w:eastAsia="宋体" w:cs="Times New Roman"/>
                <w:color w:val="0000FF"/>
                <w:sz w:val="24"/>
                <w:highlight w:val="none"/>
                <w:lang w:val="en-US" w:eastAsia="zh-CN"/>
              </w:rPr>
              <w:t>试剂柜内</w:t>
            </w:r>
            <w:r>
              <w:rPr>
                <w:rFonts w:hint="eastAsia"/>
                <w:color w:val="0000FF"/>
                <w:sz w:val="24"/>
                <w:highlight w:val="none"/>
              </w:rPr>
              <w:t>，本项目</w:t>
            </w:r>
            <w:r>
              <w:rPr>
                <w:rFonts w:hint="eastAsia" w:ascii="Times New Roman" w:hAnsi="Times New Roman" w:eastAsia="宋体" w:cs="Times New Roman"/>
                <w:color w:val="0000FF"/>
                <w:sz w:val="24"/>
                <w:highlight w:val="none"/>
                <w:lang w:val="en-US" w:eastAsia="zh-CN"/>
              </w:rPr>
              <w:t>使用</w:t>
            </w:r>
            <w:r>
              <w:rPr>
                <w:rFonts w:hint="eastAsia"/>
                <w:color w:val="0000FF"/>
                <w:sz w:val="24"/>
                <w:highlight w:val="none"/>
              </w:rPr>
              <w:t>丙酮氰醇、氰化钠属于剧毒化学品，存放剧毒品</w:t>
            </w:r>
            <w:r>
              <w:rPr>
                <w:rFonts w:hint="eastAsia" w:ascii="Times New Roman" w:hAnsi="Times New Roman" w:eastAsia="宋体" w:cs="Times New Roman"/>
                <w:color w:val="0000FF"/>
                <w:sz w:val="24"/>
                <w:highlight w:val="none"/>
                <w:lang w:val="en-US" w:eastAsia="zh-CN"/>
              </w:rPr>
              <w:t>室试剂柜内。</w:t>
            </w:r>
            <w:r>
              <w:rPr>
                <w:rFonts w:hint="eastAsia"/>
                <w:color w:val="0000FF"/>
                <w:sz w:val="24"/>
                <w:highlight w:val="none"/>
              </w:rPr>
              <w:t>其余化学品均放置于普通试剂柜内，柜内设置有防漏托盘，柜底部设有集液区，用于收集事故下泄露的化学品。</w:t>
            </w:r>
          </w:p>
          <w:p w14:paraId="282091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lang w:eastAsia="zh-CN"/>
              </w:rPr>
              <w:t>C</w:t>
            </w:r>
            <w:r>
              <w:rPr>
                <w:rFonts w:hint="eastAsia"/>
                <w:color w:val="0000FF"/>
                <w:sz w:val="24"/>
                <w:highlight w:val="none"/>
              </w:rPr>
              <w:t>.严格管理制度。项目涉乙醇、乙酸乙酯等易燃化学品的储存和使用，应严格按照国家《危险化学品安全管理条例》的相关要求，实行双人收发、双人保管制度。</w:t>
            </w:r>
          </w:p>
          <w:p w14:paraId="51586D0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olor w:val="0000FF"/>
                <w:sz w:val="24"/>
                <w:highlight w:val="none"/>
              </w:rPr>
            </w:pPr>
            <w:r>
              <w:rPr>
                <w:rFonts w:hint="eastAsia"/>
                <w:b/>
                <w:bCs/>
                <w:color w:val="0000FF"/>
                <w:sz w:val="24"/>
                <w:highlight w:val="none"/>
              </w:rPr>
              <w:t>同时根据项目实际情况，本次环评要求</w:t>
            </w:r>
            <w:r>
              <w:rPr>
                <w:rFonts w:hint="eastAsia"/>
                <w:color w:val="0000FF"/>
                <w:sz w:val="24"/>
                <w:highlight w:val="none"/>
              </w:rPr>
              <w:t>：</w:t>
            </w:r>
          </w:p>
          <w:p w14:paraId="637726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ascii="Times New Roman" w:hAnsi="Times New Roman" w:eastAsia="宋体" w:cs="Times New Roman"/>
                <w:color w:val="0000FF"/>
                <w:sz w:val="24"/>
                <w:highlight w:val="none"/>
                <w:lang w:val="en-US" w:eastAsia="zh-CN"/>
              </w:rPr>
              <w:t>A.</w:t>
            </w:r>
            <w:r>
              <w:rPr>
                <w:rFonts w:hint="eastAsia"/>
                <w:color w:val="0000FF"/>
                <w:sz w:val="24"/>
                <w:highlight w:val="none"/>
              </w:rPr>
              <w:t>化学品入库时，应严格检验物品质量、数量、包装情况、有无泄漏；</w:t>
            </w:r>
          </w:p>
          <w:p w14:paraId="54D605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FF"/>
                <w:sz w:val="24"/>
                <w:highlight w:val="none"/>
                <w:lang w:val="en-US" w:eastAsia="zh-CN"/>
              </w:rPr>
            </w:pPr>
            <w:r>
              <w:rPr>
                <w:rFonts w:hint="eastAsia" w:ascii="Times New Roman" w:hAnsi="Times New Roman" w:eastAsia="宋体" w:cs="Times New Roman"/>
                <w:color w:val="0000FF"/>
                <w:sz w:val="24"/>
                <w:highlight w:val="none"/>
                <w:lang w:val="en-US" w:eastAsia="zh-CN"/>
              </w:rPr>
              <w:t>B.</w:t>
            </w:r>
            <w:r>
              <w:rPr>
                <w:rFonts w:hint="eastAsia"/>
                <w:color w:val="0000FF"/>
                <w:sz w:val="24"/>
                <w:highlight w:val="none"/>
              </w:rPr>
              <w:t xml:space="preserve"> 化学品入库后，在贮存期内定期检查库房温度、湿度等，发现化学品品质变化、包装破损、渗漏、稳定剂短缺等，应及时调整和处理</w:t>
            </w:r>
            <w:r>
              <w:rPr>
                <w:rFonts w:hint="eastAsia" w:ascii="Times New Roman" w:hAnsi="Times New Roman" w:eastAsia="宋体" w:cs="Times New Roman"/>
                <w:color w:val="0000FF"/>
                <w:sz w:val="24"/>
                <w:highlight w:val="none"/>
                <w:lang w:eastAsia="zh-CN"/>
              </w:rPr>
              <w:t>。</w:t>
            </w:r>
          </w:p>
          <w:p w14:paraId="6D595A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color w:val="0000FF"/>
                <w:sz w:val="24"/>
                <w:highlight w:val="none"/>
              </w:rPr>
            </w:pPr>
            <w:r>
              <w:rPr>
                <w:rFonts w:hint="eastAsia" w:ascii="微软雅黑" w:hAnsi="微软雅黑" w:eastAsia="微软雅黑" w:cs="微软雅黑"/>
                <w:b/>
                <w:bCs/>
                <w:color w:val="0000FF"/>
                <w:sz w:val="24"/>
                <w:highlight w:val="none"/>
              </w:rPr>
              <w:t>③</w:t>
            </w:r>
            <w:r>
              <w:rPr>
                <w:rFonts w:hint="eastAsia"/>
                <w:b/>
                <w:bCs/>
                <w:color w:val="0000FF"/>
                <w:sz w:val="24"/>
                <w:highlight w:val="none"/>
              </w:rPr>
              <w:t>易制毒</w:t>
            </w:r>
            <w:r>
              <w:rPr>
                <w:rFonts w:hint="eastAsia" w:ascii="Times New Roman" w:hAnsi="Times New Roman" w:eastAsia="宋体" w:cs="Times New Roman"/>
                <w:b/>
                <w:bCs/>
                <w:color w:val="0000FF"/>
                <w:sz w:val="24"/>
                <w:highlight w:val="none"/>
                <w:lang w:eastAsia="zh-CN"/>
              </w:rPr>
              <w:t>、</w:t>
            </w:r>
            <w:r>
              <w:rPr>
                <w:rFonts w:hint="eastAsia" w:ascii="Times New Roman" w:hAnsi="Times New Roman" w:eastAsia="宋体" w:cs="Times New Roman"/>
                <w:b/>
                <w:bCs/>
                <w:color w:val="0000FF"/>
                <w:sz w:val="24"/>
                <w:highlight w:val="none"/>
                <w:lang w:val="en-US" w:eastAsia="zh-CN"/>
              </w:rPr>
              <w:t>易制爆、剧毒品</w:t>
            </w:r>
            <w:r>
              <w:rPr>
                <w:rFonts w:hint="eastAsia"/>
                <w:b/>
                <w:bCs/>
                <w:color w:val="0000FF"/>
                <w:sz w:val="24"/>
                <w:highlight w:val="none"/>
              </w:rPr>
              <w:t>危险化学品风险防范措施</w:t>
            </w:r>
          </w:p>
          <w:p w14:paraId="6F30A8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ascii="Times New Roman" w:hAnsi="Times New Roman" w:eastAsia="宋体" w:cs="Times New Roman"/>
                <w:color w:val="0000FF"/>
                <w:sz w:val="24"/>
                <w:highlight w:val="none"/>
                <w:lang w:eastAsia="zh-CN"/>
              </w:rPr>
              <w:t>A</w:t>
            </w:r>
            <w:r>
              <w:rPr>
                <w:rFonts w:hint="eastAsia" w:ascii="Times New Roman" w:hAnsi="Times New Roman" w:eastAsia="宋体" w:cs="Times New Roman"/>
                <w:color w:val="0000FF"/>
                <w:sz w:val="24"/>
                <w:highlight w:val="none"/>
                <w:lang w:val="en-US" w:eastAsia="zh-CN"/>
              </w:rPr>
              <w:t>.</w:t>
            </w:r>
            <w:r>
              <w:rPr>
                <w:rFonts w:hint="eastAsia"/>
                <w:color w:val="0000FF"/>
                <w:sz w:val="24"/>
                <w:highlight w:val="none"/>
              </w:rPr>
              <w:t>设置专门的存放点位。项目涉及的易制毒</w:t>
            </w:r>
            <w:r>
              <w:rPr>
                <w:rFonts w:hint="eastAsia" w:ascii="Times New Roman" w:hAnsi="Times New Roman" w:eastAsia="宋体" w:cs="Times New Roman"/>
                <w:color w:val="0000FF"/>
                <w:sz w:val="24"/>
                <w:highlight w:val="none"/>
                <w:lang w:eastAsia="zh-CN"/>
              </w:rPr>
              <w:t>、</w:t>
            </w:r>
            <w:r>
              <w:rPr>
                <w:rFonts w:hint="eastAsia" w:ascii="Times New Roman" w:hAnsi="Times New Roman" w:eastAsia="宋体" w:cs="Times New Roman"/>
                <w:color w:val="0000FF"/>
                <w:sz w:val="24"/>
                <w:highlight w:val="none"/>
                <w:lang w:val="en-US" w:eastAsia="zh-CN"/>
              </w:rPr>
              <w:t>易制爆、剧毒品</w:t>
            </w:r>
            <w:r>
              <w:rPr>
                <w:rFonts w:hint="eastAsia"/>
                <w:color w:val="0000FF"/>
                <w:sz w:val="24"/>
                <w:highlight w:val="none"/>
              </w:rPr>
              <w:t>化学品存放于专门的试剂柜，符合有关安全、防火规定，并根据物品的种类、性质，设置相应的通风、 防爆、泄压、防火、防雷、防火、防晒、消除静电等安全设施。</w:t>
            </w:r>
          </w:p>
          <w:p w14:paraId="02559F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ascii="Times New Roman" w:hAnsi="Times New Roman" w:eastAsia="宋体" w:cs="Times New Roman"/>
                <w:color w:val="0000FF"/>
                <w:sz w:val="24"/>
                <w:highlight w:val="none"/>
                <w:lang w:val="en-US" w:eastAsia="zh-CN"/>
              </w:rPr>
              <w:t>B.</w:t>
            </w:r>
            <w:r>
              <w:rPr>
                <w:rFonts w:hint="eastAsia"/>
                <w:color w:val="0000FF"/>
                <w:sz w:val="24"/>
                <w:highlight w:val="none"/>
              </w:rPr>
              <w:t xml:space="preserve"> 定期检查。入库前必须进行检查登记，入库后应当定期检查。物品的发 放，应严格履行发放手续，认真核实。</w:t>
            </w:r>
          </w:p>
          <w:p w14:paraId="4CDF15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ascii="Times New Roman" w:hAnsi="Times New Roman" w:eastAsia="宋体" w:cs="Times New Roman"/>
                <w:color w:val="0000FF"/>
                <w:sz w:val="24"/>
                <w:highlight w:val="none"/>
                <w:lang w:val="en-US" w:eastAsia="zh-CN"/>
              </w:rPr>
              <w:t>C.</w:t>
            </w:r>
            <w:r>
              <w:rPr>
                <w:rFonts w:hint="eastAsia"/>
                <w:color w:val="0000FF"/>
                <w:sz w:val="24"/>
                <w:highlight w:val="none"/>
              </w:rPr>
              <w:t xml:space="preserve"> 配备应急物资。设有过滤式防毒面具等应急物资，同时设置明显严禁烟火等警示标识。</w:t>
            </w:r>
          </w:p>
          <w:p w14:paraId="76CE18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ascii="Times New Roman" w:hAnsi="Times New Roman" w:eastAsia="宋体" w:cs="Times New Roman"/>
                <w:color w:val="0000FF"/>
                <w:sz w:val="24"/>
                <w:highlight w:val="none"/>
                <w:lang w:val="en-US" w:eastAsia="zh-CN"/>
              </w:rPr>
              <w:t>D.</w:t>
            </w:r>
            <w:r>
              <w:rPr>
                <w:rFonts w:hint="eastAsia"/>
                <w:color w:val="0000FF"/>
                <w:sz w:val="24"/>
                <w:highlight w:val="none"/>
              </w:rPr>
              <w:t xml:space="preserve"> 安全处置废弃物。易制毒化学品使用过程中产生的易制毒残渣废液及其包装物，集中后统一做无害化处理，严禁随一般垃圾运出。</w:t>
            </w:r>
          </w:p>
          <w:p w14:paraId="0CF3D9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ascii="Times New Roman" w:hAnsi="Times New Roman" w:eastAsia="宋体" w:cs="Times New Roman"/>
                <w:color w:val="0000FF"/>
                <w:sz w:val="24"/>
                <w:highlight w:val="none"/>
                <w:lang w:val="en-US" w:eastAsia="zh-CN"/>
              </w:rPr>
              <w:t>E.</w:t>
            </w:r>
            <w:r>
              <w:rPr>
                <w:rFonts w:hint="eastAsia"/>
                <w:color w:val="0000FF"/>
                <w:sz w:val="24"/>
                <w:highlight w:val="none"/>
              </w:rPr>
              <w:t>泄漏物处理。少量泄漏采用沙子覆盖收集，并放在容器中等待处理；大 量泄漏采用托盘收集。</w:t>
            </w:r>
          </w:p>
          <w:p w14:paraId="30D734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ascii="Times New Roman" w:hAnsi="Times New Roman" w:eastAsia="宋体" w:cs="Times New Roman"/>
                <w:color w:val="0000FF"/>
                <w:sz w:val="24"/>
                <w:highlight w:val="none"/>
                <w:lang w:val="en-US" w:eastAsia="zh-CN"/>
              </w:rPr>
              <w:t>F.</w:t>
            </w:r>
            <w:r>
              <w:rPr>
                <w:rFonts w:hint="eastAsia"/>
                <w:color w:val="0000FF"/>
                <w:sz w:val="24"/>
                <w:highlight w:val="none"/>
              </w:rPr>
              <w:t>定期培训演练。厂区应定期对相关从业人员进行安全教育和培训，通过 实际演练，定期开展强制性的安全培训，提高员工的安全意识和应急处理能力，减少事故的发生。</w:t>
            </w:r>
          </w:p>
          <w:p w14:paraId="6EFB83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b/>
                <w:bCs/>
                <w:color w:val="0000FF"/>
                <w:sz w:val="24"/>
                <w:szCs w:val="24"/>
                <w:highlight w:val="none"/>
                <w:lang w:val="en-US" w:eastAsia="zh-CN"/>
              </w:rPr>
            </w:pPr>
            <w:r>
              <w:rPr>
                <w:rFonts w:hint="eastAsia" w:ascii="微软雅黑" w:hAnsi="微软雅黑" w:eastAsia="微软雅黑" w:cs="微软雅黑"/>
                <w:b/>
                <w:bCs/>
                <w:color w:val="0000FF"/>
                <w:sz w:val="24"/>
                <w:szCs w:val="24"/>
                <w:highlight w:val="none"/>
                <w:lang w:val="en-US" w:eastAsia="zh-CN"/>
              </w:rPr>
              <w:t>④</w:t>
            </w:r>
            <w:r>
              <w:rPr>
                <w:rFonts w:hint="eastAsia" w:ascii="Times New Roman" w:hAnsi="Times New Roman" w:cs="Times New Roman"/>
                <w:b/>
                <w:bCs/>
                <w:color w:val="0000FF"/>
                <w:sz w:val="24"/>
                <w:szCs w:val="24"/>
                <w:highlight w:val="none"/>
                <w:lang w:val="en-US" w:eastAsia="zh-CN"/>
              </w:rPr>
              <w:t xml:space="preserve">危险废物贮存防范措施 </w:t>
            </w:r>
          </w:p>
          <w:p w14:paraId="32BDF2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本项目产生的危险废物依托厂区现有的危险废物暂存</w:t>
            </w:r>
            <w:r>
              <w:rPr>
                <w:rFonts w:hint="eastAsia"/>
                <w:color w:val="0000FF"/>
                <w:sz w:val="24"/>
                <w:highlight w:val="none"/>
                <w:lang w:val="en-US" w:eastAsia="zh-CN"/>
              </w:rPr>
              <w:t>库</w:t>
            </w:r>
            <w:r>
              <w:rPr>
                <w:rFonts w:hint="eastAsia"/>
                <w:color w:val="0000FF"/>
                <w:sz w:val="24"/>
                <w:highlight w:val="none"/>
              </w:rPr>
              <w:t>进行暂存。根据调查，危险废物暂存间已采取的风险防范措施具体如下：</w:t>
            </w:r>
          </w:p>
          <w:p w14:paraId="5B992A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color w:val="0000FF"/>
                <w:sz w:val="24"/>
                <w:highlight w:val="none"/>
                <w:lang w:val="en-US" w:eastAsia="zh-CN"/>
              </w:rPr>
              <w:t>A.</w:t>
            </w:r>
            <w:r>
              <w:rPr>
                <w:rFonts w:hint="eastAsia"/>
                <w:color w:val="0000FF"/>
                <w:sz w:val="24"/>
                <w:highlight w:val="none"/>
              </w:rPr>
              <w:t>配备专门的危废管理人员。配备有专业知识的技术人员，负责所有危废的暂存及转运管理；</w:t>
            </w:r>
          </w:p>
          <w:p w14:paraId="00850B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color w:val="0000FF"/>
                <w:sz w:val="24"/>
                <w:highlight w:val="none"/>
                <w:lang w:val="en-US" w:eastAsia="zh-CN"/>
              </w:rPr>
              <w:t>B.</w:t>
            </w:r>
            <w:r>
              <w:rPr>
                <w:rFonts w:hint="eastAsia"/>
                <w:color w:val="0000FF"/>
                <w:sz w:val="24"/>
                <w:highlight w:val="none"/>
              </w:rPr>
              <w:t>地面重点防渗。危险废物暂存库地面采用了20cm厚P6等级混凝土+2mm厚 HDPE 膜进行防渗，渗透系数 K≤10</w:t>
            </w:r>
            <w:r>
              <w:rPr>
                <w:rFonts w:hint="eastAsia"/>
                <w:color w:val="0000FF"/>
                <w:sz w:val="24"/>
                <w:highlight w:val="none"/>
                <w:vertAlign w:val="superscript"/>
              </w:rPr>
              <w:t>-10</w:t>
            </w:r>
            <w:r>
              <w:rPr>
                <w:rFonts w:hint="eastAsia"/>
                <w:color w:val="0000FF"/>
                <w:sz w:val="24"/>
                <w:highlight w:val="none"/>
              </w:rPr>
              <w:t>cm/s ，满足防渗要求；</w:t>
            </w:r>
          </w:p>
          <w:p w14:paraId="7AF5F0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color w:val="0000FF"/>
                <w:sz w:val="24"/>
                <w:highlight w:val="none"/>
                <w:lang w:val="en-US" w:eastAsia="zh-CN"/>
              </w:rPr>
              <w:t>C.</w:t>
            </w:r>
            <w:r>
              <w:rPr>
                <w:rFonts w:hint="eastAsia"/>
                <w:color w:val="0000FF"/>
                <w:sz w:val="24"/>
                <w:highlight w:val="none"/>
              </w:rPr>
              <w:t>设置防渗托盘。危险废物暂存间内设置防渗托盘，所有液态危废均置于防 渗漏托盘上，确保其收集能力能够达到区域最大液态废物容器容积或液态废物总储量 1/10（二者取较大者）；</w:t>
            </w:r>
          </w:p>
          <w:p w14:paraId="361E75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lang w:val="en-US" w:eastAsia="zh-CN"/>
              </w:rPr>
            </w:pPr>
            <w:r>
              <w:rPr>
                <w:rFonts w:hint="eastAsia"/>
                <w:color w:val="0000FF"/>
                <w:sz w:val="24"/>
                <w:highlight w:val="none"/>
              </w:rPr>
              <w:t xml:space="preserve"> </w:t>
            </w:r>
            <w:r>
              <w:rPr>
                <w:rFonts w:hint="eastAsia"/>
                <w:color w:val="0000FF"/>
                <w:sz w:val="24"/>
                <w:highlight w:val="none"/>
                <w:lang w:val="en-US" w:eastAsia="zh-CN"/>
              </w:rPr>
              <w:t>D.</w:t>
            </w:r>
            <w:r>
              <w:rPr>
                <w:rFonts w:hint="eastAsia"/>
                <w:color w:val="0000FF"/>
                <w:sz w:val="24"/>
                <w:highlight w:val="none"/>
              </w:rPr>
              <w:t>危废分类暂存。</w:t>
            </w:r>
            <w:r>
              <w:rPr>
                <w:rFonts w:hint="eastAsia"/>
                <w:color w:val="0000FF"/>
                <w:sz w:val="24"/>
                <w:highlight w:val="none"/>
                <w:lang w:val="en-US" w:eastAsia="zh-CN"/>
              </w:rPr>
              <w:t>危废暂存库划分了</w:t>
            </w:r>
            <w:r>
              <w:rPr>
                <w:rFonts w:hint="eastAsia"/>
                <w:color w:val="0000FF"/>
                <w:sz w:val="24"/>
                <w:highlight w:val="none"/>
              </w:rPr>
              <w:t>固态危险废物暂存</w:t>
            </w:r>
            <w:r>
              <w:rPr>
                <w:rFonts w:hint="eastAsia"/>
                <w:color w:val="0000FF"/>
                <w:sz w:val="24"/>
                <w:highlight w:val="none"/>
                <w:lang w:val="en-US" w:eastAsia="zh-CN"/>
              </w:rPr>
              <w:t>区域</w:t>
            </w:r>
            <w:r>
              <w:rPr>
                <w:rFonts w:hint="eastAsia"/>
                <w:color w:val="0000FF"/>
                <w:sz w:val="24"/>
                <w:highlight w:val="none"/>
              </w:rPr>
              <w:t>和液态危险废物暂存</w:t>
            </w:r>
            <w:r>
              <w:rPr>
                <w:rFonts w:hint="eastAsia"/>
                <w:color w:val="0000FF"/>
                <w:sz w:val="24"/>
                <w:highlight w:val="none"/>
                <w:lang w:val="en-US" w:eastAsia="zh-CN"/>
              </w:rPr>
              <w:t>区域</w:t>
            </w:r>
            <w:r>
              <w:rPr>
                <w:rFonts w:hint="eastAsia"/>
                <w:color w:val="0000FF"/>
                <w:sz w:val="24"/>
                <w:highlight w:val="none"/>
              </w:rPr>
              <w:t>，分别用于液态危废和固态危废的暂存。</w:t>
            </w:r>
            <w:r>
              <w:rPr>
                <w:rFonts w:hint="eastAsia"/>
                <w:color w:val="0000FF"/>
                <w:sz w:val="24"/>
                <w:highlight w:val="none"/>
                <w:lang w:val="en-US" w:eastAsia="zh-CN"/>
              </w:rPr>
              <w:t xml:space="preserve">  </w:t>
            </w:r>
          </w:p>
          <w:p w14:paraId="05B7DF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FF"/>
                <w:sz w:val="24"/>
                <w:highlight w:val="none"/>
                <w:lang w:val="en-US" w:eastAsia="zh-CN"/>
              </w:rPr>
            </w:pPr>
            <w:r>
              <w:rPr>
                <w:rFonts w:hint="eastAsia"/>
                <w:color w:val="0000FF"/>
                <w:sz w:val="24"/>
                <w:highlight w:val="none"/>
                <w:lang w:val="en-US" w:eastAsia="zh-CN"/>
              </w:rPr>
              <w:t>E.危废及时处置。产生的危险废物，及时委托陕西水发环境有限公司外运处置。</w:t>
            </w:r>
          </w:p>
          <w:p w14:paraId="55C6024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color w:val="0000FF"/>
                <w:sz w:val="24"/>
                <w:highlight w:val="none"/>
              </w:rPr>
            </w:pPr>
            <w:r>
              <w:rPr>
                <w:rFonts w:hint="eastAsia"/>
                <w:b/>
                <w:bCs/>
                <w:color w:val="0000FF"/>
                <w:sz w:val="24"/>
                <w:highlight w:val="none"/>
                <w:lang w:val="en-US" w:eastAsia="zh-CN"/>
              </w:rPr>
              <w:t xml:space="preserve"> </w:t>
            </w:r>
            <w:r>
              <w:rPr>
                <w:rFonts w:hint="eastAsia"/>
                <w:b/>
                <w:bCs/>
                <w:color w:val="0000FF"/>
                <w:sz w:val="24"/>
                <w:highlight w:val="none"/>
              </w:rPr>
              <w:t>同时本次环评要求：</w:t>
            </w:r>
          </w:p>
          <w:p w14:paraId="114D58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color w:val="0000FF"/>
                <w:sz w:val="24"/>
                <w:highlight w:val="none"/>
                <w:lang w:val="en-US" w:eastAsia="zh-CN"/>
              </w:rPr>
              <w:t>A.</w:t>
            </w:r>
            <w:r>
              <w:rPr>
                <w:rFonts w:hint="eastAsia"/>
                <w:color w:val="0000FF"/>
                <w:sz w:val="24"/>
                <w:highlight w:val="none"/>
              </w:rPr>
              <w:t>废液容器安全间距。装载液体、半固体废液的容器内须留足够空间，容器顶部与液体表面之间保留100mm以上的空间；</w:t>
            </w:r>
          </w:p>
          <w:p w14:paraId="0C88EA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highlight w:val="none"/>
              </w:rPr>
            </w:pPr>
            <w:r>
              <w:rPr>
                <w:rFonts w:hint="eastAsia"/>
                <w:color w:val="0000FF"/>
                <w:sz w:val="24"/>
                <w:highlight w:val="none"/>
              </w:rPr>
              <w:t xml:space="preserve"> </w:t>
            </w:r>
            <w:r>
              <w:rPr>
                <w:rFonts w:hint="eastAsia"/>
                <w:color w:val="0000FF"/>
                <w:sz w:val="24"/>
                <w:highlight w:val="none"/>
                <w:lang w:val="en-US" w:eastAsia="zh-CN"/>
              </w:rPr>
              <w:t>B.</w:t>
            </w:r>
            <w:r>
              <w:rPr>
                <w:rFonts w:hint="eastAsia"/>
                <w:color w:val="0000FF"/>
                <w:sz w:val="24"/>
                <w:highlight w:val="none"/>
              </w:rPr>
              <w:t>废液容器标志标识。盛装废液的容器上必须粘贴相关危险标识；</w:t>
            </w:r>
          </w:p>
          <w:p w14:paraId="33E1A1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0000FF"/>
                <w:sz w:val="24"/>
                <w:highlight w:val="none"/>
                <w:lang w:val="en-US" w:eastAsia="zh-CN"/>
              </w:rPr>
            </w:pPr>
            <w:r>
              <w:rPr>
                <w:rFonts w:hint="eastAsia"/>
                <w:color w:val="0000FF"/>
                <w:sz w:val="24"/>
                <w:highlight w:val="none"/>
              </w:rPr>
              <w:t xml:space="preserve"> </w:t>
            </w:r>
            <w:r>
              <w:rPr>
                <w:rFonts w:hint="eastAsia"/>
                <w:color w:val="0000FF"/>
                <w:sz w:val="24"/>
                <w:highlight w:val="none"/>
                <w:lang w:val="en-US" w:eastAsia="zh-CN"/>
              </w:rPr>
              <w:t>C.</w:t>
            </w:r>
            <w:r>
              <w:rPr>
                <w:rFonts w:hint="eastAsia"/>
                <w:color w:val="0000FF"/>
                <w:sz w:val="24"/>
                <w:highlight w:val="none"/>
              </w:rPr>
              <w:t>废液容器的相容性。盛装废液的容器必须完好无损且材质和衬里要与废液相容（不相互反应）。</w:t>
            </w:r>
            <w:r>
              <w:rPr>
                <w:rFonts w:hint="eastAsia"/>
                <w:color w:val="0000FF"/>
                <w:sz w:val="24"/>
                <w:highlight w:val="none"/>
                <w:lang w:val="en-US" w:eastAsia="zh-CN"/>
              </w:rPr>
              <w:t xml:space="preserve">                                                                 </w:t>
            </w:r>
          </w:p>
          <w:p w14:paraId="5BEB0CD4">
            <w:pPr>
              <w:pStyle w:val="3"/>
              <w:ind w:firstLine="480" w:firstLineChars="200"/>
              <w:rPr>
                <w:rFonts w:hint="eastAsia"/>
                <w:b/>
                <w:bCs/>
                <w:color w:val="0000FF"/>
                <w:sz w:val="24"/>
                <w:highlight w:val="none"/>
              </w:rPr>
            </w:pPr>
            <w:r>
              <w:rPr>
                <w:rFonts w:hint="eastAsia" w:ascii="微软雅黑" w:hAnsi="微软雅黑" w:eastAsia="微软雅黑" w:cs="微软雅黑"/>
                <w:b/>
                <w:bCs/>
                <w:color w:val="0000FF"/>
                <w:sz w:val="24"/>
                <w:szCs w:val="24"/>
                <w:highlight w:val="none"/>
                <w:lang w:val="en-US" w:eastAsia="zh-CN"/>
              </w:rPr>
              <w:t>⑤</w:t>
            </w:r>
            <w:r>
              <w:rPr>
                <w:rFonts w:hint="eastAsia"/>
                <w:b/>
                <w:bCs/>
                <w:color w:val="0000FF"/>
                <w:sz w:val="24"/>
                <w:highlight w:val="none"/>
              </w:rPr>
              <w:t>废气事故排放风险防范措施</w:t>
            </w:r>
          </w:p>
          <w:p w14:paraId="13A0E8E7">
            <w:pPr>
              <w:pStyle w:val="3"/>
              <w:numPr>
                <w:ilvl w:val="-1"/>
                <w:numId w:val="0"/>
              </w:numPr>
              <w:ind w:left="0" w:firstLine="480" w:firstLineChars="200"/>
              <w:rPr>
                <w:rFonts w:hint="eastAsia" w:ascii="Times New Roman" w:hAnsi="Times New Roman" w:eastAsia="宋体" w:cs="Times New Roman"/>
                <w:color w:val="0000FF"/>
                <w:sz w:val="24"/>
                <w:highlight w:val="none"/>
                <w:lang w:eastAsia="zh-CN"/>
              </w:rPr>
            </w:pPr>
            <w:r>
              <w:rPr>
                <w:rFonts w:hint="eastAsia" w:ascii="Times New Roman" w:hAnsi="Times New Roman" w:eastAsia="宋体" w:cs="Times New Roman"/>
                <w:color w:val="0000FF"/>
                <w:sz w:val="24"/>
                <w:highlight w:val="none"/>
                <w:lang w:val="en-US" w:eastAsia="zh-CN"/>
              </w:rPr>
              <w:t>A.</w:t>
            </w:r>
            <w:r>
              <w:rPr>
                <w:rFonts w:hint="eastAsia"/>
                <w:color w:val="0000FF"/>
                <w:sz w:val="24"/>
                <w:highlight w:val="none"/>
              </w:rPr>
              <w:t>项目废气处理装置都是采用专业厂家进行设计和安装，</w:t>
            </w:r>
            <w:r>
              <w:rPr>
                <w:rFonts w:hint="eastAsia" w:ascii="Times New Roman" w:hAnsi="Times New Roman" w:eastAsia="宋体" w:cs="Times New Roman"/>
                <w:color w:val="0000FF"/>
                <w:sz w:val="24"/>
                <w:highlight w:val="none"/>
                <w:lang w:val="en-US" w:eastAsia="zh-CN"/>
              </w:rPr>
              <w:t>且</w:t>
            </w:r>
            <w:r>
              <w:rPr>
                <w:rFonts w:hint="eastAsia"/>
                <w:color w:val="0000FF"/>
                <w:sz w:val="24"/>
                <w:highlight w:val="none"/>
              </w:rPr>
              <w:t>采用较为坚固的材料建成，</w:t>
            </w:r>
            <w:r>
              <w:rPr>
                <w:rFonts w:hint="eastAsia" w:ascii="Times New Roman" w:hAnsi="Times New Roman" w:eastAsia="宋体" w:cs="Times New Roman"/>
                <w:color w:val="0000FF"/>
                <w:sz w:val="24"/>
                <w:highlight w:val="none"/>
                <w:lang w:val="en-US" w:eastAsia="zh-CN"/>
              </w:rPr>
              <w:t>可</w:t>
            </w:r>
            <w:r>
              <w:rPr>
                <w:rFonts w:hint="eastAsia"/>
                <w:color w:val="0000FF"/>
                <w:sz w:val="24"/>
                <w:highlight w:val="none"/>
              </w:rPr>
              <w:t>防止污染物的事故排放，将污染物泄漏的环境风险事故降到最低限度</w:t>
            </w:r>
            <w:r>
              <w:rPr>
                <w:rFonts w:hint="eastAsia" w:ascii="Times New Roman" w:hAnsi="Times New Roman" w:eastAsia="宋体" w:cs="Times New Roman"/>
                <w:color w:val="0000FF"/>
                <w:sz w:val="24"/>
                <w:highlight w:val="none"/>
                <w:lang w:eastAsia="zh-CN"/>
              </w:rPr>
              <w:t>。</w:t>
            </w:r>
          </w:p>
          <w:p w14:paraId="43B86CA5">
            <w:pPr>
              <w:pStyle w:val="3"/>
              <w:numPr>
                <w:ilvl w:val="-1"/>
                <w:numId w:val="0"/>
              </w:numPr>
              <w:ind w:left="0" w:firstLine="480" w:firstLineChars="200"/>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lang w:val="en-US" w:eastAsia="zh-CN"/>
              </w:rPr>
              <w:t>B.</w:t>
            </w:r>
            <w:r>
              <w:rPr>
                <w:rFonts w:hint="eastAsia" w:ascii="Times New Roman" w:hAnsi="Times New Roman" w:eastAsia="宋体" w:cs="Times New Roman"/>
                <w:color w:val="0000FF"/>
                <w:sz w:val="24"/>
                <w:highlight w:val="none"/>
              </w:rPr>
              <w:t>定期检查废气处理装置是否堵塞，如被堵应及时维护。</w:t>
            </w:r>
          </w:p>
          <w:p w14:paraId="37564F06">
            <w:pPr>
              <w:pStyle w:val="3"/>
              <w:numPr>
                <w:ilvl w:val="-1"/>
                <w:numId w:val="0"/>
              </w:numPr>
              <w:ind w:left="0" w:firstLine="480" w:firstLineChars="200"/>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lang w:val="en-US" w:eastAsia="zh-CN"/>
              </w:rPr>
              <w:t>C.</w:t>
            </w:r>
            <w:r>
              <w:rPr>
                <w:rFonts w:hint="eastAsia" w:ascii="Times New Roman" w:hAnsi="Times New Roman" w:eastAsia="宋体" w:cs="Times New Roman"/>
                <w:color w:val="0000FF"/>
                <w:sz w:val="24"/>
                <w:highlight w:val="none"/>
              </w:rPr>
              <w:t>运营过程中应加强巡检及时处理污染物跑、冒、滴、漏，同时应加强对管道工程的检查，若发现管道老化或损坏，应及时维修更换。</w:t>
            </w:r>
          </w:p>
          <w:p w14:paraId="761DA663">
            <w:pPr>
              <w:pStyle w:val="3"/>
              <w:numPr>
                <w:ilvl w:val="-1"/>
                <w:numId w:val="0"/>
              </w:numPr>
              <w:ind w:left="0" w:firstLine="480" w:firstLineChars="200"/>
              <w:rPr>
                <w:rFonts w:hint="eastAsia" w:ascii="Times New Roman" w:hAnsi="Times New Roman" w:eastAsia="宋体" w:cs="Times New Roman"/>
                <w:color w:val="0000FF"/>
                <w:sz w:val="24"/>
                <w:highlight w:val="none"/>
              </w:rPr>
            </w:pPr>
            <w:r>
              <w:rPr>
                <w:rFonts w:hint="eastAsia" w:ascii="Times New Roman" w:hAnsi="Times New Roman" w:eastAsia="宋体" w:cs="Times New Roman"/>
                <w:color w:val="0000FF"/>
                <w:sz w:val="24"/>
                <w:highlight w:val="none"/>
                <w:lang w:val="en-US" w:eastAsia="zh-CN"/>
              </w:rPr>
              <w:t>D.</w:t>
            </w:r>
            <w:r>
              <w:rPr>
                <w:rFonts w:hint="eastAsia" w:ascii="Times New Roman" w:hAnsi="Times New Roman" w:eastAsia="宋体" w:cs="Times New Roman"/>
                <w:color w:val="0000FF"/>
                <w:sz w:val="24"/>
                <w:highlight w:val="none"/>
              </w:rPr>
              <w:t>一旦发现废气处理装置故障，实验室暂停实验，排查故障原因并解决后方能重新启用。</w:t>
            </w:r>
          </w:p>
          <w:p w14:paraId="22689878">
            <w:pPr>
              <w:spacing w:line="360" w:lineRule="auto"/>
              <w:ind w:firstLine="480" w:firstLineChars="200"/>
              <w:rPr>
                <w:rFonts w:hint="eastAsia"/>
                <w:b/>
                <w:bCs/>
                <w:color w:val="0000FF"/>
                <w:sz w:val="24"/>
                <w:highlight w:val="none"/>
              </w:rPr>
            </w:pPr>
            <w:r>
              <w:rPr>
                <w:rFonts w:hint="eastAsia" w:ascii="微软雅黑" w:hAnsi="微软雅黑" w:eastAsia="微软雅黑" w:cs="微软雅黑"/>
                <w:b/>
                <w:bCs/>
                <w:color w:val="0000FF"/>
                <w:sz w:val="24"/>
                <w:highlight w:val="none"/>
              </w:rPr>
              <w:t>⑥</w:t>
            </w:r>
            <w:r>
              <w:rPr>
                <w:rFonts w:hint="eastAsia"/>
                <w:b/>
                <w:bCs/>
                <w:color w:val="0000FF"/>
                <w:sz w:val="24"/>
                <w:highlight w:val="none"/>
              </w:rPr>
              <w:t>废水事故排放风险防范措施</w:t>
            </w:r>
          </w:p>
          <w:p w14:paraId="097274D1">
            <w:pPr>
              <w:spacing w:line="360" w:lineRule="auto"/>
              <w:ind w:firstLine="480" w:firstLineChars="200"/>
              <w:rPr>
                <w:rFonts w:hint="default"/>
                <w:color w:val="0000FF"/>
                <w:sz w:val="24"/>
                <w:highlight w:val="none"/>
              </w:rPr>
            </w:pPr>
            <w:r>
              <w:rPr>
                <w:rFonts w:hint="eastAsia"/>
                <w:color w:val="0000FF"/>
                <w:sz w:val="24"/>
                <w:highlight w:val="none"/>
              </w:rPr>
              <w:t>本项目</w:t>
            </w:r>
            <w:r>
              <w:rPr>
                <w:rFonts w:hint="eastAsia" w:ascii="Times New Roman" w:hAnsi="Times New Roman" w:eastAsia="宋体" w:cs="Times New Roman"/>
                <w:color w:val="0000FF"/>
                <w:sz w:val="24"/>
                <w:highlight w:val="none"/>
                <w:lang w:val="en-US" w:eastAsia="zh-CN"/>
              </w:rPr>
              <w:t>实验废水依托现有</w:t>
            </w:r>
            <w:r>
              <w:rPr>
                <w:rFonts w:hint="eastAsia"/>
                <w:color w:val="0000FF"/>
                <w:sz w:val="24"/>
                <w:highlight w:val="none"/>
              </w:rPr>
              <w:t>一套一体化污水处理设施处理。一旦发现一体化污水处理设施故障，实验室暂停用水、排水；一体化污水处理设备调节池兼做事故水池，最大可容纳废水量</w:t>
            </w:r>
            <w:r>
              <w:rPr>
                <w:rFonts w:hint="eastAsia" w:ascii="Times New Roman" w:hAnsi="Times New Roman" w:eastAsia="宋体" w:cs="Times New Roman"/>
                <w:color w:val="0000FF"/>
                <w:sz w:val="24"/>
                <w:highlight w:val="none"/>
                <w:lang w:val="en-US" w:eastAsia="zh-CN"/>
              </w:rPr>
              <w:t>1.</w:t>
            </w:r>
            <w:r>
              <w:rPr>
                <w:rFonts w:hint="eastAsia"/>
                <w:color w:val="0000FF"/>
                <w:sz w:val="24"/>
                <w:highlight w:val="none"/>
              </w:rPr>
              <w:t>5m³,实验废水最大产生量为</w:t>
            </w:r>
            <w:r>
              <w:rPr>
                <w:rFonts w:hint="eastAsia" w:ascii="Times New Roman" w:hAnsi="Times New Roman" w:eastAsia="宋体" w:cs="Times New Roman"/>
                <w:color w:val="0000FF"/>
                <w:sz w:val="24"/>
                <w:highlight w:val="none"/>
                <w:lang w:eastAsia="zh-CN"/>
              </w:rPr>
              <w:t>1</w:t>
            </w:r>
            <w:r>
              <w:rPr>
                <w:rFonts w:hint="eastAsia" w:ascii="Times New Roman" w:hAnsi="Times New Roman" w:eastAsia="宋体" w:cs="Times New Roman"/>
                <w:color w:val="0000FF"/>
                <w:sz w:val="24"/>
                <w:highlight w:val="none"/>
                <w:lang w:val="en-US" w:eastAsia="zh-CN"/>
              </w:rPr>
              <w:t>.2</w:t>
            </w:r>
            <w:r>
              <w:rPr>
                <w:rFonts w:hint="eastAsia"/>
                <w:color w:val="0000FF"/>
                <w:sz w:val="24"/>
                <w:highlight w:val="none"/>
              </w:rPr>
              <w:t>m³/d</w:t>
            </w:r>
            <w:r>
              <w:rPr>
                <w:rFonts w:hint="eastAsia" w:ascii="Times New Roman" w:hAnsi="Times New Roman" w:eastAsia="宋体" w:cs="Times New Roman"/>
                <w:color w:val="0000FF"/>
                <w:sz w:val="24"/>
                <w:highlight w:val="none"/>
                <w:lang w:eastAsia="zh-CN"/>
              </w:rPr>
              <w:t>，</w:t>
            </w:r>
            <w:r>
              <w:rPr>
                <w:rFonts w:hint="eastAsia"/>
                <w:color w:val="0000FF"/>
                <w:sz w:val="24"/>
                <w:highlight w:val="none"/>
              </w:rPr>
              <w:t>事故废水可纳入调节池中暂存，同时关闭通往市政雨水、污水管切断阀，防止污水流入市政管网，排查故障原因并解决后方能恢复用水、排水，收集池内暂存的废水经处理达标后排放。</w:t>
            </w:r>
          </w:p>
          <w:p w14:paraId="7DA2CA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color w:val="0000FF"/>
                <w:sz w:val="24"/>
                <w:highlight w:val="none"/>
              </w:rPr>
            </w:pPr>
            <w:r>
              <w:rPr>
                <w:rFonts w:hint="eastAsia" w:ascii="微软雅黑" w:hAnsi="微软雅黑" w:eastAsia="微软雅黑" w:cs="微软雅黑"/>
                <w:b/>
                <w:bCs/>
                <w:color w:val="0000FF"/>
                <w:sz w:val="24"/>
                <w:highlight w:val="none"/>
              </w:rPr>
              <w:t>⑦</w:t>
            </w:r>
            <w:r>
              <w:rPr>
                <w:rFonts w:hint="eastAsia" w:ascii="微软雅黑" w:hAnsi="微软雅黑" w:eastAsia="微软雅黑" w:cs="微软雅黑"/>
                <w:b/>
                <w:bCs/>
                <w:color w:val="0000FF"/>
                <w:sz w:val="24"/>
                <w:highlight w:val="none"/>
                <w:lang w:val="en-US" w:eastAsia="zh-CN"/>
              </w:rPr>
              <w:t xml:space="preserve">   </w:t>
            </w:r>
            <w:r>
              <w:rPr>
                <w:rFonts w:hint="eastAsia"/>
                <w:b/>
                <w:bCs/>
                <w:color w:val="0000FF"/>
                <w:sz w:val="24"/>
                <w:highlight w:val="none"/>
              </w:rPr>
              <w:t>实验室管理要求</w:t>
            </w:r>
          </w:p>
          <w:p w14:paraId="2056A0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cs="Times New Roman"/>
                <w:color w:val="0000FF"/>
                <w:sz w:val="24"/>
                <w:szCs w:val="24"/>
                <w:highlight w:val="none"/>
                <w:lang w:val="en-US" w:eastAsia="zh-CN"/>
              </w:rPr>
              <w:t>A.</w:t>
            </w:r>
            <w:r>
              <w:rPr>
                <w:rFonts w:hint="eastAsia" w:ascii="Times New Roman" w:hAnsi="Times New Roman" w:cs="Times New Roman"/>
                <w:color w:val="0000FF"/>
                <w:sz w:val="24"/>
                <w:szCs w:val="24"/>
                <w:highlight w:val="none"/>
                <w:lang w:val="en-US" w:eastAsia="zh-CN"/>
              </w:rPr>
              <w:t xml:space="preserve">项目营运过程中，必须加强安全管理，提高事故防范措施。做好突发性环境污染事故的预防，提高对突发性污染事故的应急处理能力。 </w:t>
            </w:r>
          </w:p>
          <w:p w14:paraId="31FE61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cs="Times New Roman"/>
                <w:color w:val="0000FF"/>
                <w:sz w:val="24"/>
                <w:szCs w:val="24"/>
                <w:highlight w:val="none"/>
                <w:lang w:val="en-US" w:eastAsia="zh-CN"/>
              </w:rPr>
              <w:t>B.</w:t>
            </w:r>
            <w:r>
              <w:rPr>
                <w:rFonts w:hint="eastAsia" w:ascii="Times New Roman" w:hAnsi="Times New Roman" w:cs="Times New Roman"/>
                <w:color w:val="0000FF"/>
                <w:sz w:val="24"/>
                <w:szCs w:val="24"/>
                <w:highlight w:val="none"/>
                <w:lang w:val="en-US" w:eastAsia="zh-CN"/>
              </w:rPr>
              <w:t xml:space="preserve">强化安全操作及环境保护意识的教育，提高职工的素质，加强操作人员的上岗前的培训，进行安全操作、消防、环保、工业卫生等方面的技术培训教育。 </w:t>
            </w:r>
          </w:p>
          <w:p w14:paraId="21F4F0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cs="Times New Roman"/>
                <w:color w:val="0000FF"/>
                <w:sz w:val="24"/>
                <w:szCs w:val="24"/>
                <w:highlight w:val="none"/>
                <w:lang w:val="en-US" w:eastAsia="zh-CN"/>
              </w:rPr>
              <w:t>C.</w:t>
            </w:r>
            <w:r>
              <w:rPr>
                <w:rFonts w:hint="eastAsia" w:ascii="Times New Roman" w:hAnsi="Times New Roman" w:cs="Times New Roman"/>
                <w:color w:val="0000FF"/>
                <w:sz w:val="24"/>
                <w:szCs w:val="24"/>
                <w:highlight w:val="none"/>
                <w:lang w:val="en-US" w:eastAsia="zh-CN"/>
              </w:rPr>
              <w:t xml:space="preserve">配备必要的应急物资（如灭火器等），设备等定期进行检修维护，并做好记录。 </w:t>
            </w:r>
          </w:p>
          <w:p w14:paraId="141BD7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cs="Times New Roman"/>
                <w:color w:val="0000FF"/>
                <w:sz w:val="24"/>
                <w:szCs w:val="24"/>
                <w:highlight w:val="none"/>
                <w:lang w:val="en-US" w:eastAsia="zh-CN"/>
              </w:rPr>
              <w:t>D.</w:t>
            </w:r>
            <w:r>
              <w:rPr>
                <w:rFonts w:hint="eastAsia" w:ascii="Times New Roman" w:hAnsi="Times New Roman" w:cs="Times New Roman"/>
                <w:color w:val="0000FF"/>
                <w:sz w:val="24"/>
                <w:szCs w:val="24"/>
                <w:highlight w:val="none"/>
                <w:lang w:val="en-US" w:eastAsia="zh-CN"/>
              </w:rPr>
              <w:t xml:space="preserve">加强实验室的环境管理，积极做好环保、消防等的预防工作，建立环境风险防控和应急措施制度，明确环境风险防控重点岗位的责任人和责任机构，落实定期巡检和维护责任制度，以最大程度避免可能产生的环境风险事故。 </w:t>
            </w:r>
          </w:p>
          <w:p w14:paraId="54610B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00FF"/>
                <w:sz w:val="24"/>
                <w:szCs w:val="24"/>
                <w:highlight w:val="none"/>
                <w:lang w:val="en-US" w:eastAsia="zh-CN"/>
              </w:rPr>
            </w:pPr>
            <w:r>
              <w:rPr>
                <w:rFonts w:hint="eastAsia" w:cs="Times New Roman"/>
                <w:color w:val="0000FF"/>
                <w:sz w:val="24"/>
                <w:szCs w:val="24"/>
                <w:highlight w:val="none"/>
                <w:lang w:val="en-US" w:eastAsia="zh-CN"/>
              </w:rPr>
              <w:t>E.</w:t>
            </w:r>
            <w:r>
              <w:rPr>
                <w:rFonts w:hint="eastAsia" w:ascii="Times New Roman" w:hAnsi="Times New Roman" w:cs="Times New Roman"/>
                <w:color w:val="0000FF"/>
                <w:sz w:val="24"/>
                <w:szCs w:val="24"/>
                <w:highlight w:val="none"/>
                <w:lang w:val="en-US" w:eastAsia="zh-CN"/>
              </w:rPr>
              <w:t xml:space="preserve">实验室清洗区域地面应采取防渗、防漏措施，防止废液跑、冒、滴、漏。 </w:t>
            </w:r>
          </w:p>
          <w:p w14:paraId="71885A8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（4）应急预案</w:t>
            </w:r>
          </w:p>
          <w:p w14:paraId="4E127B7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由于原辅材料存量及种类变动建议尽快</w:t>
            </w:r>
            <w:r>
              <w:rPr>
                <w:rFonts w:hint="eastAsia" w:cs="Times New Roman"/>
                <w:color w:val="auto"/>
                <w:sz w:val="24"/>
                <w:szCs w:val="24"/>
                <w:highlight w:val="none"/>
                <w:lang w:val="en-US" w:eastAsia="zh-CN"/>
              </w:rPr>
              <w:t>修订</w:t>
            </w:r>
            <w:r>
              <w:rPr>
                <w:rFonts w:hint="default" w:ascii="Times New Roman" w:hAnsi="Times New Roman" w:cs="Times New Roman"/>
                <w:color w:val="auto"/>
                <w:sz w:val="24"/>
                <w:szCs w:val="24"/>
                <w:highlight w:val="none"/>
                <w:lang w:val="en-US" w:eastAsia="zh-CN"/>
              </w:rPr>
              <w:t>突发环境事件应急预案，对可能发生的环境风险给予说明</w:t>
            </w:r>
            <w:r>
              <w:rPr>
                <w:rFonts w:hint="eastAsia"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应按照《陕西省环境保护厅突发环境事件应急预案》的要求编制应急预案并严格</w:t>
            </w:r>
            <w:r>
              <w:rPr>
                <w:rFonts w:hint="eastAsia" w:cs="Times New Roman"/>
                <w:color w:val="auto"/>
                <w:sz w:val="24"/>
                <w:szCs w:val="24"/>
                <w:highlight w:val="none"/>
                <w:lang w:val="en-US" w:eastAsia="zh-CN"/>
              </w:rPr>
              <w:t>执行</w:t>
            </w:r>
            <w:r>
              <w:rPr>
                <w:rFonts w:hint="default" w:ascii="Times New Roman" w:hAnsi="Times New Roman" w:cs="Times New Roman"/>
                <w:color w:val="auto"/>
                <w:sz w:val="24"/>
                <w:szCs w:val="24"/>
                <w:highlight w:val="none"/>
                <w:lang w:val="en-US" w:eastAsia="zh-CN"/>
              </w:rPr>
              <w:t>环境风险事故应急预案要求。定期组织学习事故应急预案和演练，根据演习情况结合实际对预案进行适当修改。应急队伍要进行专业培训，并要有培训记录和档案。同时，加强各应急救援专业队伍的建设，配有相应器材并确保设备性能完好，保证企业与地方（区域）应急预案衔接与联动有效。本项目编制环境风险事故应急预案应遵循以下原则：</w:t>
            </w:r>
          </w:p>
          <w:p w14:paraId="09E88A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①预案应针对可能造成本企业或本系统区域人员死亡或严重伤害、设备或环境受到严重破坏而又具有突发性的灾害，如火灾、爆炸等；</w:t>
            </w:r>
          </w:p>
          <w:p w14:paraId="69B0A4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②预案应以完善的安全技术措施为基础，作为对日常安全管理工作的必要补充，体现“安全第一、预防为主”的安全生产方针；</w:t>
            </w:r>
          </w:p>
          <w:p w14:paraId="45840A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③预案应以努力保护人身安全、防止人员伤害为第一目的，同时兼顾设备和环境的防护，尽量减少灾害的损失程度；</w:t>
            </w:r>
          </w:p>
          <w:p w14:paraId="3922D3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④编制现场事故应急处理预案，应包括对紧急情况的处理程序和措施；</w:t>
            </w:r>
          </w:p>
          <w:p w14:paraId="71173E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⑤预案应结合实际，措施明确具体，具有很强的可操作性；</w:t>
            </w:r>
          </w:p>
          <w:p w14:paraId="210899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⑥预案应确保符合国家</w:t>
            </w:r>
            <w:r>
              <w:rPr>
                <w:rFonts w:hint="eastAsia" w:cs="Times New Roman"/>
                <w:color w:val="auto"/>
                <w:sz w:val="24"/>
                <w:szCs w:val="24"/>
                <w:highlight w:val="none"/>
                <w:lang w:val="en-US" w:eastAsia="zh-CN"/>
              </w:rPr>
              <w:t>法律法规</w:t>
            </w:r>
            <w:r>
              <w:rPr>
                <w:rFonts w:hint="default" w:ascii="Times New Roman" w:hAnsi="Times New Roman" w:cs="Times New Roman"/>
                <w:color w:val="auto"/>
                <w:sz w:val="24"/>
                <w:szCs w:val="24"/>
                <w:highlight w:val="none"/>
                <w:lang w:val="en-US" w:eastAsia="zh-CN"/>
              </w:rPr>
              <w:t>的规定，不应把预案作为重大危险设施维持安全运行状态的替代措施；</w:t>
            </w:r>
          </w:p>
          <w:p w14:paraId="0D50548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⑦预案应经常检查修订，保证先进和科学的防灾减灾设备和措施被采用</w:t>
            </w:r>
            <w:r>
              <w:rPr>
                <w:rFonts w:hint="eastAsia" w:cs="Times New Roman"/>
                <w:color w:val="auto"/>
                <w:sz w:val="24"/>
                <w:szCs w:val="24"/>
                <w:highlight w:val="none"/>
                <w:lang w:val="en-US" w:eastAsia="zh-CN"/>
              </w:rPr>
              <w:t>。</w:t>
            </w:r>
          </w:p>
          <w:p w14:paraId="6045C842">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bCs/>
                <w:color w:val="auto"/>
                <w:kern w:val="0"/>
                <w:sz w:val="24"/>
                <w:highlight w:val="none"/>
                <w:lang w:eastAsia="zh-CN" w:bidi="ar"/>
              </w:rPr>
            </w:pPr>
            <w:r>
              <w:rPr>
                <w:rFonts w:hint="default" w:ascii="Times New Roman" w:hAnsi="Times New Roman" w:cs="Times New Roman"/>
                <w:b/>
                <w:bCs/>
                <w:color w:val="auto"/>
                <w:kern w:val="0"/>
                <w:sz w:val="24"/>
                <w:highlight w:val="none"/>
                <w:lang w:eastAsia="zh-CN" w:bidi="ar"/>
              </w:rPr>
              <w:t>（</w:t>
            </w:r>
            <w:r>
              <w:rPr>
                <w:rFonts w:hint="default" w:ascii="Times New Roman" w:hAnsi="Times New Roman" w:cs="Times New Roman"/>
                <w:b/>
                <w:bCs/>
                <w:color w:val="auto"/>
                <w:kern w:val="0"/>
                <w:sz w:val="24"/>
                <w:highlight w:val="none"/>
                <w:lang w:val="en-US" w:eastAsia="zh-CN" w:bidi="ar"/>
              </w:rPr>
              <w:t>5</w:t>
            </w:r>
            <w:r>
              <w:rPr>
                <w:rFonts w:hint="default" w:ascii="Times New Roman" w:hAnsi="Times New Roman" w:cs="Times New Roman"/>
                <w:b/>
                <w:bCs/>
                <w:color w:val="auto"/>
                <w:kern w:val="0"/>
                <w:sz w:val="24"/>
                <w:highlight w:val="none"/>
                <w:lang w:eastAsia="zh-CN" w:bidi="ar"/>
              </w:rPr>
              <w:t>）环境风险分析结论</w:t>
            </w:r>
          </w:p>
          <w:p w14:paraId="2E56FF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highlight w:val="none"/>
                <w:lang w:val="en-US" w:eastAsia="zh-CN"/>
              </w:rPr>
            </w:pPr>
            <w:r>
              <w:rPr>
                <w:rFonts w:hint="default" w:ascii="Times New Roman" w:hAnsi="Times New Roman" w:cs="Times New Roman"/>
                <w:color w:val="auto"/>
                <w:kern w:val="0"/>
                <w:sz w:val="24"/>
                <w:highlight w:val="none"/>
                <w:lang w:eastAsia="zh-CN" w:bidi="ar"/>
              </w:rPr>
              <w:t>本项目的危险物质主要包括</w:t>
            </w:r>
            <w:r>
              <w:rPr>
                <w:rFonts w:hint="eastAsia" w:ascii="Times New Roman" w:hAnsi="Times New Roman" w:cs="Times New Roman"/>
                <w:color w:val="auto"/>
                <w:kern w:val="0"/>
                <w:sz w:val="24"/>
                <w:highlight w:val="none"/>
                <w:lang w:val="en-US" w:eastAsia="zh-CN" w:bidi="ar"/>
              </w:rPr>
              <w:t>实验试剂和实验废液</w:t>
            </w:r>
            <w:r>
              <w:rPr>
                <w:rFonts w:hint="default" w:ascii="Times New Roman" w:hAnsi="Times New Roman" w:cs="Times New Roman"/>
                <w:color w:val="auto"/>
                <w:kern w:val="0"/>
                <w:sz w:val="24"/>
                <w:highlight w:val="none"/>
                <w:lang w:eastAsia="zh-CN" w:bidi="ar"/>
              </w:rPr>
              <w:t>。在各项环境风险防范措施落实到位的情况下，将可大大降低建设项目的环境风险。采取上述措施后，本项目环境风险可接受。综上所述，项目环境风险水平可接受。</w:t>
            </w:r>
          </w:p>
          <w:p w14:paraId="544BB7B0">
            <w:pPr>
              <w:keepNext w:val="0"/>
              <w:keepLines w:val="0"/>
              <w:widowControl/>
              <w:suppressLineNumbers w:val="0"/>
              <w:jc w:val="center"/>
              <w:rPr>
                <w:color w:val="auto"/>
                <w:highlight w:val="none"/>
              </w:rPr>
            </w:pPr>
            <w:r>
              <w:rPr>
                <w:rFonts w:hint="eastAsia" w:ascii="宋体" w:hAnsi="宋体" w:eastAsia="宋体" w:cs="宋体"/>
                <w:b/>
                <w:bCs/>
                <w:color w:val="auto"/>
                <w:kern w:val="0"/>
                <w:sz w:val="24"/>
                <w:szCs w:val="24"/>
                <w:highlight w:val="none"/>
                <w:lang w:val="en-US" w:eastAsia="zh-CN" w:bidi="ar"/>
              </w:rPr>
              <w:t xml:space="preserve">表 </w:t>
            </w:r>
            <w:r>
              <w:rPr>
                <w:rFonts w:hint="default" w:ascii="Times New Roman" w:hAnsi="Times New Roman" w:eastAsia="宋体" w:cs="Times New Roman"/>
                <w:b/>
                <w:bCs/>
                <w:color w:val="auto"/>
                <w:kern w:val="0"/>
                <w:sz w:val="24"/>
                <w:szCs w:val="24"/>
                <w:highlight w:val="none"/>
                <w:lang w:val="en-US" w:eastAsia="zh-CN" w:bidi="ar"/>
              </w:rPr>
              <w:t>4-</w:t>
            </w:r>
            <w:r>
              <w:rPr>
                <w:rFonts w:hint="eastAsia" w:ascii="Times New Roman" w:hAnsi="Times New Roman" w:eastAsia="宋体" w:cs="Times New Roman"/>
                <w:b/>
                <w:bCs/>
                <w:color w:val="auto"/>
                <w:kern w:val="0"/>
                <w:sz w:val="24"/>
                <w:szCs w:val="24"/>
                <w:highlight w:val="none"/>
                <w:lang w:val="en-US" w:eastAsia="zh-CN" w:bidi="ar"/>
              </w:rPr>
              <w:t>1</w:t>
            </w:r>
            <w:r>
              <w:rPr>
                <w:rFonts w:hint="eastAsia" w:cs="Times New Roman"/>
                <w:b/>
                <w:bCs/>
                <w:color w:val="auto"/>
                <w:kern w:val="0"/>
                <w:sz w:val="24"/>
                <w:szCs w:val="24"/>
                <w:highlight w:val="none"/>
                <w:lang w:val="en-US" w:eastAsia="zh-CN" w:bidi="ar"/>
              </w:rPr>
              <w:t>9</w:t>
            </w:r>
            <w:r>
              <w:rPr>
                <w:rFonts w:hint="default" w:ascii="Times New Roman" w:hAnsi="Times New Roman" w:eastAsia="宋体" w:cs="Times New Roman"/>
                <w:b/>
                <w:bCs/>
                <w:color w:val="auto"/>
                <w:kern w:val="0"/>
                <w:sz w:val="24"/>
                <w:szCs w:val="24"/>
                <w:highlight w:val="none"/>
                <w:lang w:val="en-US" w:eastAsia="zh-CN" w:bidi="ar"/>
              </w:rPr>
              <w:t xml:space="preserve"> </w:t>
            </w:r>
            <w:r>
              <w:rPr>
                <w:rFonts w:hint="eastAsia" w:ascii="宋体" w:hAnsi="宋体" w:eastAsia="宋体" w:cs="宋体"/>
                <w:b/>
                <w:bCs/>
                <w:color w:val="auto"/>
                <w:kern w:val="0"/>
                <w:sz w:val="24"/>
                <w:szCs w:val="24"/>
                <w:highlight w:val="none"/>
                <w:lang w:val="en-US" w:eastAsia="zh-CN" w:bidi="ar"/>
              </w:rPr>
              <w:t>建设项目环境风险简单分析内容表</w:t>
            </w:r>
          </w:p>
          <w:tbl>
            <w:tblPr>
              <w:tblStyle w:val="30"/>
              <w:tblW w:w="7224"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57"/>
              <w:gridCol w:w="697"/>
              <w:gridCol w:w="2174"/>
              <w:gridCol w:w="515"/>
              <w:gridCol w:w="2681"/>
            </w:tblGrid>
            <w:tr w14:paraId="7BD4CC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jc w:val="center"/>
              </w:trPr>
              <w:tc>
                <w:tcPr>
                  <w:tcW w:w="1157" w:type="dxa"/>
                  <w:tcBorders>
                    <w:tl2br w:val="nil"/>
                    <w:tr2bl w:val="nil"/>
                  </w:tcBorders>
                  <w:shd w:val="clear" w:color="auto" w:fill="auto"/>
                  <w:vAlign w:val="center"/>
                </w:tcPr>
                <w:p w14:paraId="363E6B46">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建设项目名称</w:t>
                  </w:r>
                </w:p>
              </w:tc>
              <w:tc>
                <w:tcPr>
                  <w:tcW w:w="6067" w:type="dxa"/>
                  <w:gridSpan w:val="4"/>
                  <w:tcBorders>
                    <w:tl2br w:val="nil"/>
                    <w:tr2bl w:val="nil"/>
                  </w:tcBorders>
                  <w:shd w:val="clear" w:color="auto" w:fill="auto"/>
                  <w:noWrap/>
                  <w:vAlign w:val="center"/>
                </w:tcPr>
                <w:p w14:paraId="0315F1C0">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陕西君境迈德生物医药科技有限公司研发实验室项目</w:t>
                  </w:r>
                </w:p>
              </w:tc>
            </w:tr>
            <w:tr w14:paraId="7BD2E4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32" w:hRule="atLeast"/>
                <w:jc w:val="center"/>
              </w:trPr>
              <w:tc>
                <w:tcPr>
                  <w:tcW w:w="1157" w:type="dxa"/>
                  <w:tcBorders>
                    <w:tl2br w:val="nil"/>
                    <w:tr2bl w:val="nil"/>
                  </w:tcBorders>
                  <w:shd w:val="clear" w:color="auto" w:fill="auto"/>
                  <w:vAlign w:val="center"/>
                </w:tcPr>
                <w:p w14:paraId="094D82F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建设地点</w:t>
                  </w:r>
                </w:p>
              </w:tc>
              <w:tc>
                <w:tcPr>
                  <w:tcW w:w="6067" w:type="dxa"/>
                  <w:gridSpan w:val="4"/>
                  <w:tcBorders>
                    <w:tl2br w:val="nil"/>
                    <w:tr2bl w:val="nil"/>
                  </w:tcBorders>
                  <w:shd w:val="clear" w:color="auto" w:fill="auto"/>
                  <w:noWrap/>
                  <w:vAlign w:val="center"/>
                </w:tcPr>
                <w:p w14:paraId="5C5C591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陕西省西咸新区沣东新城石化大道西段106号沣东科技产业园36号楼10601、10602室</w:t>
                  </w:r>
                </w:p>
              </w:tc>
            </w:tr>
            <w:tr w14:paraId="0BDBA6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6" w:hRule="atLeast"/>
                <w:jc w:val="center"/>
              </w:trPr>
              <w:tc>
                <w:tcPr>
                  <w:tcW w:w="1157" w:type="dxa"/>
                  <w:tcBorders>
                    <w:tl2br w:val="nil"/>
                    <w:tr2bl w:val="nil"/>
                  </w:tcBorders>
                  <w:shd w:val="clear" w:color="auto" w:fill="auto"/>
                  <w:vAlign w:val="center"/>
                </w:tcPr>
                <w:p w14:paraId="093CD906">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地理坐标</w:t>
                  </w:r>
                </w:p>
              </w:tc>
              <w:tc>
                <w:tcPr>
                  <w:tcW w:w="697" w:type="dxa"/>
                  <w:tcBorders>
                    <w:tl2br w:val="nil"/>
                    <w:tr2bl w:val="nil"/>
                  </w:tcBorders>
                  <w:shd w:val="clear" w:color="auto" w:fill="auto"/>
                  <w:noWrap/>
                  <w:vAlign w:val="center"/>
                </w:tcPr>
                <w:p w14:paraId="263D12D1">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经度</w:t>
                  </w:r>
                </w:p>
              </w:tc>
              <w:tc>
                <w:tcPr>
                  <w:tcW w:w="2174" w:type="dxa"/>
                  <w:tcBorders>
                    <w:tl2br w:val="nil"/>
                    <w:tr2bl w:val="nil"/>
                  </w:tcBorders>
                  <w:shd w:val="clear" w:color="auto" w:fill="auto"/>
                  <w:noWrap/>
                  <w:vAlign w:val="center"/>
                </w:tcPr>
                <w:p w14:paraId="0CFE5D6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108度48分22.610秒</w:t>
                  </w:r>
                </w:p>
              </w:tc>
              <w:tc>
                <w:tcPr>
                  <w:tcW w:w="515" w:type="dxa"/>
                  <w:tcBorders>
                    <w:tl2br w:val="nil"/>
                    <w:tr2bl w:val="nil"/>
                  </w:tcBorders>
                  <w:shd w:val="clear" w:color="auto" w:fill="auto"/>
                  <w:noWrap/>
                  <w:vAlign w:val="center"/>
                </w:tcPr>
                <w:p w14:paraId="5CC106AE">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纬度</w:t>
                  </w:r>
                </w:p>
              </w:tc>
              <w:tc>
                <w:tcPr>
                  <w:tcW w:w="2681" w:type="dxa"/>
                  <w:tcBorders>
                    <w:tl2br w:val="nil"/>
                    <w:tr2bl w:val="nil"/>
                  </w:tcBorders>
                  <w:shd w:val="clear" w:color="auto" w:fill="auto"/>
                  <w:noWrap/>
                  <w:vAlign w:val="center"/>
                </w:tcPr>
                <w:p w14:paraId="282658CA">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34度19分28.410秒</w:t>
                  </w:r>
                </w:p>
              </w:tc>
            </w:tr>
            <w:tr w14:paraId="494C64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78" w:hRule="atLeast"/>
                <w:jc w:val="center"/>
              </w:trPr>
              <w:tc>
                <w:tcPr>
                  <w:tcW w:w="1157" w:type="dxa"/>
                  <w:tcBorders>
                    <w:tl2br w:val="nil"/>
                    <w:tr2bl w:val="nil"/>
                  </w:tcBorders>
                  <w:shd w:val="clear" w:color="auto" w:fill="auto"/>
                  <w:vAlign w:val="center"/>
                </w:tcPr>
                <w:p w14:paraId="17F5F58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主要危险物质及分布</w:t>
                  </w:r>
                </w:p>
              </w:tc>
              <w:tc>
                <w:tcPr>
                  <w:tcW w:w="6067" w:type="dxa"/>
                  <w:gridSpan w:val="4"/>
                  <w:tcBorders>
                    <w:tl2br w:val="nil"/>
                    <w:tr2bl w:val="nil"/>
                  </w:tcBorders>
                  <w:shd w:val="clear" w:color="auto" w:fill="auto"/>
                  <w:vAlign w:val="center"/>
                </w:tcPr>
                <w:p w14:paraId="64A74CCC">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主要风险物质为石油醚、乙醇、正己烷、乙酸乙酯、二氯甲烷、甲酸、三溴化硼、</w:t>
                  </w:r>
                  <w:r>
                    <w:rPr>
                      <w:rFonts w:hint="eastAsia" w:cs="Times New Roman"/>
                      <w:i w:val="0"/>
                      <w:iCs w:val="0"/>
                      <w:color w:val="auto"/>
                      <w:kern w:val="0"/>
                      <w:sz w:val="21"/>
                      <w:szCs w:val="21"/>
                      <w:highlight w:val="none"/>
                      <w:u w:val="none"/>
                      <w:lang w:val="en-US" w:eastAsia="zh-CN" w:bidi="ar"/>
                    </w:rPr>
                    <w:t>盐酸、硝酸、实验废液</w:t>
                  </w:r>
                  <w:r>
                    <w:rPr>
                      <w:rFonts w:hint="default" w:ascii="Times New Roman" w:hAnsi="Times New Roman" w:eastAsia="宋体" w:cs="Times New Roman"/>
                      <w:i w:val="0"/>
                      <w:iCs w:val="0"/>
                      <w:color w:val="auto"/>
                      <w:kern w:val="0"/>
                      <w:sz w:val="21"/>
                      <w:szCs w:val="21"/>
                      <w:highlight w:val="none"/>
                      <w:u w:val="none"/>
                      <w:lang w:val="en-US" w:eastAsia="zh-CN" w:bidi="ar"/>
                    </w:rPr>
                    <w:t>等，试剂存放在</w:t>
                  </w:r>
                  <w:r>
                    <w:rPr>
                      <w:rFonts w:hint="eastAsia" w:cs="Times New Roman"/>
                      <w:i w:val="0"/>
                      <w:iCs w:val="0"/>
                      <w:color w:val="auto"/>
                      <w:kern w:val="0"/>
                      <w:sz w:val="21"/>
                      <w:szCs w:val="21"/>
                      <w:highlight w:val="none"/>
                      <w:u w:val="none"/>
                      <w:lang w:val="en-US" w:eastAsia="zh-CN" w:bidi="ar"/>
                    </w:rPr>
                    <w:t>试剂室</w:t>
                  </w:r>
                  <w:r>
                    <w:rPr>
                      <w:rFonts w:hint="default" w:ascii="Times New Roman" w:hAnsi="Times New Roman" w:eastAsia="宋体" w:cs="Times New Roman"/>
                      <w:i w:val="0"/>
                      <w:iCs w:val="0"/>
                      <w:color w:val="auto"/>
                      <w:kern w:val="0"/>
                      <w:sz w:val="21"/>
                      <w:szCs w:val="21"/>
                      <w:highlight w:val="none"/>
                      <w:u w:val="none"/>
                      <w:lang w:val="en-US" w:eastAsia="zh-CN" w:bidi="ar"/>
                    </w:rPr>
                    <w:t>防爆柜中，</w:t>
                  </w:r>
                  <w:r>
                    <w:rPr>
                      <w:rFonts w:hint="eastAsia" w:cs="Times New Roman"/>
                      <w:i w:val="0"/>
                      <w:iCs w:val="0"/>
                      <w:color w:val="auto"/>
                      <w:kern w:val="0"/>
                      <w:sz w:val="21"/>
                      <w:szCs w:val="21"/>
                      <w:highlight w:val="none"/>
                      <w:u w:val="none"/>
                      <w:lang w:val="en-US" w:eastAsia="zh-CN" w:bidi="ar"/>
                    </w:rPr>
                    <w:t>实验废液</w:t>
                  </w:r>
                  <w:r>
                    <w:rPr>
                      <w:rFonts w:hint="default" w:ascii="Times New Roman" w:hAnsi="Times New Roman" w:eastAsia="宋体" w:cs="Times New Roman"/>
                      <w:i w:val="0"/>
                      <w:iCs w:val="0"/>
                      <w:color w:val="auto"/>
                      <w:kern w:val="0"/>
                      <w:sz w:val="21"/>
                      <w:szCs w:val="21"/>
                      <w:highlight w:val="none"/>
                      <w:u w:val="none"/>
                      <w:lang w:val="en-US" w:eastAsia="zh-CN" w:bidi="ar"/>
                    </w:rPr>
                    <w:t>存放于危废暂存库中。</w:t>
                  </w:r>
                </w:p>
              </w:tc>
            </w:tr>
            <w:tr w14:paraId="074073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06" w:hRule="atLeast"/>
                <w:jc w:val="center"/>
              </w:trPr>
              <w:tc>
                <w:tcPr>
                  <w:tcW w:w="1157" w:type="dxa"/>
                  <w:tcBorders>
                    <w:tl2br w:val="nil"/>
                    <w:tr2bl w:val="nil"/>
                  </w:tcBorders>
                  <w:shd w:val="clear" w:color="auto" w:fill="auto"/>
                  <w:vAlign w:val="center"/>
                </w:tcPr>
                <w:p w14:paraId="17BF07FC">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环境影响途径及危害后果</w:t>
                  </w:r>
                  <w:r>
                    <w:rPr>
                      <w:rFonts w:hint="default" w:ascii="Times New Roman" w:hAnsi="Times New Roman" w:eastAsia="宋体" w:cs="Times New Roman"/>
                      <w:b/>
                      <w:bCs/>
                      <w:i w:val="0"/>
                      <w:iCs w:val="0"/>
                      <w:color w:val="auto"/>
                      <w:kern w:val="0"/>
                      <w:sz w:val="21"/>
                      <w:szCs w:val="21"/>
                      <w:highlight w:val="none"/>
                      <w:u w:val="none"/>
                      <w:lang w:val="en-US" w:eastAsia="zh-CN" w:bidi="ar"/>
                    </w:rPr>
                    <w:t xml:space="preserve"> (</w:t>
                  </w:r>
                  <w:r>
                    <w:rPr>
                      <w:rFonts w:hint="eastAsia" w:ascii="宋体" w:hAnsi="宋体" w:eastAsia="宋体" w:cs="宋体"/>
                      <w:b/>
                      <w:bCs/>
                      <w:i w:val="0"/>
                      <w:iCs w:val="0"/>
                      <w:color w:val="auto"/>
                      <w:kern w:val="0"/>
                      <w:sz w:val="21"/>
                      <w:szCs w:val="21"/>
                      <w:highlight w:val="none"/>
                      <w:u w:val="none"/>
                      <w:lang w:val="en-US" w:eastAsia="zh-CN" w:bidi="ar"/>
                    </w:rPr>
                    <w:t>大气、地表水、地下水</w:t>
                  </w:r>
                  <w:r>
                    <w:rPr>
                      <w:rFonts w:hint="default" w:ascii="Times New Roman" w:hAnsi="Times New Roman" w:eastAsia="宋体" w:cs="Times New Roman"/>
                      <w:b/>
                      <w:bCs/>
                      <w:i w:val="0"/>
                      <w:iCs w:val="0"/>
                      <w:color w:val="auto"/>
                      <w:kern w:val="0"/>
                      <w:sz w:val="21"/>
                      <w:szCs w:val="21"/>
                      <w:highlight w:val="none"/>
                      <w:u w:val="none"/>
                      <w:lang w:val="en-US" w:eastAsia="zh-CN" w:bidi="ar"/>
                    </w:rPr>
                    <w:t>)</w:t>
                  </w:r>
                </w:p>
              </w:tc>
              <w:tc>
                <w:tcPr>
                  <w:tcW w:w="6067" w:type="dxa"/>
                  <w:gridSpan w:val="4"/>
                  <w:tcBorders>
                    <w:tl2br w:val="nil"/>
                    <w:tr2bl w:val="nil"/>
                  </w:tcBorders>
                  <w:shd w:val="clear" w:color="auto" w:fill="auto"/>
                  <w:vAlign w:val="center"/>
                </w:tcPr>
                <w:p w14:paraId="7DF642CE">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危险物质在储存、使用与转运过程中，如果发生泄漏，有污染地下水和土壤的环境风险；泄漏后的物料不及时收集，挥发有污染周边大气的环境风险；遇明火发生火灾，可能引发次生环境事故，消防尾水进入雨水管网有污染周边水体的环境风险。</w:t>
                  </w:r>
                </w:p>
              </w:tc>
            </w:tr>
            <w:tr w14:paraId="0421EC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967" w:hRule="atLeast"/>
                <w:jc w:val="center"/>
              </w:trPr>
              <w:tc>
                <w:tcPr>
                  <w:tcW w:w="1157" w:type="dxa"/>
                  <w:tcBorders>
                    <w:tl2br w:val="nil"/>
                    <w:tr2bl w:val="nil"/>
                  </w:tcBorders>
                  <w:shd w:val="clear" w:color="auto" w:fill="auto"/>
                  <w:vAlign w:val="center"/>
                </w:tcPr>
                <w:p w14:paraId="2E54CF90">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风险防范措施要求</w:t>
                  </w:r>
                </w:p>
              </w:tc>
              <w:tc>
                <w:tcPr>
                  <w:tcW w:w="6067" w:type="dxa"/>
                  <w:gridSpan w:val="4"/>
                  <w:tcBorders>
                    <w:tl2br w:val="nil"/>
                    <w:tr2bl w:val="nil"/>
                  </w:tcBorders>
                  <w:shd w:val="clear" w:color="auto" w:fill="auto"/>
                  <w:vAlign w:val="center"/>
                </w:tcPr>
                <w:p w14:paraId="25B7167E">
                  <w:pPr>
                    <w:keepNext w:val="0"/>
                    <w:keepLines w:val="0"/>
                    <w:widowControl/>
                    <w:suppressLineNumbers w:val="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p w14:paraId="2BCEC8C5">
                  <w:pPr>
                    <w:keepNext w:val="0"/>
                    <w:keepLines w:val="0"/>
                    <w:widowControl/>
                    <w:suppressLineNumbers w:val="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宋体" w:hAnsi="宋体" w:eastAsia="宋体" w:cs="宋体"/>
                      <w:color w:val="auto"/>
                      <w:kern w:val="0"/>
                      <w:sz w:val="20"/>
                      <w:szCs w:val="20"/>
                      <w:highlight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）加强原辅料的安全管理，各类原辅材料存放于指定区域内化 学品柜中，存放区地面全部硬化。</w:t>
                  </w:r>
                </w:p>
                <w:p w14:paraId="18F3AF24">
                  <w:pPr>
                    <w:keepNext w:val="0"/>
                    <w:keepLines w:val="0"/>
                    <w:widowControl/>
                    <w:suppressLineNumbers w:val="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cs="Times New Roman"/>
                      <w:i w:val="0"/>
                      <w:iCs w:val="0"/>
                      <w:color w:val="auto"/>
                      <w:kern w:val="0"/>
                      <w:sz w:val="21"/>
                      <w:szCs w:val="21"/>
                      <w:highlight w:val="none"/>
                      <w:u w:val="none"/>
                      <w:lang w:val="en-US" w:eastAsia="zh-CN" w:bidi="ar"/>
                    </w:rPr>
                    <w:t>修订突发</w:t>
                  </w:r>
                  <w:r>
                    <w:rPr>
                      <w:rFonts w:hint="default" w:ascii="Times New Roman" w:hAnsi="Times New Roman" w:eastAsia="宋体" w:cs="Times New Roman"/>
                      <w:i w:val="0"/>
                      <w:iCs w:val="0"/>
                      <w:color w:val="auto"/>
                      <w:kern w:val="0"/>
                      <w:sz w:val="21"/>
                      <w:szCs w:val="21"/>
                      <w:highlight w:val="none"/>
                      <w:u w:val="none"/>
                      <w:lang w:val="en-US" w:eastAsia="zh-CN" w:bidi="ar"/>
                    </w:rPr>
                    <w:t>环境应急预案，成立事故应急处理小组，由实验室安全负责人担任事故应急小组组长，一旦发生泄漏、火灾等事故，应立即启动事故应急预案，并向有关环境管理部门汇报情况，协助环境管理部门进行应急监测等工作。</w:t>
                  </w:r>
                </w:p>
                <w:p w14:paraId="53BBFD98">
                  <w:pPr>
                    <w:keepNext w:val="0"/>
                    <w:keepLines w:val="0"/>
                    <w:widowControl/>
                    <w:suppressLineNumbers w:val="0"/>
                    <w:jc w:val="both"/>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r>
                    <w:rPr>
                      <w:rFonts w:hint="eastAsia" w:cs="Times New Roman"/>
                      <w:i w:val="0"/>
                      <w:iCs w:val="0"/>
                      <w:color w:val="auto"/>
                      <w:kern w:val="0"/>
                      <w:sz w:val="21"/>
                      <w:szCs w:val="21"/>
                      <w:highlight w:val="none"/>
                      <w:u w:val="none"/>
                      <w:lang w:val="en-US" w:eastAsia="zh-CN" w:bidi="ar"/>
                    </w:rPr>
                    <w:t>危废贮存库</w:t>
                  </w:r>
                  <w:r>
                    <w:rPr>
                      <w:rFonts w:hint="default" w:ascii="Times New Roman" w:hAnsi="Times New Roman" w:eastAsia="宋体" w:cs="Times New Roman"/>
                      <w:i w:val="0"/>
                      <w:iCs w:val="0"/>
                      <w:color w:val="auto"/>
                      <w:kern w:val="0"/>
                      <w:sz w:val="21"/>
                      <w:szCs w:val="21"/>
                      <w:highlight w:val="none"/>
                      <w:u w:val="none"/>
                      <w:lang w:val="en-US" w:eastAsia="zh-CN" w:bidi="ar"/>
                    </w:rPr>
                    <w:t>中临时存放的危险废物应密封储存，</w:t>
                  </w:r>
                  <w:r>
                    <w:rPr>
                      <w:rFonts w:hint="eastAsia" w:cs="Times New Roman"/>
                      <w:i w:val="0"/>
                      <w:iCs w:val="0"/>
                      <w:color w:val="auto"/>
                      <w:kern w:val="0"/>
                      <w:sz w:val="21"/>
                      <w:szCs w:val="21"/>
                      <w:highlight w:val="none"/>
                      <w:u w:val="none"/>
                      <w:lang w:val="en-US" w:eastAsia="zh-CN" w:bidi="ar"/>
                    </w:rPr>
                    <w:t>定期委托</w:t>
                  </w:r>
                  <w:r>
                    <w:rPr>
                      <w:rFonts w:hint="eastAsia"/>
                      <w:color w:val="auto"/>
                      <w:kern w:val="0"/>
                      <w:szCs w:val="21"/>
                      <w:highlight w:val="none"/>
                      <w:u w:val="none"/>
                      <w:lang w:bidi="ar"/>
                    </w:rPr>
                    <w:t>陕西水发环境有限公司</w:t>
                  </w:r>
                  <w:r>
                    <w:rPr>
                      <w:rFonts w:hint="eastAsia"/>
                      <w:color w:val="auto"/>
                      <w:kern w:val="0"/>
                      <w:szCs w:val="21"/>
                      <w:highlight w:val="none"/>
                      <w:u w:val="none"/>
                      <w:lang w:val="en-US" w:eastAsia="zh-CN" w:bidi="ar"/>
                    </w:rPr>
                    <w:t>外运处置</w:t>
                  </w:r>
                  <w:r>
                    <w:rPr>
                      <w:rFonts w:hint="default" w:ascii="Times New Roman" w:hAnsi="Times New Roman" w:eastAsia="宋体" w:cs="Times New Roman"/>
                      <w:i w:val="0"/>
                      <w:iCs w:val="0"/>
                      <w:color w:val="auto"/>
                      <w:kern w:val="0"/>
                      <w:sz w:val="21"/>
                      <w:szCs w:val="21"/>
                      <w:highlight w:val="none"/>
                      <w:u w:val="none"/>
                      <w:lang w:val="en-US" w:eastAsia="zh-CN" w:bidi="ar"/>
                    </w:rPr>
                    <w:t>。</w:t>
                  </w:r>
                </w:p>
                <w:p w14:paraId="0F976303">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（4）定期检查配备泡沫灭火器、</w:t>
                  </w:r>
                  <w:r>
                    <w:rPr>
                      <w:rFonts w:hint="eastAsia" w:cs="Times New Roman"/>
                      <w:i w:val="0"/>
                      <w:iCs w:val="0"/>
                      <w:color w:val="auto"/>
                      <w:kern w:val="0"/>
                      <w:sz w:val="21"/>
                      <w:szCs w:val="21"/>
                      <w:highlight w:val="none"/>
                      <w:u w:val="none"/>
                      <w:lang w:val="en-US" w:eastAsia="zh-CN" w:bidi="ar"/>
                    </w:rPr>
                    <w:t>消防沙箱</w:t>
                  </w:r>
                  <w:r>
                    <w:rPr>
                      <w:rFonts w:hint="default" w:ascii="Times New Roman" w:hAnsi="Times New Roman" w:eastAsia="宋体" w:cs="Times New Roman"/>
                      <w:i w:val="0"/>
                      <w:iCs w:val="0"/>
                      <w:color w:val="auto"/>
                      <w:kern w:val="0"/>
                      <w:sz w:val="21"/>
                      <w:szCs w:val="21"/>
                      <w:highlight w:val="none"/>
                      <w:u w:val="none"/>
                      <w:lang w:val="en-US" w:eastAsia="zh-CN" w:bidi="ar"/>
                    </w:rPr>
                    <w:t>和防毒面具等消防应急设备</w:t>
                  </w:r>
                  <w:r>
                    <w:rPr>
                      <w:rFonts w:hint="eastAsia" w:cs="Times New Roman"/>
                      <w:i w:val="0"/>
                      <w:iCs w:val="0"/>
                      <w:color w:val="auto"/>
                      <w:kern w:val="0"/>
                      <w:sz w:val="21"/>
                      <w:szCs w:val="21"/>
                      <w:highlight w:val="none"/>
                      <w:u w:val="none"/>
                      <w:lang w:val="en-US" w:eastAsia="zh-CN" w:bidi="ar"/>
                    </w:rPr>
                    <w:t>的</w:t>
                  </w:r>
                  <w:r>
                    <w:rPr>
                      <w:rFonts w:hint="default" w:ascii="Times New Roman" w:hAnsi="Times New Roman" w:eastAsia="宋体" w:cs="Times New Roman"/>
                      <w:i w:val="0"/>
                      <w:iCs w:val="0"/>
                      <w:color w:val="auto"/>
                      <w:kern w:val="0"/>
                      <w:sz w:val="21"/>
                      <w:szCs w:val="21"/>
                      <w:highlight w:val="none"/>
                      <w:u w:val="none"/>
                      <w:lang w:val="en-US" w:eastAsia="zh-CN" w:bidi="ar"/>
                    </w:rPr>
                    <w:t>有效性</w:t>
                  </w:r>
                  <w:r>
                    <w:rPr>
                      <w:rFonts w:hint="eastAsia" w:cs="Times New Roman"/>
                      <w:i w:val="0"/>
                      <w:iCs w:val="0"/>
                      <w:color w:val="auto"/>
                      <w:kern w:val="0"/>
                      <w:sz w:val="21"/>
                      <w:szCs w:val="21"/>
                      <w:highlight w:val="none"/>
                      <w:u w:val="none"/>
                      <w:lang w:val="en-US" w:eastAsia="zh-CN" w:bidi="ar"/>
                    </w:rPr>
                    <w:t>并及时更换</w:t>
                  </w:r>
                  <w:r>
                    <w:rPr>
                      <w:rFonts w:hint="default" w:ascii="Times New Roman" w:hAnsi="Times New Roman" w:eastAsia="宋体" w:cs="Times New Roman"/>
                      <w:i w:val="0"/>
                      <w:iCs w:val="0"/>
                      <w:color w:val="auto"/>
                      <w:kern w:val="0"/>
                      <w:sz w:val="21"/>
                      <w:szCs w:val="21"/>
                      <w:highlight w:val="none"/>
                      <w:u w:val="none"/>
                      <w:lang w:val="en-US" w:eastAsia="zh-CN" w:bidi="ar"/>
                    </w:rPr>
                    <w:t>。</w:t>
                  </w:r>
                </w:p>
              </w:tc>
            </w:tr>
            <w:tr w14:paraId="3B23FE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63" w:hRule="atLeast"/>
                <w:jc w:val="center"/>
              </w:trPr>
              <w:tc>
                <w:tcPr>
                  <w:tcW w:w="1157" w:type="dxa"/>
                  <w:tcBorders>
                    <w:tl2br w:val="nil"/>
                    <w:tr2bl w:val="nil"/>
                  </w:tcBorders>
                  <w:shd w:val="clear" w:color="auto" w:fill="auto"/>
                  <w:vAlign w:val="center"/>
                </w:tcPr>
                <w:p w14:paraId="2A7BD70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填表说明</w:t>
                  </w:r>
                  <w:r>
                    <w:rPr>
                      <w:rFonts w:hint="default" w:ascii="Times New Roman" w:hAnsi="Times New Roman" w:eastAsia="宋体" w:cs="Times New Roman"/>
                      <w:b/>
                      <w:bCs/>
                      <w:i w:val="0"/>
                      <w:iCs w:val="0"/>
                      <w:color w:val="auto"/>
                      <w:kern w:val="0"/>
                      <w:sz w:val="21"/>
                      <w:szCs w:val="21"/>
                      <w:highlight w:val="none"/>
                      <w:u w:val="none"/>
                      <w:lang w:val="en-US" w:eastAsia="zh-CN" w:bidi="ar"/>
                    </w:rPr>
                    <w:t xml:space="preserve"> (</w:t>
                  </w:r>
                  <w:r>
                    <w:rPr>
                      <w:rFonts w:hint="eastAsia" w:ascii="宋体" w:hAnsi="宋体" w:eastAsia="宋体" w:cs="宋体"/>
                      <w:b/>
                      <w:bCs/>
                      <w:i w:val="0"/>
                      <w:iCs w:val="0"/>
                      <w:color w:val="auto"/>
                      <w:kern w:val="0"/>
                      <w:sz w:val="21"/>
                      <w:szCs w:val="21"/>
                      <w:highlight w:val="none"/>
                      <w:u w:val="none"/>
                      <w:lang w:val="en-US" w:eastAsia="zh-CN" w:bidi="ar"/>
                    </w:rPr>
                    <w:t>列出相关信息及评价说明</w:t>
                  </w:r>
                  <w:r>
                    <w:rPr>
                      <w:rFonts w:hint="default" w:ascii="Times New Roman" w:hAnsi="Times New Roman" w:eastAsia="宋体" w:cs="Times New Roman"/>
                      <w:b/>
                      <w:bCs/>
                      <w:i w:val="0"/>
                      <w:iCs w:val="0"/>
                      <w:color w:val="auto"/>
                      <w:kern w:val="0"/>
                      <w:sz w:val="21"/>
                      <w:szCs w:val="21"/>
                      <w:highlight w:val="none"/>
                      <w:u w:val="none"/>
                      <w:lang w:val="en-US" w:eastAsia="zh-CN" w:bidi="ar"/>
                    </w:rPr>
                    <w:t>)</w:t>
                  </w:r>
                </w:p>
              </w:tc>
              <w:tc>
                <w:tcPr>
                  <w:tcW w:w="6067" w:type="dxa"/>
                  <w:gridSpan w:val="4"/>
                  <w:tcBorders>
                    <w:tl2br w:val="nil"/>
                    <w:tr2bl w:val="nil"/>
                  </w:tcBorders>
                  <w:shd w:val="clear" w:color="auto" w:fill="auto"/>
                  <w:noWrap/>
                  <w:vAlign w:val="center"/>
                </w:tcPr>
                <w:p w14:paraId="753201CD">
                  <w:pPr>
                    <w:jc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w:t>
                  </w:r>
                </w:p>
              </w:tc>
            </w:tr>
          </w:tbl>
          <w:p w14:paraId="7B842799">
            <w:pPr>
              <w:pStyle w:val="3"/>
              <w:rPr>
                <w:rFonts w:hint="default"/>
                <w:color w:val="auto"/>
                <w:highlight w:val="none"/>
                <w:lang w:val="en-US" w:eastAsia="zh-CN"/>
              </w:rPr>
            </w:pPr>
          </w:p>
          <w:p w14:paraId="08A9956D">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jc w:val="both"/>
              <w:textAlignment w:val="auto"/>
              <w:rPr>
                <w:rFonts w:hint="default" w:cs="Times New Roman"/>
                <w:b w:val="0"/>
                <w:bCs w:val="0"/>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7.环保投资估算</w:t>
            </w:r>
          </w:p>
          <w:p w14:paraId="0C5077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
                <w:bCs/>
                <w:color w:val="auto"/>
                <w:kern w:val="2"/>
                <w:sz w:val="24"/>
                <w:szCs w:val="24"/>
                <w:highlight w:val="none"/>
                <w:lang w:val="en-US" w:eastAsia="zh-CN" w:bidi="ar-SA"/>
              </w:rPr>
            </w:pPr>
            <w:r>
              <w:rPr>
                <w:rFonts w:hint="default" w:ascii="Times New Roman" w:hAnsi="Times New Roman" w:cs="Times New Roman"/>
                <w:color w:val="auto"/>
                <w:sz w:val="24"/>
                <w:szCs w:val="24"/>
                <w:highlight w:val="none"/>
                <w:lang w:val="en-US" w:eastAsia="zh-CN"/>
              </w:rPr>
              <w:t>本次</w:t>
            </w:r>
            <w:r>
              <w:rPr>
                <w:rFonts w:hint="eastAsia" w:cs="Times New Roman"/>
                <w:color w:val="auto"/>
                <w:sz w:val="24"/>
                <w:szCs w:val="24"/>
                <w:highlight w:val="none"/>
                <w:lang w:val="en-US" w:eastAsia="zh-CN"/>
              </w:rPr>
              <w:t>扩建项目新增投资50万元，</w:t>
            </w:r>
            <w:r>
              <w:rPr>
                <w:rFonts w:hint="default" w:ascii="Times New Roman" w:hAnsi="Times New Roman" w:cs="Times New Roman"/>
                <w:color w:val="auto"/>
                <w:sz w:val="24"/>
                <w:szCs w:val="24"/>
                <w:highlight w:val="none"/>
                <w:lang w:val="en-US" w:eastAsia="zh-CN"/>
              </w:rPr>
              <w:t>环保投资</w:t>
            </w:r>
            <w:r>
              <w:rPr>
                <w:rFonts w:hint="eastAsia" w:cs="Times New Roman"/>
                <w:color w:val="auto"/>
                <w:sz w:val="24"/>
                <w:szCs w:val="24"/>
                <w:highlight w:val="none"/>
                <w:lang w:val="en-US" w:eastAsia="zh-CN"/>
              </w:rPr>
              <w:t>约21</w:t>
            </w:r>
            <w:r>
              <w:rPr>
                <w:rFonts w:hint="default" w:ascii="Times New Roman" w:hAnsi="Times New Roman" w:cs="Times New Roman"/>
                <w:color w:val="auto"/>
                <w:sz w:val="24"/>
                <w:szCs w:val="24"/>
                <w:highlight w:val="none"/>
                <w:lang w:val="en-US" w:eastAsia="zh-CN"/>
              </w:rPr>
              <w:t>万元，占总投资的</w:t>
            </w:r>
            <w:r>
              <w:rPr>
                <w:rFonts w:hint="eastAsia" w:cs="Times New Roman"/>
                <w:color w:val="auto"/>
                <w:sz w:val="24"/>
                <w:szCs w:val="24"/>
                <w:highlight w:val="none"/>
                <w:lang w:val="en-US" w:eastAsia="zh-CN"/>
              </w:rPr>
              <w:t>42</w:t>
            </w:r>
            <w:r>
              <w:rPr>
                <w:rFonts w:hint="default" w:ascii="Times New Roman" w:hAnsi="Times New Roman" w:cs="Times New Roman"/>
                <w:color w:val="auto"/>
                <w:sz w:val="24"/>
                <w:szCs w:val="24"/>
                <w:highlight w:val="none"/>
                <w:lang w:val="en-US" w:eastAsia="zh-CN"/>
              </w:rPr>
              <w:t>%，见表4-</w:t>
            </w:r>
            <w:r>
              <w:rPr>
                <w:rFonts w:hint="eastAsia" w:cs="Times New Roman"/>
                <w:color w:val="auto"/>
                <w:sz w:val="24"/>
                <w:szCs w:val="24"/>
                <w:highlight w:val="none"/>
                <w:lang w:val="en-US" w:eastAsia="zh-CN"/>
              </w:rPr>
              <w:t>20</w:t>
            </w:r>
            <w:r>
              <w:rPr>
                <w:rFonts w:hint="default" w:ascii="Times New Roman" w:hAnsi="Times New Roman" w:cs="Times New Roman"/>
                <w:color w:val="auto"/>
                <w:sz w:val="24"/>
                <w:szCs w:val="24"/>
                <w:highlight w:val="none"/>
                <w:lang w:val="en-US" w:eastAsia="zh-CN"/>
              </w:rPr>
              <w:t>。</w:t>
            </w:r>
          </w:p>
          <w:p w14:paraId="44A9289D">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jc w:val="center"/>
              <w:textAlignment w:val="auto"/>
              <w:rPr>
                <w:rFonts w:hint="eastAsia" w:cs="Times New Roman"/>
                <w:b/>
                <w:bCs/>
                <w:color w:val="auto"/>
                <w:kern w:val="2"/>
                <w:sz w:val="24"/>
                <w:szCs w:val="24"/>
                <w:highlight w:val="none"/>
                <w:lang w:val="en-US" w:eastAsia="zh-CN" w:bidi="ar-SA"/>
              </w:rPr>
            </w:pPr>
            <w:r>
              <w:rPr>
                <w:rFonts w:hint="eastAsia" w:cs="Times New Roman"/>
                <w:b/>
                <w:bCs/>
                <w:color w:val="auto"/>
                <w:kern w:val="2"/>
                <w:sz w:val="24"/>
                <w:szCs w:val="24"/>
                <w:highlight w:val="none"/>
                <w:lang w:val="en-US" w:eastAsia="zh-CN" w:bidi="ar-SA"/>
              </w:rPr>
              <w:t>表4-20 扩建项目新增环保投资估算表</w:t>
            </w:r>
          </w:p>
          <w:tbl>
            <w:tblPr>
              <w:tblStyle w:val="30"/>
              <w:tblW w:w="683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749"/>
              <w:gridCol w:w="1871"/>
              <w:gridCol w:w="932"/>
              <w:gridCol w:w="1265"/>
              <w:gridCol w:w="1020"/>
            </w:tblGrid>
            <w:tr w14:paraId="2EB717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2" w:hRule="atLeast"/>
                <w:jc w:val="center"/>
              </w:trPr>
              <w:tc>
                <w:tcPr>
                  <w:tcW w:w="1749" w:type="dxa"/>
                  <w:tcBorders>
                    <w:tl2br w:val="nil"/>
                    <w:tr2bl w:val="nil"/>
                  </w:tcBorders>
                  <w:shd w:val="clear" w:color="auto" w:fill="auto"/>
                  <w:vAlign w:val="center"/>
                </w:tcPr>
                <w:p w14:paraId="77123A2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污染源</w:t>
                  </w:r>
                </w:p>
              </w:tc>
              <w:tc>
                <w:tcPr>
                  <w:tcW w:w="1871" w:type="dxa"/>
                  <w:tcBorders>
                    <w:tl2br w:val="nil"/>
                    <w:tr2bl w:val="nil"/>
                  </w:tcBorders>
                  <w:shd w:val="clear" w:color="auto" w:fill="auto"/>
                  <w:vAlign w:val="center"/>
                </w:tcPr>
                <w:p w14:paraId="5BC72A4F">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lang w:val="en-US"/>
                    </w:rPr>
                  </w:pPr>
                  <w:r>
                    <w:rPr>
                      <w:rFonts w:hint="eastAsia" w:cs="Times New Roman"/>
                      <w:b/>
                      <w:bCs/>
                      <w:i w:val="0"/>
                      <w:iCs w:val="0"/>
                      <w:color w:val="auto"/>
                      <w:kern w:val="0"/>
                      <w:sz w:val="21"/>
                      <w:szCs w:val="21"/>
                      <w:u w:val="none"/>
                      <w:lang w:val="en-US" w:eastAsia="zh-CN" w:bidi="ar"/>
                    </w:rPr>
                    <w:t>处置方式</w:t>
                  </w:r>
                </w:p>
              </w:tc>
              <w:tc>
                <w:tcPr>
                  <w:tcW w:w="932" w:type="dxa"/>
                  <w:tcBorders>
                    <w:tl2br w:val="nil"/>
                    <w:tr2bl w:val="nil"/>
                  </w:tcBorders>
                  <w:shd w:val="clear" w:color="auto" w:fill="auto"/>
                  <w:vAlign w:val="center"/>
                </w:tcPr>
                <w:p w14:paraId="25470CB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数量</w:t>
                  </w:r>
                </w:p>
              </w:tc>
              <w:tc>
                <w:tcPr>
                  <w:tcW w:w="1265" w:type="dxa"/>
                  <w:tcBorders>
                    <w:tl2br w:val="nil"/>
                    <w:tr2bl w:val="nil"/>
                  </w:tcBorders>
                  <w:shd w:val="clear" w:color="auto" w:fill="auto"/>
                  <w:vAlign w:val="center"/>
                </w:tcPr>
                <w:p w14:paraId="1C4E4220">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u w:val="none"/>
                    </w:rPr>
                  </w:pPr>
                  <w:r>
                    <w:rPr>
                      <w:rFonts w:hint="default" w:ascii="Times New Roman" w:hAnsi="Times New Roman" w:eastAsia="宋体" w:cs="Times New Roman"/>
                      <w:b/>
                      <w:bCs/>
                      <w:i w:val="0"/>
                      <w:iCs w:val="0"/>
                      <w:color w:val="auto"/>
                      <w:kern w:val="0"/>
                      <w:sz w:val="21"/>
                      <w:szCs w:val="21"/>
                      <w:u w:val="none"/>
                      <w:lang w:val="en-US" w:eastAsia="zh-CN" w:bidi="ar"/>
                    </w:rPr>
                    <w:t>投资金额（万元）</w:t>
                  </w:r>
                </w:p>
              </w:tc>
              <w:tc>
                <w:tcPr>
                  <w:tcW w:w="1020" w:type="dxa"/>
                  <w:tcBorders>
                    <w:tl2br w:val="nil"/>
                    <w:tr2bl w:val="nil"/>
                  </w:tcBorders>
                  <w:shd w:val="clear" w:color="auto" w:fill="auto"/>
                  <w:vAlign w:val="center"/>
                </w:tcPr>
                <w:p w14:paraId="5BDB55C9">
                  <w:pPr>
                    <w:rPr>
                      <w:rFonts w:hint="default" w:ascii="Times New Roman" w:hAnsi="Times New Roman" w:eastAsia="宋体" w:cs="Times New Roman"/>
                      <w:b/>
                      <w:bCs/>
                      <w:i w:val="0"/>
                      <w:iCs w:val="0"/>
                      <w:color w:val="auto"/>
                      <w:sz w:val="21"/>
                      <w:szCs w:val="21"/>
                      <w:u w:val="none"/>
                      <w:lang w:val="en-US" w:eastAsia="zh-CN"/>
                    </w:rPr>
                  </w:pPr>
                  <w:r>
                    <w:rPr>
                      <w:rFonts w:hint="default" w:ascii="Times New Roman" w:hAnsi="Times New Roman" w:eastAsia="宋体" w:cs="Times New Roman"/>
                      <w:b/>
                      <w:bCs/>
                      <w:i w:val="0"/>
                      <w:iCs w:val="0"/>
                      <w:color w:val="auto"/>
                      <w:sz w:val="21"/>
                      <w:szCs w:val="21"/>
                      <w:u w:val="none"/>
                      <w:lang w:val="en-US" w:eastAsia="zh-CN"/>
                    </w:rPr>
                    <w:t>备注</w:t>
                  </w:r>
                </w:p>
              </w:tc>
            </w:tr>
            <w:tr w14:paraId="4C4A32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1749" w:type="dxa"/>
                  <w:vMerge w:val="restart"/>
                  <w:tcBorders>
                    <w:tl2br w:val="nil"/>
                    <w:tr2bl w:val="nil"/>
                  </w:tcBorders>
                  <w:shd w:val="clear" w:color="auto" w:fill="auto"/>
                  <w:vAlign w:val="center"/>
                </w:tcPr>
                <w:p w14:paraId="6374524B">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废气污染源</w:t>
                  </w:r>
                </w:p>
              </w:tc>
              <w:tc>
                <w:tcPr>
                  <w:tcW w:w="1871" w:type="dxa"/>
                  <w:tcBorders>
                    <w:tl2br w:val="nil"/>
                    <w:tr2bl w:val="nil"/>
                  </w:tcBorders>
                  <w:shd w:val="clear" w:color="auto" w:fill="auto"/>
                  <w:vAlign w:val="center"/>
                </w:tcPr>
                <w:p w14:paraId="2C0AA75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活性炭</w:t>
                  </w:r>
                  <w:r>
                    <w:rPr>
                      <w:rFonts w:hint="eastAsia" w:cs="Times New Roman"/>
                      <w:i w:val="0"/>
                      <w:iCs w:val="0"/>
                      <w:color w:val="auto"/>
                      <w:kern w:val="0"/>
                      <w:sz w:val="21"/>
                      <w:szCs w:val="21"/>
                      <w:u w:val="none"/>
                      <w:lang w:val="en-US" w:eastAsia="zh-CN" w:bidi="ar"/>
                    </w:rPr>
                    <w:t>吸附</w:t>
                  </w:r>
                </w:p>
              </w:tc>
              <w:tc>
                <w:tcPr>
                  <w:tcW w:w="932" w:type="dxa"/>
                  <w:tcBorders>
                    <w:tl2br w:val="nil"/>
                    <w:tr2bl w:val="nil"/>
                  </w:tcBorders>
                  <w:shd w:val="clear" w:color="auto" w:fill="auto"/>
                  <w:vAlign w:val="center"/>
                </w:tcPr>
                <w:p w14:paraId="0D4E5FCF">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eastAsia" w:cs="Times New Roman"/>
                      <w:i w:val="0"/>
                      <w:iCs w:val="0"/>
                      <w:color w:val="auto"/>
                      <w:kern w:val="0"/>
                      <w:sz w:val="21"/>
                      <w:szCs w:val="21"/>
                      <w:u w:val="none"/>
                      <w:lang w:val="en-US" w:eastAsia="zh-CN" w:bidi="ar"/>
                    </w:rPr>
                    <w:t>0.51</w:t>
                  </w:r>
                  <w:r>
                    <w:rPr>
                      <w:rFonts w:hint="default" w:ascii="Times New Roman" w:hAnsi="Times New Roman" w:eastAsia="宋体" w:cs="Times New Roman"/>
                      <w:i w:val="0"/>
                      <w:iCs w:val="0"/>
                      <w:color w:val="auto"/>
                      <w:sz w:val="21"/>
                      <w:szCs w:val="21"/>
                      <w:u w:val="none"/>
                      <w:lang w:val="en-US" w:eastAsia="zh-CN"/>
                    </w:rPr>
                    <w:t>t/a</w:t>
                  </w:r>
                </w:p>
              </w:tc>
              <w:tc>
                <w:tcPr>
                  <w:tcW w:w="1265" w:type="dxa"/>
                  <w:tcBorders>
                    <w:tl2br w:val="nil"/>
                    <w:tr2bl w:val="nil"/>
                  </w:tcBorders>
                  <w:shd w:val="clear" w:color="auto" w:fill="auto"/>
                  <w:vAlign w:val="center"/>
                </w:tcPr>
                <w:p w14:paraId="406692E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20" w:type="dxa"/>
                  <w:tcBorders>
                    <w:tl2br w:val="nil"/>
                    <w:tr2bl w:val="nil"/>
                  </w:tcBorders>
                  <w:shd w:val="clear" w:color="auto" w:fill="auto"/>
                  <w:vAlign w:val="center"/>
                </w:tcPr>
                <w:p w14:paraId="6DBEF916">
                  <w:pPr>
                    <w:rPr>
                      <w:rFonts w:hint="default" w:ascii="Times New Roman" w:hAnsi="Times New Roman" w:eastAsia="宋体" w:cs="Times New Roman"/>
                      <w:i w:val="0"/>
                      <w:iCs w:val="0"/>
                      <w:color w:val="auto"/>
                      <w:sz w:val="21"/>
                      <w:szCs w:val="21"/>
                      <w:u w:val="none"/>
                    </w:rPr>
                  </w:pPr>
                </w:p>
              </w:tc>
            </w:tr>
            <w:tr w14:paraId="0F7F7B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15" w:hRule="atLeast"/>
                <w:jc w:val="center"/>
              </w:trPr>
              <w:tc>
                <w:tcPr>
                  <w:tcW w:w="1749" w:type="dxa"/>
                  <w:vMerge w:val="continue"/>
                  <w:tcBorders>
                    <w:tl2br w:val="nil"/>
                    <w:tr2bl w:val="nil"/>
                  </w:tcBorders>
                  <w:shd w:val="clear" w:color="auto" w:fill="auto"/>
                  <w:vAlign w:val="center"/>
                </w:tcPr>
                <w:p w14:paraId="0D4D2B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1871" w:type="dxa"/>
                  <w:tcBorders>
                    <w:tl2br w:val="nil"/>
                    <w:tr2bl w:val="nil"/>
                  </w:tcBorders>
                  <w:shd w:val="clear" w:color="auto" w:fill="auto"/>
                  <w:vAlign w:val="center"/>
                </w:tcPr>
                <w:p w14:paraId="65E680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SDG吸附</w:t>
                  </w:r>
                </w:p>
              </w:tc>
              <w:tc>
                <w:tcPr>
                  <w:tcW w:w="932" w:type="dxa"/>
                  <w:tcBorders>
                    <w:tl2br w:val="nil"/>
                    <w:tr2bl w:val="nil"/>
                  </w:tcBorders>
                  <w:shd w:val="clear" w:color="auto" w:fill="auto"/>
                  <w:vAlign w:val="center"/>
                </w:tcPr>
                <w:p w14:paraId="5B6D3556">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0.7</w:t>
                  </w:r>
                  <w:r>
                    <w:rPr>
                      <w:rFonts w:hint="default" w:ascii="Times New Roman" w:hAnsi="Times New Roman" w:eastAsia="宋体" w:cs="Times New Roman"/>
                      <w:i w:val="0"/>
                      <w:iCs w:val="0"/>
                      <w:color w:val="auto"/>
                      <w:sz w:val="21"/>
                      <w:szCs w:val="21"/>
                      <w:u w:val="none"/>
                      <w:lang w:val="en-US" w:eastAsia="zh-CN"/>
                    </w:rPr>
                    <w:t>t/a</w:t>
                  </w:r>
                </w:p>
              </w:tc>
              <w:tc>
                <w:tcPr>
                  <w:tcW w:w="1265" w:type="dxa"/>
                  <w:tcBorders>
                    <w:tl2br w:val="nil"/>
                    <w:tr2bl w:val="nil"/>
                  </w:tcBorders>
                  <w:shd w:val="clear" w:color="auto" w:fill="auto"/>
                  <w:vAlign w:val="center"/>
                </w:tcPr>
                <w:p w14:paraId="327638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0.5</w:t>
                  </w:r>
                </w:p>
              </w:tc>
              <w:tc>
                <w:tcPr>
                  <w:tcW w:w="1020" w:type="dxa"/>
                  <w:tcBorders>
                    <w:tl2br w:val="nil"/>
                    <w:tr2bl w:val="nil"/>
                  </w:tcBorders>
                  <w:shd w:val="clear" w:color="auto" w:fill="auto"/>
                  <w:vAlign w:val="center"/>
                </w:tcPr>
                <w:p w14:paraId="7FF4BDEF">
                  <w:pPr>
                    <w:rPr>
                      <w:rFonts w:hint="default" w:ascii="Times New Roman" w:hAnsi="Times New Roman" w:eastAsia="宋体" w:cs="Times New Roman"/>
                      <w:i w:val="0"/>
                      <w:iCs w:val="0"/>
                      <w:color w:val="auto"/>
                      <w:sz w:val="21"/>
                      <w:szCs w:val="21"/>
                      <w:u w:val="none"/>
                    </w:rPr>
                  </w:pPr>
                </w:p>
              </w:tc>
            </w:tr>
            <w:tr w14:paraId="7C5F20C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749" w:type="dxa"/>
                  <w:tcBorders>
                    <w:tl2br w:val="nil"/>
                    <w:tr2bl w:val="nil"/>
                  </w:tcBorders>
                  <w:shd w:val="clear" w:color="auto" w:fill="auto"/>
                  <w:vAlign w:val="center"/>
                </w:tcPr>
                <w:p w14:paraId="2DF5955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危废废物</w:t>
                  </w:r>
                </w:p>
              </w:tc>
              <w:tc>
                <w:tcPr>
                  <w:tcW w:w="1871" w:type="dxa"/>
                  <w:tcBorders>
                    <w:tl2br w:val="nil"/>
                    <w:tr2bl w:val="nil"/>
                  </w:tcBorders>
                  <w:shd w:val="clear" w:color="auto" w:fill="auto"/>
                  <w:vAlign w:val="center"/>
                </w:tcPr>
                <w:p w14:paraId="689DD4FD">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auto"/>
                      <w:kern w:val="0"/>
                      <w:sz w:val="21"/>
                      <w:szCs w:val="21"/>
                      <w:u w:val="none"/>
                      <w:lang w:val="en-US" w:eastAsia="zh-CN" w:bidi="ar"/>
                    </w:rPr>
                    <w:t>定期交</w:t>
                  </w:r>
                  <w:r>
                    <w:rPr>
                      <w:rFonts w:hint="default" w:cs="Times New Roman"/>
                      <w:i w:val="0"/>
                      <w:iCs w:val="0"/>
                      <w:color w:val="auto"/>
                      <w:kern w:val="0"/>
                      <w:sz w:val="21"/>
                      <w:szCs w:val="21"/>
                      <w:highlight w:val="none"/>
                      <w:u w:val="none"/>
                      <w:lang w:val="en-US" w:eastAsia="zh-CN" w:bidi="ar"/>
                    </w:rPr>
                    <w:t>陕西水发环境有限公司或其他资质单位处置</w:t>
                  </w:r>
                </w:p>
              </w:tc>
              <w:tc>
                <w:tcPr>
                  <w:tcW w:w="932" w:type="dxa"/>
                  <w:tcBorders>
                    <w:tl2br w:val="nil"/>
                    <w:tr2bl w:val="nil"/>
                  </w:tcBorders>
                  <w:shd w:val="clear" w:color="auto" w:fill="auto"/>
                  <w:vAlign w:val="center"/>
                </w:tcPr>
                <w:p w14:paraId="1B534369">
                  <w:pPr>
                    <w:jc w:val="center"/>
                    <w:rPr>
                      <w:rFonts w:hint="default" w:ascii="Times New Roman" w:hAnsi="Times New Roman" w:eastAsia="宋体" w:cs="Times New Roman"/>
                      <w:i w:val="0"/>
                      <w:iCs w:val="0"/>
                      <w:color w:val="auto"/>
                      <w:sz w:val="21"/>
                      <w:szCs w:val="21"/>
                      <w:u w:val="none"/>
                      <w:lang w:val="en-US" w:eastAsia="zh-CN"/>
                    </w:rPr>
                  </w:pPr>
                  <w:r>
                    <w:rPr>
                      <w:rFonts w:hint="eastAsia" w:cs="Times New Roman"/>
                      <w:i w:val="0"/>
                      <w:iCs w:val="0"/>
                      <w:color w:val="auto"/>
                      <w:sz w:val="21"/>
                      <w:szCs w:val="21"/>
                      <w:u w:val="none"/>
                      <w:lang w:val="en-US" w:eastAsia="zh-CN"/>
                    </w:rPr>
                    <w:t>41.66</w:t>
                  </w:r>
                  <w:r>
                    <w:rPr>
                      <w:rFonts w:hint="default" w:ascii="Times New Roman" w:hAnsi="Times New Roman" w:eastAsia="宋体" w:cs="Times New Roman"/>
                      <w:i w:val="0"/>
                      <w:iCs w:val="0"/>
                      <w:color w:val="auto"/>
                      <w:sz w:val="21"/>
                      <w:szCs w:val="21"/>
                      <w:u w:val="none"/>
                      <w:lang w:val="en-US" w:eastAsia="zh-CN"/>
                    </w:rPr>
                    <w:t>t/a</w:t>
                  </w:r>
                </w:p>
              </w:tc>
              <w:tc>
                <w:tcPr>
                  <w:tcW w:w="1265" w:type="dxa"/>
                  <w:tcBorders>
                    <w:tl2br w:val="nil"/>
                    <w:tr2bl w:val="nil"/>
                  </w:tcBorders>
                  <w:shd w:val="clear" w:color="auto" w:fill="auto"/>
                  <w:vAlign w:val="center"/>
                </w:tcPr>
                <w:p w14:paraId="7D1048B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20</w:t>
                  </w:r>
                </w:p>
              </w:tc>
              <w:tc>
                <w:tcPr>
                  <w:tcW w:w="1020" w:type="dxa"/>
                  <w:tcBorders>
                    <w:tl2br w:val="nil"/>
                    <w:tr2bl w:val="nil"/>
                  </w:tcBorders>
                  <w:shd w:val="clear" w:color="auto" w:fill="auto"/>
                  <w:vAlign w:val="center"/>
                </w:tcPr>
                <w:p w14:paraId="11DE0BEA">
                  <w:pPr>
                    <w:rPr>
                      <w:rFonts w:hint="default" w:ascii="Times New Roman" w:hAnsi="Times New Roman" w:eastAsia="宋体" w:cs="Times New Roman"/>
                      <w:i w:val="0"/>
                      <w:iCs w:val="0"/>
                      <w:color w:val="auto"/>
                      <w:sz w:val="21"/>
                      <w:szCs w:val="21"/>
                      <w:u w:val="none"/>
                    </w:rPr>
                  </w:pPr>
                </w:p>
              </w:tc>
            </w:tr>
            <w:tr w14:paraId="3AA732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04" w:hRule="atLeast"/>
                <w:jc w:val="center"/>
              </w:trPr>
              <w:tc>
                <w:tcPr>
                  <w:tcW w:w="4552" w:type="dxa"/>
                  <w:gridSpan w:val="3"/>
                  <w:tcBorders>
                    <w:tl2br w:val="nil"/>
                    <w:tr2bl w:val="nil"/>
                  </w:tcBorders>
                  <w:shd w:val="clear" w:color="auto" w:fill="auto"/>
                  <w:vAlign w:val="center"/>
                </w:tcPr>
                <w:p w14:paraId="6A1896A9">
                  <w:pPr>
                    <w:jc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合计</w:t>
                  </w:r>
                </w:p>
              </w:tc>
              <w:tc>
                <w:tcPr>
                  <w:tcW w:w="1265" w:type="dxa"/>
                  <w:tcBorders>
                    <w:tl2br w:val="nil"/>
                    <w:tr2bl w:val="nil"/>
                  </w:tcBorders>
                  <w:shd w:val="clear" w:color="auto" w:fill="auto"/>
                  <w:vAlign w:val="center"/>
                </w:tcPr>
                <w:p w14:paraId="5405CF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21</w:t>
                  </w:r>
                </w:p>
              </w:tc>
              <w:tc>
                <w:tcPr>
                  <w:tcW w:w="1020" w:type="dxa"/>
                  <w:tcBorders>
                    <w:tl2br w:val="nil"/>
                    <w:tr2bl w:val="nil"/>
                  </w:tcBorders>
                  <w:shd w:val="clear" w:color="auto" w:fill="auto"/>
                  <w:vAlign w:val="center"/>
                </w:tcPr>
                <w:p w14:paraId="78B9960B">
                  <w:pPr>
                    <w:rPr>
                      <w:rFonts w:hint="default" w:ascii="Times New Roman" w:hAnsi="Times New Roman" w:eastAsia="宋体" w:cs="Times New Roman"/>
                      <w:i w:val="0"/>
                      <w:iCs w:val="0"/>
                      <w:color w:val="auto"/>
                      <w:sz w:val="21"/>
                      <w:szCs w:val="21"/>
                      <w:u w:val="none"/>
                    </w:rPr>
                  </w:pPr>
                </w:p>
              </w:tc>
            </w:tr>
          </w:tbl>
          <w:p w14:paraId="73166677">
            <w:pPr>
              <w:adjustRightInd w:val="0"/>
              <w:snapToGrid w:val="0"/>
              <w:spacing w:line="360" w:lineRule="auto"/>
              <w:rPr>
                <w:b/>
                <w:color w:val="auto"/>
                <w:spacing w:val="-10"/>
                <w:sz w:val="24"/>
              </w:rPr>
            </w:pPr>
            <w:r>
              <w:rPr>
                <w:rFonts w:hint="eastAsia"/>
                <w:b/>
                <w:color w:val="auto"/>
                <w:spacing w:val="-10"/>
                <w:sz w:val="24"/>
                <w:lang w:val="en-US" w:eastAsia="zh-CN"/>
              </w:rPr>
              <w:t>8.改</w:t>
            </w:r>
            <w:r>
              <w:rPr>
                <w:rFonts w:hint="eastAsia"/>
                <w:b/>
                <w:color w:val="auto"/>
                <w:spacing w:val="-10"/>
                <w:sz w:val="24"/>
              </w:rPr>
              <w:t>扩建后三本账汇总</w:t>
            </w:r>
          </w:p>
          <w:p w14:paraId="3D65DBF1">
            <w:pPr>
              <w:adjustRightInd w:val="0"/>
              <w:snapToGrid w:val="0"/>
              <w:spacing w:line="360" w:lineRule="auto"/>
              <w:ind w:firstLine="405"/>
              <w:rPr>
                <w:bCs/>
                <w:color w:val="auto"/>
                <w:spacing w:val="-10"/>
                <w:sz w:val="24"/>
              </w:rPr>
            </w:pPr>
            <w:r>
              <w:rPr>
                <w:rFonts w:hint="eastAsia"/>
                <w:bCs/>
                <w:color w:val="auto"/>
                <w:spacing w:val="-10"/>
                <w:sz w:val="24"/>
              </w:rPr>
              <w:t>本项目扩建后，全厂三本账汇总见表4-</w:t>
            </w:r>
            <w:r>
              <w:rPr>
                <w:rFonts w:hint="eastAsia"/>
                <w:bCs/>
                <w:color w:val="auto"/>
                <w:spacing w:val="-10"/>
                <w:sz w:val="24"/>
                <w:lang w:val="en-US" w:eastAsia="zh-CN"/>
              </w:rPr>
              <w:t>21</w:t>
            </w:r>
            <w:r>
              <w:rPr>
                <w:rFonts w:hint="eastAsia"/>
                <w:bCs/>
                <w:color w:val="auto"/>
                <w:spacing w:val="-10"/>
                <w:sz w:val="24"/>
              </w:rPr>
              <w:t>。</w:t>
            </w:r>
          </w:p>
          <w:p w14:paraId="61486590">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rFonts w:hint="eastAsia"/>
                <w:b/>
                <w:bCs/>
                <w:color w:val="auto"/>
                <w:spacing w:val="0"/>
                <w:sz w:val="24"/>
                <w:szCs w:val="24"/>
                <w:highlight w:val="none"/>
                <w:lang w:val="en-US" w:eastAsia="zh-CN"/>
              </w:rPr>
            </w:pPr>
            <w:r>
              <w:rPr>
                <w:rFonts w:hint="eastAsia"/>
                <w:b/>
                <w:bCs/>
                <w:color w:val="auto"/>
                <w:spacing w:val="0"/>
                <w:sz w:val="24"/>
                <w:szCs w:val="24"/>
                <w:highlight w:val="none"/>
              </w:rPr>
              <w:t>表4-</w:t>
            </w:r>
            <w:r>
              <w:rPr>
                <w:rFonts w:hint="eastAsia"/>
                <w:b/>
                <w:bCs/>
                <w:color w:val="auto"/>
                <w:spacing w:val="0"/>
                <w:sz w:val="24"/>
                <w:szCs w:val="24"/>
                <w:highlight w:val="none"/>
                <w:lang w:val="en-US" w:eastAsia="zh-CN"/>
              </w:rPr>
              <w:t xml:space="preserve">21 </w:t>
            </w:r>
            <w:r>
              <w:rPr>
                <w:rFonts w:hint="eastAsia"/>
                <w:b/>
                <w:bCs/>
                <w:color w:val="auto"/>
                <w:spacing w:val="0"/>
                <w:sz w:val="24"/>
                <w:szCs w:val="24"/>
                <w:highlight w:val="none"/>
              </w:rPr>
              <w:t>全厂三本账汇总</w:t>
            </w:r>
            <w:r>
              <w:rPr>
                <w:rFonts w:hint="eastAsia"/>
                <w:b/>
                <w:bCs/>
                <w:color w:val="auto"/>
                <w:spacing w:val="0"/>
                <w:sz w:val="24"/>
                <w:szCs w:val="24"/>
                <w:highlight w:val="none"/>
                <w:lang w:val="en-US" w:eastAsia="zh-CN"/>
              </w:rPr>
              <w:t>表</w:t>
            </w:r>
          </w:p>
          <w:tbl>
            <w:tblPr>
              <w:tblStyle w:val="30"/>
              <w:tblW w:w="75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1"/>
              <w:gridCol w:w="450"/>
              <w:gridCol w:w="878"/>
              <w:gridCol w:w="1102"/>
              <w:gridCol w:w="1080"/>
              <w:gridCol w:w="675"/>
              <w:gridCol w:w="1350"/>
              <w:gridCol w:w="1410"/>
            </w:tblGrid>
            <w:tr w14:paraId="44C52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1" w:type="dxa"/>
                  <w:vMerge w:val="restart"/>
                  <w:tcBorders>
                    <w:top w:val="single" w:color="000000" w:sz="12" w:space="0"/>
                    <w:left w:val="single" w:color="000000" w:sz="12" w:space="0"/>
                    <w:bottom w:val="single" w:color="000000" w:sz="4" w:space="0"/>
                    <w:right w:val="single" w:color="000000" w:sz="4" w:space="0"/>
                  </w:tcBorders>
                  <w:shd w:val="clear" w:color="auto" w:fill="auto"/>
                  <w:vAlign w:val="center"/>
                </w:tcPr>
                <w:p w14:paraId="6D08CC4B">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污染源</w:t>
                  </w:r>
                </w:p>
              </w:tc>
              <w:tc>
                <w:tcPr>
                  <w:tcW w:w="1328" w:type="dxa"/>
                  <w:gridSpan w:val="2"/>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0059D1BE">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污染物名称</w:t>
                  </w:r>
                </w:p>
              </w:tc>
              <w:tc>
                <w:tcPr>
                  <w:tcW w:w="1102"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7F2AF4A7">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现有工程排放量（固体废物产生量）</w:t>
                  </w:r>
                </w:p>
              </w:tc>
              <w:tc>
                <w:tcPr>
                  <w:tcW w:w="1080"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5A948165">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本项目排放量（固体废物产生量）</w:t>
                  </w:r>
                </w:p>
              </w:tc>
              <w:tc>
                <w:tcPr>
                  <w:tcW w:w="675"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4617C087">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cs="宋体"/>
                      <w:b/>
                      <w:bCs/>
                      <w:i w:val="0"/>
                      <w:iCs w:val="0"/>
                      <w:color w:val="auto"/>
                      <w:kern w:val="0"/>
                      <w:sz w:val="18"/>
                      <w:szCs w:val="18"/>
                      <w:u w:val="none"/>
                      <w:lang w:val="en-US" w:eastAsia="zh-CN" w:bidi="ar"/>
                    </w:rPr>
                    <w:t>“</w:t>
                  </w:r>
                  <w:r>
                    <w:rPr>
                      <w:rFonts w:hint="eastAsia" w:ascii="宋体" w:hAnsi="宋体" w:eastAsia="宋体" w:cs="宋体"/>
                      <w:b/>
                      <w:bCs/>
                      <w:i w:val="0"/>
                      <w:iCs w:val="0"/>
                      <w:color w:val="auto"/>
                      <w:kern w:val="0"/>
                      <w:sz w:val="18"/>
                      <w:szCs w:val="18"/>
                      <w:u w:val="none"/>
                      <w:lang w:val="en-US" w:eastAsia="zh-CN" w:bidi="ar"/>
                    </w:rPr>
                    <w:t>以新带老</w:t>
                  </w:r>
                  <w:r>
                    <w:rPr>
                      <w:rFonts w:hint="eastAsia" w:ascii="宋体" w:hAnsi="宋体" w:cs="宋体"/>
                      <w:b/>
                      <w:bCs/>
                      <w:i w:val="0"/>
                      <w:iCs w:val="0"/>
                      <w:color w:val="auto"/>
                      <w:kern w:val="0"/>
                      <w:sz w:val="18"/>
                      <w:szCs w:val="18"/>
                      <w:u w:val="none"/>
                      <w:lang w:val="en-US" w:eastAsia="zh-CN" w:bidi="ar"/>
                    </w:rPr>
                    <w:t>”</w:t>
                  </w:r>
                  <w:r>
                    <w:rPr>
                      <w:rFonts w:hint="eastAsia" w:ascii="宋体" w:hAnsi="宋体" w:eastAsia="宋体" w:cs="宋体"/>
                      <w:b/>
                      <w:bCs/>
                      <w:i w:val="0"/>
                      <w:iCs w:val="0"/>
                      <w:color w:val="auto"/>
                      <w:kern w:val="0"/>
                      <w:sz w:val="18"/>
                      <w:szCs w:val="18"/>
                      <w:u w:val="none"/>
                      <w:lang w:val="en-US" w:eastAsia="zh-CN" w:bidi="ar"/>
                    </w:rPr>
                    <w:t>削减量</w:t>
                  </w:r>
                </w:p>
              </w:tc>
              <w:tc>
                <w:tcPr>
                  <w:tcW w:w="1350" w:type="dxa"/>
                  <w:vMerge w:val="restart"/>
                  <w:tcBorders>
                    <w:top w:val="single" w:color="000000" w:sz="12" w:space="0"/>
                    <w:left w:val="single" w:color="000000" w:sz="4" w:space="0"/>
                    <w:bottom w:val="single" w:color="000000" w:sz="4" w:space="0"/>
                    <w:right w:val="single" w:color="000000" w:sz="4" w:space="0"/>
                  </w:tcBorders>
                  <w:shd w:val="clear" w:color="auto" w:fill="auto"/>
                  <w:vAlign w:val="center"/>
                </w:tcPr>
                <w:p w14:paraId="18CED4A5">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本项目建成后全厂排放量（固体废物产生量）</w:t>
                  </w:r>
                </w:p>
              </w:tc>
              <w:tc>
                <w:tcPr>
                  <w:tcW w:w="1410" w:type="dxa"/>
                  <w:vMerge w:val="restart"/>
                  <w:tcBorders>
                    <w:top w:val="single" w:color="000000" w:sz="12" w:space="0"/>
                    <w:left w:val="single" w:color="000000" w:sz="4" w:space="0"/>
                    <w:bottom w:val="single" w:color="000000" w:sz="4" w:space="0"/>
                    <w:right w:val="single" w:color="000000" w:sz="12" w:space="0"/>
                  </w:tcBorders>
                  <w:shd w:val="clear" w:color="auto" w:fill="auto"/>
                  <w:vAlign w:val="center"/>
                </w:tcPr>
                <w:p w14:paraId="73B636C9">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变化量</w:t>
                  </w:r>
                </w:p>
              </w:tc>
            </w:tr>
            <w:tr w14:paraId="2DC27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2" w:hRule="atLeast"/>
                <w:jc w:val="center"/>
              </w:trPr>
              <w:tc>
                <w:tcPr>
                  <w:tcW w:w="581" w:type="dxa"/>
                  <w:vMerge w:val="continue"/>
                  <w:tcBorders>
                    <w:top w:val="single" w:color="000000" w:sz="12" w:space="0"/>
                    <w:left w:val="single" w:color="000000" w:sz="12" w:space="0"/>
                    <w:bottom w:val="single" w:color="000000" w:sz="4" w:space="0"/>
                    <w:right w:val="single" w:color="000000" w:sz="4" w:space="0"/>
                  </w:tcBorders>
                  <w:shd w:val="clear" w:color="auto" w:fill="auto"/>
                  <w:vAlign w:val="center"/>
                </w:tcPr>
                <w:p w14:paraId="42604B94">
                  <w:pPr>
                    <w:jc w:val="center"/>
                    <w:rPr>
                      <w:rFonts w:hint="eastAsia" w:ascii="宋体" w:hAnsi="宋体" w:eastAsia="宋体" w:cs="宋体"/>
                      <w:b/>
                      <w:bCs/>
                      <w:i w:val="0"/>
                      <w:iCs w:val="0"/>
                      <w:color w:val="auto"/>
                      <w:sz w:val="18"/>
                      <w:szCs w:val="18"/>
                      <w:u w:val="none"/>
                    </w:rPr>
                  </w:pPr>
                </w:p>
              </w:tc>
              <w:tc>
                <w:tcPr>
                  <w:tcW w:w="1328" w:type="dxa"/>
                  <w:gridSpan w:val="2"/>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0B6CC6AC">
                  <w:pPr>
                    <w:jc w:val="center"/>
                    <w:rPr>
                      <w:rFonts w:hint="eastAsia" w:ascii="宋体" w:hAnsi="宋体" w:eastAsia="宋体" w:cs="宋体"/>
                      <w:b/>
                      <w:bCs/>
                      <w:i w:val="0"/>
                      <w:iCs w:val="0"/>
                      <w:color w:val="auto"/>
                      <w:sz w:val="18"/>
                      <w:szCs w:val="18"/>
                      <w:u w:val="none"/>
                    </w:rPr>
                  </w:pPr>
                </w:p>
              </w:tc>
              <w:tc>
                <w:tcPr>
                  <w:tcW w:w="1102"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5FF7F964">
                  <w:pPr>
                    <w:jc w:val="center"/>
                    <w:rPr>
                      <w:rFonts w:hint="eastAsia" w:ascii="宋体" w:hAnsi="宋体" w:eastAsia="宋体" w:cs="宋体"/>
                      <w:b/>
                      <w:bCs/>
                      <w:i w:val="0"/>
                      <w:iCs w:val="0"/>
                      <w:color w:val="auto"/>
                      <w:sz w:val="18"/>
                      <w:szCs w:val="18"/>
                      <w:u w:val="none"/>
                    </w:rPr>
                  </w:pPr>
                </w:p>
              </w:tc>
              <w:tc>
                <w:tcPr>
                  <w:tcW w:w="1080"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178A67A9">
                  <w:pPr>
                    <w:jc w:val="center"/>
                    <w:rPr>
                      <w:rFonts w:hint="eastAsia" w:ascii="宋体" w:hAnsi="宋体" w:eastAsia="宋体" w:cs="宋体"/>
                      <w:b/>
                      <w:bCs/>
                      <w:i w:val="0"/>
                      <w:iCs w:val="0"/>
                      <w:color w:val="auto"/>
                      <w:sz w:val="18"/>
                      <w:szCs w:val="18"/>
                      <w:u w:val="none"/>
                    </w:rPr>
                  </w:pPr>
                </w:p>
              </w:tc>
              <w:tc>
                <w:tcPr>
                  <w:tcW w:w="675"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557E4C6F">
                  <w:pPr>
                    <w:jc w:val="center"/>
                    <w:rPr>
                      <w:rFonts w:hint="eastAsia" w:ascii="宋体" w:hAnsi="宋体" w:eastAsia="宋体" w:cs="宋体"/>
                      <w:b/>
                      <w:bCs/>
                      <w:i w:val="0"/>
                      <w:iCs w:val="0"/>
                      <w:color w:val="auto"/>
                      <w:sz w:val="18"/>
                      <w:szCs w:val="18"/>
                      <w:u w:val="none"/>
                    </w:rPr>
                  </w:pPr>
                </w:p>
              </w:tc>
              <w:tc>
                <w:tcPr>
                  <w:tcW w:w="1350" w:type="dxa"/>
                  <w:vMerge w:val="continue"/>
                  <w:tcBorders>
                    <w:top w:val="single" w:color="000000" w:sz="12" w:space="0"/>
                    <w:left w:val="single" w:color="000000" w:sz="4" w:space="0"/>
                    <w:bottom w:val="single" w:color="000000" w:sz="4" w:space="0"/>
                    <w:right w:val="single" w:color="000000" w:sz="4" w:space="0"/>
                  </w:tcBorders>
                  <w:shd w:val="clear" w:color="auto" w:fill="auto"/>
                  <w:vAlign w:val="center"/>
                </w:tcPr>
                <w:p w14:paraId="37B50A66">
                  <w:pPr>
                    <w:jc w:val="center"/>
                    <w:rPr>
                      <w:rFonts w:hint="eastAsia" w:ascii="宋体" w:hAnsi="宋体" w:eastAsia="宋体" w:cs="宋体"/>
                      <w:b/>
                      <w:bCs/>
                      <w:i w:val="0"/>
                      <w:iCs w:val="0"/>
                      <w:color w:val="auto"/>
                      <w:sz w:val="18"/>
                      <w:szCs w:val="18"/>
                      <w:u w:val="none"/>
                    </w:rPr>
                  </w:pPr>
                </w:p>
              </w:tc>
              <w:tc>
                <w:tcPr>
                  <w:tcW w:w="1410" w:type="dxa"/>
                  <w:vMerge w:val="continue"/>
                  <w:tcBorders>
                    <w:top w:val="single" w:color="000000" w:sz="12" w:space="0"/>
                    <w:left w:val="single" w:color="000000" w:sz="4" w:space="0"/>
                    <w:bottom w:val="single" w:color="000000" w:sz="4" w:space="0"/>
                    <w:right w:val="single" w:color="000000" w:sz="12" w:space="0"/>
                  </w:tcBorders>
                  <w:shd w:val="clear" w:color="auto" w:fill="auto"/>
                  <w:vAlign w:val="center"/>
                </w:tcPr>
                <w:p w14:paraId="6E791BDB">
                  <w:pPr>
                    <w:jc w:val="center"/>
                    <w:rPr>
                      <w:rFonts w:hint="eastAsia" w:ascii="宋体" w:hAnsi="宋体" w:eastAsia="宋体" w:cs="宋体"/>
                      <w:b/>
                      <w:bCs/>
                      <w:i w:val="0"/>
                      <w:iCs w:val="0"/>
                      <w:color w:val="auto"/>
                      <w:sz w:val="18"/>
                      <w:szCs w:val="18"/>
                      <w:u w:val="none"/>
                    </w:rPr>
                  </w:pPr>
                </w:p>
              </w:tc>
            </w:tr>
            <w:tr w14:paraId="5C115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1" w:type="dxa"/>
                  <w:vMerge w:val="restart"/>
                  <w:tcBorders>
                    <w:top w:val="single" w:color="000000" w:sz="4" w:space="0"/>
                    <w:left w:val="single" w:color="000000" w:sz="12" w:space="0"/>
                    <w:right w:val="single" w:color="000000" w:sz="4" w:space="0"/>
                  </w:tcBorders>
                  <w:shd w:val="clear" w:color="auto" w:fill="auto"/>
                  <w:vAlign w:val="center"/>
                </w:tcPr>
                <w:p w14:paraId="1683F4E4">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废气</w:t>
                  </w:r>
                </w:p>
              </w:tc>
              <w:tc>
                <w:tcPr>
                  <w:tcW w:w="1328" w:type="dxa"/>
                  <w:gridSpan w:val="2"/>
                  <w:tcBorders>
                    <w:top w:val="single" w:color="000000" w:sz="4" w:space="0"/>
                    <w:left w:val="single" w:color="000000" w:sz="4" w:space="0"/>
                    <w:right w:val="single" w:color="000000" w:sz="4" w:space="0"/>
                  </w:tcBorders>
                  <w:shd w:val="clear" w:color="auto" w:fill="auto"/>
                  <w:vAlign w:val="center"/>
                </w:tcPr>
                <w:p w14:paraId="7935ABD5">
                  <w:pPr>
                    <w:keepNext w:val="0"/>
                    <w:keepLines w:val="0"/>
                    <w:widowControl/>
                    <w:suppressLineNumbers w:val="0"/>
                    <w:jc w:val="center"/>
                    <w:textAlignment w:val="center"/>
                    <w:rPr>
                      <w:rFonts w:hint="eastAsia" w:ascii="宋体" w:hAnsi="宋体" w:eastAsia="宋体" w:cs="宋体"/>
                      <w:i w:val="0"/>
                      <w:iCs w:val="0"/>
                      <w:color w:val="auto"/>
                      <w:kern w:val="2"/>
                      <w:sz w:val="18"/>
                      <w:szCs w:val="18"/>
                      <w:u w:val="none"/>
                      <w:lang w:val="en-US" w:eastAsia="zh-CN" w:bidi="ar-SA"/>
                    </w:rPr>
                  </w:pPr>
                  <w:r>
                    <w:rPr>
                      <w:rFonts w:hint="eastAsia" w:ascii="宋体" w:hAnsi="宋体" w:eastAsia="宋体" w:cs="宋体"/>
                      <w:i w:val="0"/>
                      <w:iCs w:val="0"/>
                      <w:color w:val="auto"/>
                      <w:kern w:val="0"/>
                      <w:sz w:val="18"/>
                      <w:szCs w:val="18"/>
                      <w:u w:val="none"/>
                      <w:lang w:val="en-US" w:eastAsia="zh-CN" w:bidi="ar"/>
                    </w:rPr>
                    <w:t>非甲烷总烃</w:t>
                  </w:r>
                </w:p>
              </w:tc>
              <w:tc>
                <w:tcPr>
                  <w:tcW w:w="1102" w:type="dxa"/>
                  <w:tcBorders>
                    <w:top w:val="single" w:color="000000" w:sz="4" w:space="0"/>
                    <w:left w:val="single" w:color="000000" w:sz="4" w:space="0"/>
                    <w:right w:val="single" w:color="000000" w:sz="4" w:space="0"/>
                  </w:tcBorders>
                  <w:shd w:val="clear" w:color="auto" w:fill="auto"/>
                  <w:vAlign w:val="center"/>
                </w:tcPr>
                <w:p w14:paraId="1DE677E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kern w:val="0"/>
                      <w:sz w:val="18"/>
                      <w:szCs w:val="18"/>
                      <w:u w:val="none"/>
                      <w:lang w:val="en-US" w:eastAsia="zh-CN" w:bidi="ar"/>
                    </w:rPr>
                    <w:t>0.15</w:t>
                  </w:r>
                  <w:r>
                    <w:rPr>
                      <w:rFonts w:hint="default" w:ascii="Times New Roman" w:hAnsi="Times New Roman" w:eastAsia="宋体" w:cs="Times New Roman"/>
                      <w:i w:val="0"/>
                      <w:iCs w:val="0"/>
                      <w:color w:val="auto"/>
                      <w:kern w:val="0"/>
                      <w:sz w:val="18"/>
                      <w:szCs w:val="18"/>
                      <w:u w:val="none"/>
                      <w:lang w:val="en-US" w:eastAsia="zh-CN" w:bidi="ar"/>
                    </w:rPr>
                    <w:t>t/a</w:t>
                  </w:r>
                </w:p>
              </w:tc>
              <w:tc>
                <w:tcPr>
                  <w:tcW w:w="1080" w:type="dxa"/>
                  <w:tcBorders>
                    <w:top w:val="single" w:color="000000" w:sz="4" w:space="0"/>
                    <w:left w:val="single" w:color="000000" w:sz="4" w:space="0"/>
                    <w:right w:val="single" w:color="000000" w:sz="4" w:space="0"/>
                  </w:tcBorders>
                  <w:shd w:val="clear" w:color="auto" w:fill="auto"/>
                  <w:vAlign w:val="center"/>
                </w:tcPr>
                <w:p w14:paraId="67C35B2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0.</w:t>
                  </w:r>
                  <w:r>
                    <w:rPr>
                      <w:rFonts w:hint="eastAsia" w:cs="Times New Roman"/>
                      <w:i w:val="0"/>
                      <w:iCs w:val="0"/>
                      <w:color w:val="auto"/>
                      <w:kern w:val="0"/>
                      <w:sz w:val="18"/>
                      <w:szCs w:val="18"/>
                      <w:u w:val="none"/>
                      <w:lang w:val="en-US" w:eastAsia="zh-CN" w:bidi="ar"/>
                    </w:rPr>
                    <w:t>20</w:t>
                  </w:r>
                  <w:r>
                    <w:rPr>
                      <w:rFonts w:hint="default" w:ascii="Times New Roman" w:hAnsi="Times New Roman" w:eastAsia="宋体" w:cs="Times New Roman"/>
                      <w:i w:val="0"/>
                      <w:iCs w:val="0"/>
                      <w:color w:val="auto"/>
                      <w:kern w:val="0"/>
                      <w:sz w:val="18"/>
                      <w:szCs w:val="18"/>
                      <w:u w:val="none"/>
                      <w:lang w:val="en-US" w:eastAsia="zh-CN" w:bidi="ar"/>
                    </w:rPr>
                    <w:t>t/a</w:t>
                  </w:r>
                </w:p>
              </w:tc>
              <w:tc>
                <w:tcPr>
                  <w:tcW w:w="675" w:type="dxa"/>
                  <w:tcBorders>
                    <w:top w:val="single" w:color="000000" w:sz="4" w:space="0"/>
                    <w:left w:val="single" w:color="000000" w:sz="4" w:space="0"/>
                    <w:right w:val="single" w:color="000000" w:sz="4" w:space="0"/>
                  </w:tcBorders>
                  <w:shd w:val="clear" w:color="auto" w:fill="auto"/>
                  <w:vAlign w:val="center"/>
                </w:tcPr>
                <w:p w14:paraId="71916C5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right w:val="single" w:color="000000" w:sz="4" w:space="0"/>
                  </w:tcBorders>
                  <w:shd w:val="clear" w:color="auto" w:fill="auto"/>
                  <w:vAlign w:val="center"/>
                </w:tcPr>
                <w:p w14:paraId="0E5F43F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0.3</w:t>
                  </w:r>
                  <w:r>
                    <w:rPr>
                      <w:rFonts w:hint="eastAsia" w:cs="Times New Roman"/>
                      <w:i w:val="0"/>
                      <w:iCs w:val="0"/>
                      <w:color w:val="auto"/>
                      <w:kern w:val="0"/>
                      <w:sz w:val="18"/>
                      <w:szCs w:val="18"/>
                      <w:u w:val="none"/>
                      <w:lang w:val="en-US" w:eastAsia="zh-CN" w:bidi="ar"/>
                    </w:rPr>
                    <w:t>5</w:t>
                  </w:r>
                  <w:r>
                    <w:rPr>
                      <w:rFonts w:hint="default" w:ascii="Times New Roman" w:hAnsi="Times New Roman" w:eastAsia="宋体" w:cs="Times New Roman"/>
                      <w:i w:val="0"/>
                      <w:iCs w:val="0"/>
                      <w:color w:val="auto"/>
                      <w:kern w:val="0"/>
                      <w:sz w:val="18"/>
                      <w:szCs w:val="18"/>
                      <w:u w:val="none"/>
                      <w:lang w:val="en-US" w:eastAsia="zh-CN" w:bidi="ar"/>
                    </w:rPr>
                    <w:t>t/a</w:t>
                  </w:r>
                </w:p>
              </w:tc>
              <w:tc>
                <w:tcPr>
                  <w:tcW w:w="1410" w:type="dxa"/>
                  <w:tcBorders>
                    <w:top w:val="single" w:color="000000" w:sz="4" w:space="0"/>
                    <w:left w:val="single" w:color="000000" w:sz="4" w:space="0"/>
                    <w:right w:val="single" w:color="000000" w:sz="12" w:space="0"/>
                  </w:tcBorders>
                  <w:shd w:val="clear" w:color="auto" w:fill="auto"/>
                  <w:vAlign w:val="center"/>
                </w:tcPr>
                <w:p w14:paraId="64D6219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+0.</w:t>
                  </w:r>
                  <w:r>
                    <w:rPr>
                      <w:rFonts w:hint="eastAsia" w:cs="Times New Roman"/>
                      <w:i w:val="0"/>
                      <w:iCs w:val="0"/>
                      <w:color w:val="auto"/>
                      <w:kern w:val="0"/>
                      <w:sz w:val="18"/>
                      <w:szCs w:val="18"/>
                      <w:u w:val="none"/>
                      <w:lang w:val="en-US" w:eastAsia="zh-CN" w:bidi="ar"/>
                    </w:rPr>
                    <w:t>20</w:t>
                  </w:r>
                  <w:r>
                    <w:rPr>
                      <w:rFonts w:hint="default" w:ascii="Times New Roman" w:hAnsi="Times New Roman" w:eastAsia="宋体" w:cs="Times New Roman"/>
                      <w:i w:val="0"/>
                      <w:iCs w:val="0"/>
                      <w:color w:val="auto"/>
                      <w:kern w:val="0"/>
                      <w:sz w:val="18"/>
                      <w:szCs w:val="18"/>
                      <w:u w:val="none"/>
                      <w:lang w:val="en-US" w:eastAsia="zh-CN" w:bidi="ar"/>
                    </w:rPr>
                    <w:t>t/a</w:t>
                  </w:r>
                </w:p>
              </w:tc>
            </w:tr>
            <w:tr w14:paraId="3A312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1" w:type="dxa"/>
                  <w:vMerge w:val="continue"/>
                  <w:tcBorders>
                    <w:left w:val="single" w:color="000000" w:sz="12" w:space="0"/>
                    <w:right w:val="single" w:color="000000" w:sz="4" w:space="0"/>
                  </w:tcBorders>
                  <w:shd w:val="clear" w:color="auto" w:fill="auto"/>
                  <w:vAlign w:val="center"/>
                </w:tcPr>
                <w:p w14:paraId="2AC12AD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328" w:type="dxa"/>
                  <w:gridSpan w:val="2"/>
                  <w:tcBorders>
                    <w:top w:val="single" w:color="000000" w:sz="4" w:space="0"/>
                    <w:left w:val="single" w:color="000000" w:sz="4" w:space="0"/>
                    <w:right w:val="single" w:color="000000" w:sz="4" w:space="0"/>
                  </w:tcBorders>
                  <w:shd w:val="clear" w:color="auto" w:fill="auto"/>
                  <w:vAlign w:val="center"/>
                </w:tcPr>
                <w:p w14:paraId="0D58DA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cs="Times New Roman"/>
                      <w:i w:val="0"/>
                      <w:iCs w:val="0"/>
                      <w:color w:val="auto"/>
                      <w:kern w:val="0"/>
                      <w:sz w:val="18"/>
                      <w:szCs w:val="18"/>
                      <w:u w:val="none"/>
                      <w:lang w:val="en-US" w:eastAsia="zh-CN" w:bidi="ar"/>
                    </w:rPr>
                    <w:t>HCl</w:t>
                  </w:r>
                </w:p>
              </w:tc>
              <w:tc>
                <w:tcPr>
                  <w:tcW w:w="1102" w:type="dxa"/>
                  <w:tcBorders>
                    <w:top w:val="single" w:color="000000" w:sz="4" w:space="0"/>
                    <w:left w:val="single" w:color="000000" w:sz="4" w:space="0"/>
                    <w:right w:val="single" w:color="000000" w:sz="4" w:space="0"/>
                  </w:tcBorders>
                  <w:shd w:val="clear" w:color="auto" w:fill="auto"/>
                  <w:vAlign w:val="center"/>
                </w:tcPr>
                <w:p w14:paraId="43345B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c>
                <w:tcPr>
                  <w:tcW w:w="1080" w:type="dxa"/>
                  <w:tcBorders>
                    <w:top w:val="single" w:color="000000" w:sz="4" w:space="0"/>
                    <w:left w:val="single" w:color="000000" w:sz="4" w:space="0"/>
                    <w:right w:val="single" w:color="000000" w:sz="4" w:space="0"/>
                  </w:tcBorders>
                  <w:shd w:val="clear" w:color="auto" w:fill="auto"/>
                  <w:vAlign w:val="center"/>
                </w:tcPr>
                <w:p w14:paraId="152E64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0.005</w:t>
                  </w:r>
                </w:p>
              </w:tc>
              <w:tc>
                <w:tcPr>
                  <w:tcW w:w="675" w:type="dxa"/>
                  <w:tcBorders>
                    <w:top w:val="single" w:color="000000" w:sz="4" w:space="0"/>
                    <w:left w:val="single" w:color="000000" w:sz="4" w:space="0"/>
                    <w:right w:val="single" w:color="000000" w:sz="4" w:space="0"/>
                  </w:tcBorders>
                  <w:shd w:val="clear" w:color="auto" w:fill="auto"/>
                  <w:vAlign w:val="center"/>
                </w:tcPr>
                <w:p w14:paraId="3745DA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right w:val="single" w:color="000000" w:sz="4" w:space="0"/>
                  </w:tcBorders>
                  <w:shd w:val="clear" w:color="auto" w:fill="auto"/>
                  <w:vAlign w:val="center"/>
                </w:tcPr>
                <w:p w14:paraId="266F30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0.005</w:t>
                  </w:r>
                </w:p>
              </w:tc>
              <w:tc>
                <w:tcPr>
                  <w:tcW w:w="1410" w:type="dxa"/>
                  <w:tcBorders>
                    <w:top w:val="single" w:color="000000" w:sz="4" w:space="0"/>
                    <w:left w:val="single" w:color="000000" w:sz="4" w:space="0"/>
                    <w:right w:val="single" w:color="000000" w:sz="12" w:space="0"/>
                  </w:tcBorders>
                  <w:shd w:val="clear" w:color="auto" w:fill="auto"/>
                  <w:vAlign w:val="center"/>
                </w:tcPr>
                <w:p w14:paraId="724D2CA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r>
            <w:tr w14:paraId="60C77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1" w:type="dxa"/>
                  <w:tcBorders>
                    <w:left w:val="single" w:color="000000" w:sz="12" w:space="0"/>
                    <w:right w:val="single" w:color="000000" w:sz="4" w:space="0"/>
                  </w:tcBorders>
                  <w:shd w:val="clear" w:color="auto" w:fill="auto"/>
                  <w:vAlign w:val="center"/>
                </w:tcPr>
                <w:p w14:paraId="2312ACE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p>
              </w:tc>
              <w:tc>
                <w:tcPr>
                  <w:tcW w:w="1328" w:type="dxa"/>
                  <w:gridSpan w:val="2"/>
                  <w:tcBorders>
                    <w:top w:val="single" w:color="000000" w:sz="4" w:space="0"/>
                    <w:left w:val="single" w:color="000000" w:sz="4" w:space="0"/>
                    <w:right w:val="single" w:color="000000" w:sz="4" w:space="0"/>
                  </w:tcBorders>
                  <w:shd w:val="clear" w:color="auto" w:fill="auto"/>
                  <w:vAlign w:val="center"/>
                </w:tcPr>
                <w:p w14:paraId="4739A3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vertAlign w:val="subscript"/>
                      <w:lang w:val="en-US" w:eastAsia="zh-CN" w:bidi="ar"/>
                    </w:rPr>
                  </w:pPr>
                  <w:r>
                    <w:rPr>
                      <w:rFonts w:hint="default" w:ascii="Times New Roman" w:hAnsi="Times New Roman" w:cs="Times New Roman"/>
                      <w:i w:val="0"/>
                      <w:iCs w:val="0"/>
                      <w:color w:val="auto"/>
                      <w:kern w:val="0"/>
                      <w:sz w:val="18"/>
                      <w:szCs w:val="18"/>
                      <w:u w:val="none"/>
                      <w:lang w:val="en-US" w:eastAsia="zh-CN" w:bidi="ar"/>
                    </w:rPr>
                    <w:t>NO</w:t>
                  </w:r>
                  <w:r>
                    <w:rPr>
                      <w:rFonts w:hint="default" w:ascii="Times New Roman" w:hAnsi="Times New Roman" w:cs="Times New Roman"/>
                      <w:i w:val="0"/>
                      <w:iCs w:val="0"/>
                      <w:color w:val="auto"/>
                      <w:kern w:val="0"/>
                      <w:sz w:val="18"/>
                      <w:szCs w:val="18"/>
                      <w:u w:val="none"/>
                      <w:vertAlign w:val="subscript"/>
                      <w:lang w:val="en-US" w:eastAsia="zh-CN" w:bidi="ar"/>
                    </w:rPr>
                    <w:t>X</w:t>
                  </w:r>
                </w:p>
              </w:tc>
              <w:tc>
                <w:tcPr>
                  <w:tcW w:w="1102" w:type="dxa"/>
                  <w:tcBorders>
                    <w:top w:val="single" w:color="000000" w:sz="4" w:space="0"/>
                    <w:left w:val="single" w:color="000000" w:sz="4" w:space="0"/>
                    <w:right w:val="single" w:color="000000" w:sz="4" w:space="0"/>
                  </w:tcBorders>
                  <w:shd w:val="clear" w:color="auto" w:fill="auto"/>
                  <w:vAlign w:val="center"/>
                </w:tcPr>
                <w:p w14:paraId="4AE723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c>
                <w:tcPr>
                  <w:tcW w:w="1080" w:type="dxa"/>
                  <w:tcBorders>
                    <w:top w:val="single" w:color="000000" w:sz="4" w:space="0"/>
                    <w:left w:val="single" w:color="000000" w:sz="4" w:space="0"/>
                    <w:right w:val="single" w:color="000000" w:sz="4" w:space="0"/>
                  </w:tcBorders>
                  <w:shd w:val="clear" w:color="auto" w:fill="auto"/>
                  <w:vAlign w:val="center"/>
                </w:tcPr>
                <w:p w14:paraId="6319BE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0.005</w:t>
                  </w:r>
                </w:p>
              </w:tc>
              <w:tc>
                <w:tcPr>
                  <w:tcW w:w="675" w:type="dxa"/>
                  <w:tcBorders>
                    <w:top w:val="single" w:color="000000" w:sz="4" w:space="0"/>
                    <w:left w:val="single" w:color="000000" w:sz="4" w:space="0"/>
                    <w:right w:val="single" w:color="000000" w:sz="4" w:space="0"/>
                  </w:tcBorders>
                  <w:shd w:val="clear" w:color="auto" w:fill="auto"/>
                  <w:vAlign w:val="center"/>
                </w:tcPr>
                <w:p w14:paraId="744FA6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p>
              </w:tc>
              <w:tc>
                <w:tcPr>
                  <w:tcW w:w="1350" w:type="dxa"/>
                  <w:tcBorders>
                    <w:top w:val="single" w:color="000000" w:sz="4" w:space="0"/>
                    <w:left w:val="single" w:color="000000" w:sz="4" w:space="0"/>
                    <w:right w:val="single" w:color="000000" w:sz="4" w:space="0"/>
                  </w:tcBorders>
                  <w:shd w:val="clear" w:color="auto" w:fill="auto"/>
                  <w:vAlign w:val="center"/>
                </w:tcPr>
                <w:p w14:paraId="3C20F9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0.005</w:t>
                  </w:r>
                </w:p>
              </w:tc>
              <w:tc>
                <w:tcPr>
                  <w:tcW w:w="1410" w:type="dxa"/>
                  <w:tcBorders>
                    <w:top w:val="single" w:color="000000" w:sz="4" w:space="0"/>
                    <w:left w:val="single" w:color="000000" w:sz="4" w:space="0"/>
                    <w:right w:val="single" w:color="000000" w:sz="12" w:space="0"/>
                  </w:tcBorders>
                  <w:shd w:val="clear" w:color="auto" w:fill="auto"/>
                  <w:vAlign w:val="center"/>
                </w:tcPr>
                <w:p w14:paraId="641C6A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r>
            <w:tr w14:paraId="67402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 w:hRule="atLeast"/>
                <w:jc w:val="center"/>
              </w:trPr>
              <w:tc>
                <w:tcPr>
                  <w:tcW w:w="581" w:type="dxa"/>
                  <w:vMerge w:val="restart"/>
                  <w:tcBorders>
                    <w:top w:val="single" w:color="000000" w:sz="4" w:space="0"/>
                    <w:left w:val="single" w:color="000000" w:sz="12" w:space="0"/>
                    <w:bottom w:val="single" w:color="000000" w:sz="4" w:space="0"/>
                    <w:right w:val="single" w:color="000000" w:sz="4" w:space="0"/>
                  </w:tcBorders>
                  <w:shd w:val="clear" w:color="auto" w:fill="auto"/>
                  <w:vAlign w:val="center"/>
                </w:tcPr>
                <w:p w14:paraId="1B51093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废水</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5736D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生产废水</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3171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COD</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71C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0.00088t/a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9D8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0.0026t/a </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8370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620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0.0035t/a </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5ADDD41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+0.0026t/a </w:t>
                  </w:r>
                </w:p>
              </w:tc>
            </w:tr>
            <w:tr w14:paraId="7F10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04CBAF5">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0CF0F">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116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BOD</w:t>
                  </w:r>
                  <w:r>
                    <w:rPr>
                      <w:rFonts w:hint="default" w:ascii="Times New Roman" w:hAnsi="Times New Roman" w:eastAsia="宋体" w:cs="Times New Roman"/>
                      <w:i w:val="0"/>
                      <w:iCs w:val="0"/>
                      <w:color w:val="auto"/>
                      <w:kern w:val="0"/>
                      <w:sz w:val="18"/>
                      <w:szCs w:val="18"/>
                      <w:u w:val="none"/>
                      <w:vertAlign w:val="subscript"/>
                      <w:lang w:val="en-US" w:eastAsia="zh-CN" w:bidi="ar"/>
                    </w:rPr>
                    <w:t>5</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48E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0.00032t/a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B60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0.00098t/a </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7526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38E9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0.0013t/a </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4B8C4B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+0.00098t/a </w:t>
                  </w:r>
                </w:p>
              </w:tc>
            </w:tr>
            <w:tr w14:paraId="4E2D2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8"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043EDC05">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28029F">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63A1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SS</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E9BF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0.00059t/a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FC3F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0.0035t/a </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0347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FC03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0.0041t/a </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2734E7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+0.0035t/a </w:t>
                  </w:r>
                </w:p>
              </w:tc>
            </w:tr>
            <w:tr w14:paraId="7B4A1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9"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4E2EF0B8">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5741A">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B4E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NH</w:t>
                  </w:r>
                  <w:r>
                    <w:rPr>
                      <w:rFonts w:hint="default" w:ascii="Times New Roman" w:hAnsi="Times New Roman" w:eastAsia="宋体" w:cs="Times New Roman"/>
                      <w:i w:val="0"/>
                      <w:iCs w:val="0"/>
                      <w:color w:val="auto"/>
                      <w:kern w:val="0"/>
                      <w:sz w:val="18"/>
                      <w:szCs w:val="18"/>
                      <w:u w:val="none"/>
                      <w:vertAlign w:val="subscript"/>
                      <w:lang w:val="en-US" w:eastAsia="zh-CN" w:bidi="ar"/>
                    </w:rPr>
                    <w:t>3</w:t>
                  </w:r>
                  <w:r>
                    <w:rPr>
                      <w:rFonts w:hint="default" w:ascii="Times New Roman" w:hAnsi="Times New Roman" w:eastAsia="宋体" w:cs="Times New Roman"/>
                      <w:i w:val="0"/>
                      <w:iCs w:val="0"/>
                      <w:color w:val="auto"/>
                      <w:kern w:val="0"/>
                      <w:sz w:val="18"/>
                      <w:szCs w:val="18"/>
                      <w:u w:val="none"/>
                      <w:lang w:val="en-US" w:eastAsia="zh-CN" w:bidi="ar"/>
                    </w:rPr>
                    <w:t>-N</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D57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0.000011t/a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0B23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0.000082t/a </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32BA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44C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0.000093t/a </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D1457C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 xml:space="preserve">+0.000082t/a </w:t>
                  </w:r>
                </w:p>
              </w:tc>
            </w:tr>
            <w:tr w14:paraId="4CD87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4CD2E16A">
                  <w:pPr>
                    <w:jc w:val="center"/>
                    <w:rPr>
                      <w:rFonts w:hint="eastAsia" w:ascii="宋体" w:hAnsi="宋体" w:eastAsia="宋体" w:cs="宋体"/>
                      <w:i w:val="0"/>
                      <w:iCs w:val="0"/>
                      <w:color w:val="auto"/>
                      <w:sz w:val="18"/>
                      <w:szCs w:val="18"/>
                      <w:u w:val="none"/>
                    </w:rPr>
                  </w:pP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712C5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生活污水</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85B0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COD</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ACF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0.28t/a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4F5C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2E8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F37F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0.28t/a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5A61B58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r>
            <w:tr w14:paraId="77FFD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5518D5F9">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1C3E0">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EA8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BOD</w:t>
                  </w:r>
                  <w:r>
                    <w:rPr>
                      <w:rFonts w:hint="default" w:ascii="Times New Roman" w:hAnsi="Times New Roman" w:eastAsia="宋体" w:cs="Times New Roman"/>
                      <w:i w:val="0"/>
                      <w:iCs w:val="0"/>
                      <w:color w:val="auto"/>
                      <w:kern w:val="0"/>
                      <w:sz w:val="18"/>
                      <w:szCs w:val="18"/>
                      <w:u w:val="none"/>
                      <w:vertAlign w:val="subscript"/>
                      <w:lang w:val="en-US" w:eastAsia="zh-CN" w:bidi="ar"/>
                    </w:rPr>
                    <w:t>5</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D73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0.13t/a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1F43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E0D2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0D9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0.13t/a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864E0D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r>
            <w:tr w14:paraId="6D401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26D6EC5A">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F9B40">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3CFA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SS</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FCA1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0.12t/a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879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9C37">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320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0.12t/a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4427C03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r>
            <w:tr w14:paraId="00FE6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7F257DC7">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E0A36">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122D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NH</w:t>
                  </w:r>
                  <w:r>
                    <w:rPr>
                      <w:rFonts w:hint="default" w:ascii="Times New Roman" w:hAnsi="Times New Roman" w:eastAsia="宋体" w:cs="Times New Roman"/>
                      <w:i w:val="0"/>
                      <w:iCs w:val="0"/>
                      <w:color w:val="auto"/>
                      <w:kern w:val="0"/>
                      <w:sz w:val="18"/>
                      <w:szCs w:val="18"/>
                      <w:u w:val="none"/>
                      <w:vertAlign w:val="subscript"/>
                      <w:lang w:val="en-US" w:eastAsia="zh-CN" w:bidi="ar"/>
                    </w:rPr>
                    <w:t>3</w:t>
                  </w:r>
                  <w:r>
                    <w:rPr>
                      <w:rFonts w:hint="default" w:ascii="Times New Roman" w:hAnsi="Times New Roman" w:eastAsia="宋体" w:cs="Times New Roman"/>
                      <w:i w:val="0"/>
                      <w:iCs w:val="0"/>
                      <w:color w:val="auto"/>
                      <w:kern w:val="0"/>
                      <w:sz w:val="18"/>
                      <w:szCs w:val="18"/>
                      <w:u w:val="none"/>
                      <w:lang w:val="en-US" w:eastAsia="zh-CN" w:bidi="ar"/>
                    </w:rPr>
                    <w:t>-N</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A29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0.031t/a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F204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9811">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B27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0.031t/a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7486597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r>
            <w:tr w14:paraId="2C345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50D815BC">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77B68">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5CC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TN</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679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0.043t/a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C1E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F94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92C9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0.043t/a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7BD7963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r>
            <w:tr w14:paraId="0523A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 w:hRule="atLeast"/>
                <w:jc w:val="center"/>
              </w:trPr>
              <w:tc>
                <w:tcPr>
                  <w:tcW w:w="581" w:type="dxa"/>
                  <w:vMerge w:val="continue"/>
                  <w:tcBorders>
                    <w:top w:val="single" w:color="000000" w:sz="4" w:space="0"/>
                    <w:left w:val="single" w:color="000000" w:sz="12" w:space="0"/>
                    <w:bottom w:val="single" w:color="000000" w:sz="4" w:space="0"/>
                    <w:right w:val="single" w:color="000000" w:sz="4" w:space="0"/>
                  </w:tcBorders>
                  <w:shd w:val="clear" w:color="auto" w:fill="auto"/>
                  <w:vAlign w:val="center"/>
                </w:tcPr>
                <w:p w14:paraId="47E91814">
                  <w:pPr>
                    <w:jc w:val="center"/>
                    <w:rPr>
                      <w:rFonts w:hint="eastAsia" w:ascii="宋体" w:hAnsi="宋体" w:eastAsia="宋体" w:cs="宋体"/>
                      <w:i w:val="0"/>
                      <w:iCs w:val="0"/>
                      <w:color w:val="auto"/>
                      <w:sz w:val="18"/>
                      <w:szCs w:val="18"/>
                      <w:u w:val="none"/>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A4087">
                  <w:pPr>
                    <w:jc w:val="center"/>
                    <w:rPr>
                      <w:rFonts w:hint="eastAsia" w:ascii="宋体" w:hAnsi="宋体" w:eastAsia="宋体" w:cs="宋体"/>
                      <w:i w:val="0"/>
                      <w:iCs w:val="0"/>
                      <w:color w:val="auto"/>
                      <w:sz w:val="18"/>
                      <w:szCs w:val="18"/>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9A67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TP</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F6E2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0.0031t/a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6FB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EC90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DF05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0.0031t/a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B62BBB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r>
            <w:tr w14:paraId="21711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jc w:val="center"/>
              </w:trPr>
              <w:tc>
                <w:tcPr>
                  <w:tcW w:w="581" w:type="dxa"/>
                  <w:tcBorders>
                    <w:top w:val="single" w:color="000000" w:sz="4" w:space="0"/>
                    <w:left w:val="single" w:color="000000" w:sz="12" w:space="0"/>
                    <w:bottom w:val="single" w:color="000000" w:sz="4" w:space="0"/>
                    <w:right w:val="single" w:color="000000" w:sz="4" w:space="0"/>
                  </w:tcBorders>
                  <w:shd w:val="clear" w:color="auto" w:fill="auto"/>
                  <w:vAlign w:val="center"/>
                </w:tcPr>
                <w:p w14:paraId="5B870095">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一般固废</w:t>
                  </w: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54C0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废包装材料</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2B78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0.5t/a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A35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0.5t/a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83D2">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1844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0574537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+0.5t/a</w:t>
                  </w:r>
                </w:p>
              </w:tc>
            </w:tr>
            <w:tr w14:paraId="63C4C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581" w:type="dxa"/>
                  <w:vMerge w:val="restart"/>
                  <w:tcBorders>
                    <w:top w:val="single" w:color="000000" w:sz="4" w:space="0"/>
                    <w:left w:val="single" w:color="000000" w:sz="12" w:space="0"/>
                    <w:right w:val="single" w:color="000000" w:sz="4" w:space="0"/>
                  </w:tcBorders>
                  <w:shd w:val="clear" w:color="auto" w:fill="auto"/>
                  <w:vAlign w:val="center"/>
                </w:tcPr>
                <w:p w14:paraId="7B5D085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危险废物</w:t>
                  </w: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A2339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实验室废液</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C395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13.28</w:t>
                  </w:r>
                  <w:r>
                    <w:rPr>
                      <w:rFonts w:hint="default" w:ascii="Times New Roman" w:hAnsi="Times New Roman" w:eastAsia="宋体" w:cs="Times New Roman"/>
                      <w:i w:val="0"/>
                      <w:iCs w:val="0"/>
                      <w:color w:val="auto"/>
                      <w:kern w:val="0"/>
                      <w:sz w:val="18"/>
                      <w:szCs w:val="18"/>
                      <w:u w:val="none"/>
                      <w:lang w:val="en-US" w:eastAsia="zh-CN" w:bidi="ar"/>
                    </w:rPr>
                    <w:t>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9977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37.8</w:t>
                  </w:r>
                  <w:r>
                    <w:rPr>
                      <w:rFonts w:hint="default" w:ascii="Times New Roman" w:hAnsi="Times New Roman" w:eastAsia="宋体" w:cs="Times New Roman"/>
                      <w:i w:val="0"/>
                      <w:iCs w:val="0"/>
                      <w:color w:val="auto"/>
                      <w:kern w:val="0"/>
                      <w:sz w:val="18"/>
                      <w:szCs w:val="18"/>
                      <w:u w:val="none"/>
                      <w:lang w:val="en-US" w:eastAsia="zh-CN" w:bidi="ar"/>
                    </w:rPr>
                    <w:t>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7F0F">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F2BD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51.08</w:t>
                  </w:r>
                  <w:r>
                    <w:rPr>
                      <w:rFonts w:hint="default" w:ascii="Times New Roman" w:hAnsi="Times New Roman" w:eastAsia="宋体" w:cs="Times New Roman"/>
                      <w:i w:val="0"/>
                      <w:iCs w:val="0"/>
                      <w:color w:val="auto"/>
                      <w:kern w:val="0"/>
                      <w:sz w:val="18"/>
                      <w:szCs w:val="18"/>
                      <w:u w:val="none"/>
                      <w:lang w:val="en-US" w:eastAsia="zh-CN" w:bidi="ar"/>
                    </w:rPr>
                    <w:t>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7DE7DCE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r>
                    <w:rPr>
                      <w:rFonts w:hint="eastAsia" w:cs="Times New Roman"/>
                      <w:i w:val="0"/>
                      <w:iCs w:val="0"/>
                      <w:color w:val="auto"/>
                      <w:kern w:val="0"/>
                      <w:sz w:val="18"/>
                      <w:szCs w:val="18"/>
                      <w:u w:val="none"/>
                      <w:lang w:val="en-US" w:eastAsia="zh-CN" w:bidi="ar"/>
                    </w:rPr>
                    <w:t>37.8</w:t>
                  </w:r>
                  <w:r>
                    <w:rPr>
                      <w:rFonts w:hint="default" w:ascii="Times New Roman" w:hAnsi="Times New Roman" w:eastAsia="宋体" w:cs="Times New Roman"/>
                      <w:i w:val="0"/>
                      <w:iCs w:val="0"/>
                      <w:color w:val="auto"/>
                      <w:kern w:val="0"/>
                      <w:sz w:val="18"/>
                      <w:szCs w:val="18"/>
                      <w:u w:val="none"/>
                      <w:lang w:val="en-US" w:eastAsia="zh-CN" w:bidi="ar"/>
                    </w:rPr>
                    <w:t>tt/a</w:t>
                  </w:r>
                </w:p>
              </w:tc>
            </w:tr>
            <w:tr w14:paraId="04AAD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jc w:val="center"/>
              </w:trPr>
              <w:tc>
                <w:tcPr>
                  <w:tcW w:w="581" w:type="dxa"/>
                  <w:vMerge w:val="continue"/>
                  <w:tcBorders>
                    <w:left w:val="single" w:color="000000" w:sz="12" w:space="0"/>
                    <w:right w:val="single" w:color="000000" w:sz="4" w:space="0"/>
                  </w:tcBorders>
                  <w:shd w:val="clear" w:color="auto" w:fill="auto"/>
                  <w:vAlign w:val="center"/>
                </w:tcPr>
                <w:p w14:paraId="5D4E854F">
                  <w:pPr>
                    <w:jc w:val="center"/>
                    <w:rPr>
                      <w:rFonts w:hint="eastAsia" w:ascii="宋体" w:hAnsi="宋体" w:eastAsia="宋体" w:cs="宋体"/>
                      <w:i w:val="0"/>
                      <w:iCs w:val="0"/>
                      <w:color w:val="auto"/>
                      <w:sz w:val="18"/>
                      <w:szCs w:val="18"/>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3ADA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沾染化学试剂的一次性实验用品等</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EF9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B88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3522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A63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3.0t/a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08B65F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+1.5t/a</w:t>
                  </w:r>
                </w:p>
              </w:tc>
            </w:tr>
            <w:tr w14:paraId="14114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jc w:val="center"/>
              </w:trPr>
              <w:tc>
                <w:tcPr>
                  <w:tcW w:w="581" w:type="dxa"/>
                  <w:vMerge w:val="continue"/>
                  <w:tcBorders>
                    <w:left w:val="single" w:color="000000" w:sz="12" w:space="0"/>
                    <w:right w:val="single" w:color="000000" w:sz="4" w:space="0"/>
                  </w:tcBorders>
                  <w:shd w:val="clear" w:color="auto" w:fill="auto"/>
                  <w:vAlign w:val="center"/>
                </w:tcPr>
                <w:p w14:paraId="7D3C08CE">
                  <w:pPr>
                    <w:jc w:val="center"/>
                    <w:rPr>
                      <w:rFonts w:hint="eastAsia" w:ascii="宋体" w:hAnsi="宋体" w:eastAsia="宋体" w:cs="宋体"/>
                      <w:i w:val="0"/>
                      <w:iCs w:val="0"/>
                      <w:color w:val="auto"/>
                      <w:sz w:val="18"/>
                      <w:szCs w:val="18"/>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CBC6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实验废弃物</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7F6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rPr>
                  </w:pPr>
                  <w:r>
                    <w:rPr>
                      <w:rFonts w:hint="default" w:ascii="Times New Roman" w:hAnsi="Times New Roman" w:eastAsia="宋体" w:cs="Times New Roman"/>
                      <w:i w:val="0"/>
                      <w:iCs w:val="0"/>
                      <w:color w:val="auto"/>
                      <w:kern w:val="0"/>
                      <w:sz w:val="18"/>
                      <w:szCs w:val="18"/>
                      <w:highlight w:val="none"/>
                      <w:u w:val="none"/>
                      <w:lang w:val="en-US" w:eastAsia="zh-CN" w:bidi="ar"/>
                    </w:rPr>
                    <w:t>0.</w:t>
                  </w:r>
                  <w:r>
                    <w:rPr>
                      <w:rFonts w:hint="eastAsia" w:cs="Times New Roman"/>
                      <w:i w:val="0"/>
                      <w:iCs w:val="0"/>
                      <w:color w:val="auto"/>
                      <w:kern w:val="0"/>
                      <w:sz w:val="18"/>
                      <w:szCs w:val="18"/>
                      <w:highlight w:val="none"/>
                      <w:u w:val="none"/>
                      <w:lang w:val="en-US" w:eastAsia="zh-CN" w:bidi="ar"/>
                    </w:rPr>
                    <w:t>0</w:t>
                  </w:r>
                  <w:r>
                    <w:rPr>
                      <w:rFonts w:hint="default" w:ascii="Times New Roman" w:hAnsi="Times New Roman" w:eastAsia="宋体" w:cs="Times New Roman"/>
                      <w:i w:val="0"/>
                      <w:iCs w:val="0"/>
                      <w:color w:val="auto"/>
                      <w:kern w:val="0"/>
                      <w:sz w:val="18"/>
                      <w:szCs w:val="18"/>
                      <w:highlight w:val="none"/>
                      <w:u w:val="none"/>
                      <w:lang w:val="en-US" w:eastAsia="zh-CN" w:bidi="ar"/>
                    </w:rPr>
                    <w:t>1t/a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D7D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rPr>
                  </w:pPr>
                  <w:r>
                    <w:rPr>
                      <w:rFonts w:hint="eastAsia" w:cs="Times New Roman"/>
                      <w:i w:val="0"/>
                      <w:iCs w:val="0"/>
                      <w:color w:val="auto"/>
                      <w:kern w:val="0"/>
                      <w:sz w:val="18"/>
                      <w:szCs w:val="18"/>
                      <w:highlight w:val="none"/>
                      <w:u w:val="none"/>
                      <w:lang w:val="en-US" w:eastAsia="zh-CN" w:bidi="ar"/>
                    </w:rPr>
                    <w:t>1.02</w:t>
                  </w:r>
                  <w:r>
                    <w:rPr>
                      <w:rFonts w:hint="default" w:ascii="Times New Roman" w:hAnsi="Times New Roman" w:eastAsia="宋体" w:cs="Times New Roman"/>
                      <w:i w:val="0"/>
                      <w:iCs w:val="0"/>
                      <w:color w:val="auto"/>
                      <w:kern w:val="0"/>
                      <w:sz w:val="18"/>
                      <w:szCs w:val="18"/>
                      <w:highlight w:val="none"/>
                      <w:u w:val="none"/>
                      <w:lang w:val="en-US" w:eastAsia="zh-CN" w:bidi="ar"/>
                    </w:rPr>
                    <w:t>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6F65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rPr>
                  </w:pPr>
                  <w:r>
                    <w:rPr>
                      <w:rFonts w:hint="default" w:ascii="Times New Roman" w:hAnsi="Times New Roman" w:eastAsia="宋体" w:cs="Times New Roman"/>
                      <w:i w:val="0"/>
                      <w:iCs w:val="0"/>
                      <w:color w:val="auto"/>
                      <w:kern w:val="0"/>
                      <w:sz w:val="18"/>
                      <w:szCs w:val="18"/>
                      <w:highlight w:val="none"/>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762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rPr>
                  </w:pPr>
                  <w:r>
                    <w:rPr>
                      <w:rFonts w:hint="eastAsia" w:cs="Times New Roman"/>
                      <w:i w:val="0"/>
                      <w:iCs w:val="0"/>
                      <w:color w:val="auto"/>
                      <w:kern w:val="0"/>
                      <w:sz w:val="18"/>
                      <w:szCs w:val="18"/>
                      <w:highlight w:val="none"/>
                      <w:u w:val="none"/>
                      <w:lang w:val="en-US" w:eastAsia="zh-CN" w:bidi="ar"/>
                    </w:rPr>
                    <w:t>1.03</w:t>
                  </w:r>
                  <w:r>
                    <w:rPr>
                      <w:rFonts w:hint="default" w:ascii="Times New Roman" w:hAnsi="Times New Roman" w:eastAsia="宋体" w:cs="Times New Roman"/>
                      <w:i w:val="0"/>
                      <w:iCs w:val="0"/>
                      <w:color w:val="auto"/>
                      <w:kern w:val="0"/>
                      <w:sz w:val="18"/>
                      <w:szCs w:val="18"/>
                      <w:highlight w:val="none"/>
                      <w:u w:val="none"/>
                      <w:lang w:val="en-US" w:eastAsia="zh-CN" w:bidi="ar"/>
                    </w:rPr>
                    <w:t>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7FAF519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highlight w:val="none"/>
                      <w:u w:val="none"/>
                    </w:rPr>
                  </w:pPr>
                  <w:r>
                    <w:rPr>
                      <w:rFonts w:hint="default" w:ascii="Times New Roman" w:hAnsi="Times New Roman" w:eastAsia="宋体" w:cs="Times New Roman"/>
                      <w:i w:val="0"/>
                      <w:iCs w:val="0"/>
                      <w:color w:val="auto"/>
                      <w:kern w:val="0"/>
                      <w:sz w:val="18"/>
                      <w:szCs w:val="18"/>
                      <w:highlight w:val="none"/>
                      <w:u w:val="none"/>
                      <w:lang w:val="en-US" w:eastAsia="zh-CN" w:bidi="ar"/>
                    </w:rPr>
                    <w:t>+</w:t>
                  </w:r>
                  <w:r>
                    <w:rPr>
                      <w:rFonts w:hint="eastAsia" w:cs="Times New Roman"/>
                      <w:i w:val="0"/>
                      <w:iCs w:val="0"/>
                      <w:color w:val="auto"/>
                      <w:kern w:val="0"/>
                      <w:sz w:val="18"/>
                      <w:szCs w:val="18"/>
                      <w:highlight w:val="none"/>
                      <w:u w:val="none"/>
                      <w:lang w:val="en-US" w:eastAsia="zh-CN" w:bidi="ar"/>
                    </w:rPr>
                    <w:t>1.03</w:t>
                  </w:r>
                  <w:r>
                    <w:rPr>
                      <w:rFonts w:hint="default" w:ascii="Times New Roman" w:hAnsi="Times New Roman" w:eastAsia="宋体" w:cs="Times New Roman"/>
                      <w:i w:val="0"/>
                      <w:iCs w:val="0"/>
                      <w:color w:val="auto"/>
                      <w:kern w:val="0"/>
                      <w:sz w:val="18"/>
                      <w:szCs w:val="18"/>
                      <w:highlight w:val="none"/>
                      <w:u w:val="none"/>
                      <w:lang w:val="en-US" w:eastAsia="zh-CN" w:bidi="ar"/>
                    </w:rPr>
                    <w:t>t/a</w:t>
                  </w:r>
                </w:p>
              </w:tc>
            </w:tr>
            <w:tr w14:paraId="5551C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jc w:val="center"/>
              </w:trPr>
              <w:tc>
                <w:tcPr>
                  <w:tcW w:w="581" w:type="dxa"/>
                  <w:vMerge w:val="continue"/>
                  <w:tcBorders>
                    <w:left w:val="single" w:color="000000" w:sz="12" w:space="0"/>
                    <w:right w:val="single" w:color="000000" w:sz="4" w:space="0"/>
                  </w:tcBorders>
                  <w:shd w:val="clear" w:color="auto" w:fill="auto"/>
                  <w:vAlign w:val="center"/>
                </w:tcPr>
                <w:p w14:paraId="4D06325D">
                  <w:pPr>
                    <w:jc w:val="center"/>
                    <w:rPr>
                      <w:rFonts w:hint="eastAsia" w:ascii="宋体" w:hAnsi="宋体" w:eastAsia="宋体" w:cs="宋体"/>
                      <w:i w:val="0"/>
                      <w:iCs w:val="0"/>
                      <w:color w:val="auto"/>
                      <w:sz w:val="18"/>
                      <w:szCs w:val="18"/>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BF04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废化学试剂</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E36B">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9CEF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0.01t/a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50C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FD29">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0.02t/a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16D8199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0.14t/a</w:t>
                  </w:r>
                </w:p>
              </w:tc>
            </w:tr>
            <w:tr w14:paraId="5B452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jc w:val="center"/>
              </w:trPr>
              <w:tc>
                <w:tcPr>
                  <w:tcW w:w="581" w:type="dxa"/>
                  <w:vMerge w:val="continue"/>
                  <w:tcBorders>
                    <w:left w:val="single" w:color="000000" w:sz="12" w:space="0"/>
                    <w:right w:val="single" w:color="000000" w:sz="4" w:space="0"/>
                  </w:tcBorders>
                  <w:shd w:val="clear" w:color="auto" w:fill="auto"/>
                  <w:vAlign w:val="center"/>
                </w:tcPr>
                <w:p w14:paraId="32020885">
                  <w:pPr>
                    <w:jc w:val="center"/>
                    <w:rPr>
                      <w:rFonts w:hint="eastAsia" w:ascii="宋体" w:hAnsi="宋体" w:eastAsia="宋体" w:cs="宋体"/>
                      <w:i w:val="0"/>
                      <w:iCs w:val="0"/>
                      <w:color w:val="auto"/>
                      <w:sz w:val="18"/>
                      <w:szCs w:val="18"/>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6ADE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废水处理污泥</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8C11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0.29</w:t>
                  </w:r>
                  <w:r>
                    <w:rPr>
                      <w:rFonts w:hint="default" w:ascii="Times New Roman" w:hAnsi="Times New Roman" w:eastAsia="宋体" w:cs="Times New Roman"/>
                      <w:i w:val="0"/>
                      <w:iCs w:val="0"/>
                      <w:color w:val="auto"/>
                      <w:kern w:val="0"/>
                      <w:sz w:val="18"/>
                      <w:szCs w:val="18"/>
                      <w:u w:val="none"/>
                      <w:lang w:val="en-US" w:eastAsia="zh-CN" w:bidi="ar"/>
                    </w:rPr>
                    <w:t>kg/a</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F8FEE">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1.21</w:t>
                  </w:r>
                  <w:r>
                    <w:rPr>
                      <w:rFonts w:hint="default" w:ascii="Times New Roman" w:hAnsi="Times New Roman" w:eastAsia="宋体" w:cs="Times New Roman"/>
                      <w:i w:val="0"/>
                      <w:iCs w:val="0"/>
                      <w:color w:val="auto"/>
                      <w:kern w:val="0"/>
                      <w:sz w:val="18"/>
                      <w:szCs w:val="18"/>
                      <w:u w:val="none"/>
                      <w:lang w:val="en-US" w:eastAsia="zh-CN" w:bidi="ar"/>
                    </w:rPr>
                    <w:t>kg/a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45963">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2C3E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1.5</w:t>
                  </w:r>
                  <w:r>
                    <w:rPr>
                      <w:rFonts w:hint="default" w:ascii="Times New Roman" w:hAnsi="Times New Roman" w:eastAsia="宋体" w:cs="Times New Roman"/>
                      <w:i w:val="0"/>
                      <w:iCs w:val="0"/>
                      <w:color w:val="auto"/>
                      <w:kern w:val="0"/>
                      <w:sz w:val="18"/>
                      <w:szCs w:val="18"/>
                      <w:u w:val="none"/>
                      <w:lang w:val="en-US" w:eastAsia="zh-CN" w:bidi="ar"/>
                    </w:rPr>
                    <w:t>kg/a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3AEE95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r>
                    <w:rPr>
                      <w:rFonts w:hint="eastAsia" w:cs="Times New Roman"/>
                      <w:i w:val="0"/>
                      <w:iCs w:val="0"/>
                      <w:color w:val="auto"/>
                      <w:kern w:val="0"/>
                      <w:sz w:val="18"/>
                      <w:szCs w:val="18"/>
                      <w:u w:val="none"/>
                      <w:lang w:val="en-US" w:eastAsia="zh-CN" w:bidi="ar"/>
                    </w:rPr>
                    <w:t>1.21</w:t>
                  </w:r>
                  <w:r>
                    <w:rPr>
                      <w:rFonts w:hint="default" w:ascii="Times New Roman" w:hAnsi="Times New Roman" w:eastAsia="宋体" w:cs="Times New Roman"/>
                      <w:i w:val="0"/>
                      <w:iCs w:val="0"/>
                      <w:color w:val="auto"/>
                      <w:kern w:val="0"/>
                      <w:sz w:val="18"/>
                      <w:szCs w:val="18"/>
                      <w:u w:val="none"/>
                      <w:lang w:val="en-US" w:eastAsia="zh-CN" w:bidi="ar"/>
                    </w:rPr>
                    <w:t>kg/a</w:t>
                  </w:r>
                </w:p>
              </w:tc>
            </w:tr>
            <w:tr w14:paraId="64E27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jc w:val="center"/>
              </w:trPr>
              <w:tc>
                <w:tcPr>
                  <w:tcW w:w="581" w:type="dxa"/>
                  <w:vMerge w:val="continue"/>
                  <w:tcBorders>
                    <w:left w:val="single" w:color="000000" w:sz="12" w:space="0"/>
                    <w:right w:val="single" w:color="000000" w:sz="4" w:space="0"/>
                  </w:tcBorders>
                  <w:shd w:val="clear" w:color="auto" w:fill="auto"/>
                  <w:vAlign w:val="center"/>
                </w:tcPr>
                <w:p w14:paraId="39E2921B">
                  <w:pPr>
                    <w:jc w:val="center"/>
                    <w:rPr>
                      <w:rFonts w:hint="eastAsia" w:ascii="宋体" w:hAnsi="宋体" w:eastAsia="宋体" w:cs="宋体"/>
                      <w:i w:val="0"/>
                      <w:iCs w:val="0"/>
                      <w:color w:val="auto"/>
                      <w:sz w:val="18"/>
                      <w:szCs w:val="18"/>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BE02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废活性炭</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81F8">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0.65</w:t>
                  </w:r>
                  <w:r>
                    <w:rPr>
                      <w:rFonts w:hint="default" w:ascii="Times New Roman" w:hAnsi="Times New Roman" w:eastAsia="宋体" w:cs="Times New Roman"/>
                      <w:i w:val="0"/>
                      <w:iCs w:val="0"/>
                      <w:color w:val="auto"/>
                      <w:kern w:val="0"/>
                      <w:sz w:val="18"/>
                      <w:szCs w:val="18"/>
                      <w:u w:val="none"/>
                      <w:lang w:val="en-US" w:eastAsia="zh-CN" w:bidi="ar"/>
                    </w:rPr>
                    <w:t>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1565">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0.61</w:t>
                  </w:r>
                  <w:r>
                    <w:rPr>
                      <w:rFonts w:hint="default" w:ascii="Times New Roman" w:hAnsi="Times New Roman" w:eastAsia="宋体" w:cs="Times New Roman"/>
                      <w:i w:val="0"/>
                      <w:iCs w:val="0"/>
                      <w:color w:val="auto"/>
                      <w:kern w:val="0"/>
                      <w:sz w:val="18"/>
                      <w:szCs w:val="18"/>
                      <w:u w:val="none"/>
                      <w:lang w:val="en-US" w:eastAsia="zh-CN" w:bidi="ar"/>
                    </w:rPr>
                    <w:t>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C3D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9A31A">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eastAsia" w:cs="Times New Roman"/>
                      <w:i w:val="0"/>
                      <w:iCs w:val="0"/>
                      <w:color w:val="auto"/>
                      <w:kern w:val="0"/>
                      <w:sz w:val="18"/>
                      <w:szCs w:val="18"/>
                      <w:u w:val="none"/>
                      <w:lang w:val="en-US" w:eastAsia="zh-CN" w:bidi="ar"/>
                    </w:rPr>
                    <w:t>1.26t</w:t>
                  </w:r>
                  <w:r>
                    <w:rPr>
                      <w:rFonts w:hint="default" w:ascii="Times New Roman" w:hAnsi="Times New Roman" w:eastAsia="宋体" w:cs="Times New Roman"/>
                      <w:i w:val="0"/>
                      <w:iCs w:val="0"/>
                      <w:color w:val="auto"/>
                      <w:kern w:val="0"/>
                      <w:sz w:val="18"/>
                      <w:szCs w:val="18"/>
                      <w:u w:val="none"/>
                      <w:lang w:val="en-US" w:eastAsia="zh-CN" w:bidi="ar"/>
                    </w:rPr>
                    <w:t>/a</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773A7026">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w:t>
                  </w:r>
                  <w:r>
                    <w:rPr>
                      <w:rFonts w:hint="eastAsia" w:cs="Times New Roman"/>
                      <w:i w:val="0"/>
                      <w:iCs w:val="0"/>
                      <w:color w:val="auto"/>
                      <w:kern w:val="0"/>
                      <w:sz w:val="18"/>
                      <w:szCs w:val="18"/>
                      <w:u w:val="none"/>
                      <w:lang w:val="en-US" w:eastAsia="zh-CN" w:bidi="ar"/>
                    </w:rPr>
                    <w:t>0.61</w:t>
                  </w:r>
                  <w:r>
                    <w:rPr>
                      <w:rFonts w:hint="default" w:ascii="Times New Roman" w:hAnsi="Times New Roman" w:eastAsia="宋体" w:cs="Times New Roman"/>
                      <w:i w:val="0"/>
                      <w:iCs w:val="0"/>
                      <w:color w:val="auto"/>
                      <w:kern w:val="0"/>
                      <w:sz w:val="18"/>
                      <w:szCs w:val="18"/>
                      <w:u w:val="none"/>
                      <w:lang w:val="en-US" w:eastAsia="zh-CN" w:bidi="ar"/>
                    </w:rPr>
                    <w:t>t/a</w:t>
                  </w:r>
                </w:p>
              </w:tc>
            </w:tr>
            <w:tr w14:paraId="0A587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jc w:val="center"/>
              </w:trPr>
              <w:tc>
                <w:tcPr>
                  <w:tcW w:w="581" w:type="dxa"/>
                  <w:vMerge w:val="continue"/>
                  <w:tcBorders>
                    <w:left w:val="single" w:color="000000" w:sz="12" w:space="0"/>
                    <w:bottom w:val="single" w:color="000000" w:sz="4" w:space="0"/>
                    <w:right w:val="single" w:color="000000" w:sz="4" w:space="0"/>
                  </w:tcBorders>
                  <w:shd w:val="clear" w:color="auto" w:fill="auto"/>
                  <w:vAlign w:val="center"/>
                </w:tcPr>
                <w:p w14:paraId="23B0786F">
                  <w:pPr>
                    <w:jc w:val="center"/>
                    <w:rPr>
                      <w:rFonts w:hint="eastAsia" w:ascii="宋体" w:hAnsi="宋体" w:eastAsia="宋体" w:cs="宋体"/>
                      <w:i w:val="0"/>
                      <w:iCs w:val="0"/>
                      <w:color w:val="auto"/>
                      <w:sz w:val="18"/>
                      <w:szCs w:val="18"/>
                      <w:u w:val="none"/>
                    </w:rPr>
                  </w:pPr>
                </w:p>
              </w:tc>
              <w:tc>
                <w:tcPr>
                  <w:tcW w:w="1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EF07D">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cs="宋体"/>
                      <w:i w:val="0"/>
                      <w:iCs w:val="0"/>
                      <w:color w:val="auto"/>
                      <w:kern w:val="0"/>
                      <w:sz w:val="18"/>
                      <w:szCs w:val="18"/>
                      <w:u w:val="none"/>
                      <w:lang w:val="en-US" w:eastAsia="zh-CN" w:bidi="ar"/>
                    </w:rPr>
                    <w:t>废SDG</w:t>
                  </w:r>
                </w:p>
              </w:tc>
              <w:tc>
                <w:tcPr>
                  <w:tcW w:w="11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1C7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028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0.72</w:t>
                  </w:r>
                  <w:r>
                    <w:rPr>
                      <w:rFonts w:hint="default" w:ascii="Times New Roman" w:hAnsi="Times New Roman" w:eastAsia="宋体" w:cs="Times New Roman"/>
                      <w:i w:val="0"/>
                      <w:iCs w:val="0"/>
                      <w:color w:val="auto"/>
                      <w:kern w:val="0"/>
                      <w:sz w:val="18"/>
                      <w:szCs w:val="18"/>
                      <w:u w:val="none"/>
                      <w:lang w:val="en-US" w:eastAsia="zh-CN" w:bidi="ar"/>
                    </w:rPr>
                    <w:t>t/a</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532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EC5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0.72</w:t>
                  </w:r>
                </w:p>
              </w:tc>
              <w:tc>
                <w:tcPr>
                  <w:tcW w:w="1410" w:type="dxa"/>
                  <w:tcBorders>
                    <w:top w:val="single" w:color="000000" w:sz="4" w:space="0"/>
                    <w:left w:val="single" w:color="000000" w:sz="4" w:space="0"/>
                    <w:bottom w:val="single" w:color="000000" w:sz="4" w:space="0"/>
                    <w:right w:val="single" w:color="000000" w:sz="12" w:space="0"/>
                  </w:tcBorders>
                  <w:shd w:val="clear" w:color="auto" w:fill="auto"/>
                  <w:vAlign w:val="center"/>
                </w:tcPr>
                <w:p w14:paraId="64CCD8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+0.72t/a</w:t>
                  </w:r>
                </w:p>
              </w:tc>
            </w:tr>
            <w:tr w14:paraId="139DC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jc w:val="center"/>
              </w:trPr>
              <w:tc>
                <w:tcPr>
                  <w:tcW w:w="581" w:type="dxa"/>
                  <w:tcBorders>
                    <w:top w:val="single" w:color="000000" w:sz="4" w:space="0"/>
                    <w:left w:val="single" w:color="000000" w:sz="12" w:space="0"/>
                    <w:bottom w:val="single" w:color="000000" w:sz="12" w:space="0"/>
                    <w:right w:val="single" w:color="000000" w:sz="4" w:space="0"/>
                  </w:tcBorders>
                  <w:shd w:val="clear" w:color="auto" w:fill="auto"/>
                  <w:vAlign w:val="center"/>
                </w:tcPr>
                <w:p w14:paraId="12A8095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生活垃圾</w:t>
                  </w:r>
                </w:p>
              </w:tc>
              <w:tc>
                <w:tcPr>
                  <w:tcW w:w="1328" w:type="dxa"/>
                  <w:gridSpan w:val="2"/>
                  <w:tcBorders>
                    <w:top w:val="single" w:color="000000" w:sz="4" w:space="0"/>
                    <w:left w:val="single" w:color="000000" w:sz="4" w:space="0"/>
                    <w:bottom w:val="single" w:color="000000" w:sz="12" w:space="0"/>
                    <w:right w:val="single" w:color="000000" w:sz="4" w:space="0"/>
                  </w:tcBorders>
                  <w:shd w:val="clear" w:color="auto" w:fill="auto"/>
                  <w:vAlign w:val="center"/>
                </w:tcPr>
                <w:p w14:paraId="6FD5422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生活垃圾</w:t>
                  </w:r>
                </w:p>
              </w:tc>
              <w:tc>
                <w:tcPr>
                  <w:tcW w:w="1102"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45A2F87D">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3.7t/a</w:t>
                  </w:r>
                </w:p>
              </w:tc>
              <w:tc>
                <w:tcPr>
                  <w:tcW w:w="1080"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179FD120">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675"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0B6AC0FC">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w:t>
                  </w:r>
                </w:p>
              </w:tc>
              <w:tc>
                <w:tcPr>
                  <w:tcW w:w="1350" w:type="dxa"/>
                  <w:tcBorders>
                    <w:top w:val="single" w:color="000000" w:sz="4" w:space="0"/>
                    <w:left w:val="single" w:color="000000" w:sz="4" w:space="0"/>
                    <w:bottom w:val="single" w:color="000000" w:sz="12" w:space="0"/>
                    <w:right w:val="single" w:color="000000" w:sz="4" w:space="0"/>
                  </w:tcBorders>
                  <w:shd w:val="clear" w:color="auto" w:fill="auto"/>
                  <w:vAlign w:val="center"/>
                </w:tcPr>
                <w:p w14:paraId="1888E3F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3.7t/a</w:t>
                  </w:r>
                </w:p>
              </w:tc>
              <w:tc>
                <w:tcPr>
                  <w:tcW w:w="1410" w:type="dxa"/>
                  <w:tcBorders>
                    <w:top w:val="single" w:color="000000" w:sz="4" w:space="0"/>
                    <w:left w:val="single" w:color="000000" w:sz="4" w:space="0"/>
                    <w:bottom w:val="single" w:color="000000" w:sz="12" w:space="0"/>
                    <w:right w:val="single" w:color="000000" w:sz="12" w:space="0"/>
                  </w:tcBorders>
                  <w:shd w:val="clear" w:color="auto" w:fill="auto"/>
                  <w:vAlign w:val="center"/>
                </w:tcPr>
                <w:p w14:paraId="3324C914">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+0t/a</w:t>
                  </w:r>
                </w:p>
              </w:tc>
            </w:tr>
          </w:tbl>
          <w:p w14:paraId="4A5B303B">
            <w:pPr>
              <w:pStyle w:val="25"/>
              <w:keepNext w:val="0"/>
              <w:keepLines w:val="0"/>
              <w:pageBreakBefore w:val="0"/>
              <w:widowControl w:val="0"/>
              <w:numPr>
                <w:ilvl w:val="0"/>
                <w:numId w:val="0"/>
              </w:numPr>
              <w:tabs>
                <w:tab w:val="left" w:pos="0"/>
                <w:tab w:val="left" w:pos="1294"/>
              </w:tabs>
              <w:kinsoku/>
              <w:wordWrap/>
              <w:overflowPunct/>
              <w:topLinePunct w:val="0"/>
              <w:autoSpaceDE/>
              <w:autoSpaceDN/>
              <w:bidi w:val="0"/>
              <w:adjustRightInd/>
              <w:snapToGrid w:val="0"/>
              <w:spacing w:line="360" w:lineRule="auto"/>
              <w:jc w:val="both"/>
              <w:textAlignment w:val="auto"/>
              <w:rPr>
                <w:rFonts w:hint="default" w:hAnsi="Cambria Math" w:cs="Times New Roman"/>
                <w:bCs w:val="0"/>
                <w:i w:val="0"/>
                <w:color w:val="auto"/>
                <w:kern w:val="2"/>
                <w:sz w:val="24"/>
                <w:szCs w:val="24"/>
                <w:highlight w:val="none"/>
                <w:lang w:val="en-US" w:eastAsia="zh-CN" w:bidi="ar-SA"/>
              </w:rPr>
            </w:pPr>
          </w:p>
        </w:tc>
      </w:tr>
    </w:tbl>
    <w:p w14:paraId="51A153FF">
      <w:pPr>
        <w:rPr>
          <w:color w:val="auto"/>
          <w:highlight w:val="none"/>
        </w:rPr>
        <w:sectPr>
          <w:pgSz w:w="11907" w:h="16840"/>
          <w:pgMar w:top="1440" w:right="1803" w:bottom="1440" w:left="180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409923BE">
      <w:pPr>
        <w:pStyle w:val="2"/>
        <w:bidi w:val="0"/>
        <w:jc w:val="center"/>
        <w:rPr>
          <w:rFonts w:ascii="黑体" w:hAnsi="黑体" w:eastAsia="黑体"/>
          <w:snapToGrid w:val="0"/>
          <w:color w:val="auto"/>
          <w:szCs w:val="30"/>
          <w:highlight w:val="none"/>
        </w:rPr>
      </w:pPr>
      <w:bookmarkStart w:id="47" w:name="_Toc20731"/>
      <w:bookmarkStart w:id="48" w:name="_Toc5218"/>
      <w:r>
        <w:rPr>
          <w:rFonts w:hint="eastAsia"/>
          <w:b w:val="0"/>
          <w:bCs w:val="0"/>
          <w:color w:val="auto"/>
          <w:highlight w:val="none"/>
        </w:rPr>
        <w:t>五、</w:t>
      </w:r>
      <w:bookmarkStart w:id="49" w:name="_Hlk54167917"/>
      <w:r>
        <w:rPr>
          <w:rFonts w:hint="eastAsia"/>
          <w:b w:val="0"/>
          <w:bCs w:val="0"/>
          <w:color w:val="auto"/>
          <w:highlight w:val="none"/>
        </w:rPr>
        <w:t>环境保护措施监督检查清单</w:t>
      </w:r>
      <w:bookmarkEnd w:id="47"/>
      <w:bookmarkEnd w:id="48"/>
      <w:bookmarkEnd w:id="49"/>
    </w:p>
    <w:tbl>
      <w:tblPr>
        <w:tblStyle w:val="30"/>
        <w:tblW w:w="86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1607"/>
        <w:gridCol w:w="1300"/>
        <w:gridCol w:w="1940"/>
        <w:gridCol w:w="2608"/>
      </w:tblGrid>
      <w:tr w14:paraId="4D6C44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243" w:type="dxa"/>
            <w:tcBorders>
              <w:tl2br w:val="single" w:color="auto" w:sz="4" w:space="0"/>
            </w:tcBorders>
            <w:noWrap w:val="0"/>
            <w:vAlign w:val="center"/>
          </w:tcPr>
          <w:p w14:paraId="6A696C64">
            <w:pPr>
              <w:adjustRightInd w:val="0"/>
              <w:snapToGrid w:val="0"/>
              <w:jc w:val="right"/>
              <w:rPr>
                <w:b/>
                <w:bCs/>
                <w:color w:val="auto"/>
                <w:szCs w:val="21"/>
                <w:highlight w:val="none"/>
              </w:rPr>
            </w:pPr>
            <w:r>
              <w:rPr>
                <w:b/>
                <w:bCs/>
                <w:color w:val="auto"/>
                <w:szCs w:val="21"/>
                <w:highlight w:val="none"/>
              </w:rPr>
              <w:t>内容</w:t>
            </w:r>
          </w:p>
          <w:p w14:paraId="4457D6E4">
            <w:pPr>
              <w:adjustRightInd w:val="0"/>
              <w:snapToGrid w:val="0"/>
              <w:jc w:val="center"/>
              <w:rPr>
                <w:b/>
                <w:bCs/>
                <w:color w:val="auto"/>
                <w:szCs w:val="21"/>
                <w:highlight w:val="none"/>
              </w:rPr>
            </w:pPr>
          </w:p>
          <w:p w14:paraId="5F476DB6">
            <w:pPr>
              <w:adjustRightInd w:val="0"/>
              <w:snapToGrid w:val="0"/>
              <w:jc w:val="left"/>
              <w:rPr>
                <w:b/>
                <w:bCs/>
                <w:color w:val="auto"/>
                <w:szCs w:val="21"/>
                <w:highlight w:val="none"/>
              </w:rPr>
            </w:pPr>
            <w:r>
              <w:rPr>
                <w:b/>
                <w:bCs/>
                <w:color w:val="auto"/>
                <w:szCs w:val="21"/>
                <w:highlight w:val="none"/>
              </w:rPr>
              <w:t>要素</w:t>
            </w:r>
          </w:p>
        </w:tc>
        <w:tc>
          <w:tcPr>
            <w:tcW w:w="1607" w:type="dxa"/>
            <w:noWrap w:val="0"/>
            <w:vAlign w:val="center"/>
          </w:tcPr>
          <w:p w14:paraId="7FA5A082">
            <w:pPr>
              <w:adjustRightInd w:val="0"/>
              <w:snapToGrid w:val="0"/>
              <w:jc w:val="center"/>
              <w:rPr>
                <w:b/>
                <w:bCs/>
                <w:color w:val="auto"/>
                <w:szCs w:val="21"/>
                <w:highlight w:val="none"/>
              </w:rPr>
            </w:pPr>
            <w:r>
              <w:rPr>
                <w:b/>
                <w:bCs/>
                <w:color w:val="auto"/>
                <w:szCs w:val="21"/>
                <w:highlight w:val="none"/>
              </w:rPr>
              <w:t>排放口</w:t>
            </w:r>
            <w:r>
              <w:rPr>
                <w:rFonts w:hint="eastAsia"/>
                <w:b/>
                <w:bCs/>
                <w:color w:val="auto"/>
                <w:szCs w:val="21"/>
                <w:highlight w:val="none"/>
                <w:lang w:eastAsia="zh-CN"/>
              </w:rPr>
              <w:t>（</w:t>
            </w:r>
            <w:r>
              <w:rPr>
                <w:b/>
                <w:bCs/>
                <w:color w:val="auto"/>
                <w:szCs w:val="21"/>
                <w:highlight w:val="none"/>
              </w:rPr>
              <w:t>编号、名称</w:t>
            </w:r>
            <w:r>
              <w:rPr>
                <w:rFonts w:hint="eastAsia"/>
                <w:b/>
                <w:bCs/>
                <w:color w:val="auto"/>
                <w:szCs w:val="21"/>
                <w:highlight w:val="none"/>
                <w:lang w:eastAsia="zh-CN"/>
              </w:rPr>
              <w:t>）</w:t>
            </w:r>
            <w:r>
              <w:rPr>
                <w:b/>
                <w:bCs/>
                <w:color w:val="auto"/>
                <w:szCs w:val="21"/>
                <w:highlight w:val="none"/>
              </w:rPr>
              <w:t>/污染源</w:t>
            </w:r>
          </w:p>
        </w:tc>
        <w:tc>
          <w:tcPr>
            <w:tcW w:w="1300" w:type="dxa"/>
            <w:noWrap w:val="0"/>
            <w:vAlign w:val="center"/>
          </w:tcPr>
          <w:p w14:paraId="7687C4DD">
            <w:pPr>
              <w:adjustRightInd w:val="0"/>
              <w:snapToGrid w:val="0"/>
              <w:jc w:val="center"/>
              <w:rPr>
                <w:b/>
                <w:bCs/>
                <w:color w:val="auto"/>
                <w:szCs w:val="21"/>
                <w:highlight w:val="none"/>
              </w:rPr>
            </w:pPr>
            <w:r>
              <w:rPr>
                <w:b/>
                <w:bCs/>
                <w:color w:val="auto"/>
                <w:szCs w:val="21"/>
                <w:highlight w:val="none"/>
              </w:rPr>
              <w:t>污染物项目</w:t>
            </w:r>
          </w:p>
        </w:tc>
        <w:tc>
          <w:tcPr>
            <w:tcW w:w="1940" w:type="dxa"/>
            <w:noWrap w:val="0"/>
            <w:vAlign w:val="center"/>
          </w:tcPr>
          <w:p w14:paraId="2B9D8DB7">
            <w:pPr>
              <w:adjustRightInd w:val="0"/>
              <w:snapToGrid w:val="0"/>
              <w:jc w:val="center"/>
              <w:rPr>
                <w:b/>
                <w:bCs/>
                <w:color w:val="auto"/>
                <w:szCs w:val="21"/>
                <w:highlight w:val="none"/>
              </w:rPr>
            </w:pPr>
            <w:r>
              <w:rPr>
                <w:b/>
                <w:bCs/>
                <w:color w:val="auto"/>
                <w:szCs w:val="21"/>
                <w:highlight w:val="none"/>
              </w:rPr>
              <w:t>环境保护措施</w:t>
            </w:r>
          </w:p>
        </w:tc>
        <w:tc>
          <w:tcPr>
            <w:tcW w:w="2608" w:type="dxa"/>
            <w:noWrap w:val="0"/>
            <w:vAlign w:val="center"/>
          </w:tcPr>
          <w:p w14:paraId="7C6854CC">
            <w:pPr>
              <w:adjustRightInd w:val="0"/>
              <w:snapToGrid w:val="0"/>
              <w:jc w:val="center"/>
              <w:rPr>
                <w:b/>
                <w:bCs/>
                <w:color w:val="auto"/>
                <w:szCs w:val="21"/>
                <w:highlight w:val="none"/>
              </w:rPr>
            </w:pPr>
            <w:r>
              <w:rPr>
                <w:b/>
                <w:bCs/>
                <w:color w:val="auto"/>
                <w:szCs w:val="21"/>
                <w:highlight w:val="none"/>
              </w:rPr>
              <w:t>执行标准</w:t>
            </w:r>
          </w:p>
        </w:tc>
      </w:tr>
      <w:tr w14:paraId="47DB08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243" w:type="dxa"/>
            <w:vMerge w:val="restart"/>
            <w:noWrap w:val="0"/>
            <w:vAlign w:val="center"/>
          </w:tcPr>
          <w:p w14:paraId="586404D3">
            <w:pPr>
              <w:adjustRightInd w:val="0"/>
              <w:snapToGrid w:val="0"/>
              <w:jc w:val="center"/>
              <w:rPr>
                <w:b/>
                <w:bCs/>
                <w:color w:val="auto"/>
                <w:szCs w:val="21"/>
                <w:highlight w:val="none"/>
              </w:rPr>
            </w:pPr>
            <w:r>
              <w:rPr>
                <w:b/>
                <w:bCs/>
                <w:color w:val="auto"/>
                <w:szCs w:val="21"/>
                <w:highlight w:val="none"/>
              </w:rPr>
              <w:t>大气环境</w:t>
            </w:r>
          </w:p>
        </w:tc>
        <w:tc>
          <w:tcPr>
            <w:tcW w:w="1607" w:type="dxa"/>
            <w:noWrap w:val="0"/>
            <w:vAlign w:val="center"/>
          </w:tcPr>
          <w:p w14:paraId="6C1AF607">
            <w:pPr>
              <w:keepNext w:val="0"/>
              <w:keepLines w:val="0"/>
              <w:widowControl/>
              <w:suppressLineNumbers w:val="0"/>
              <w:jc w:val="center"/>
              <w:rPr>
                <w:rFonts w:hint="default" w:eastAsia="宋体"/>
                <w:color w:val="auto"/>
                <w:highlight w:val="none"/>
                <w:lang w:val="en-US" w:eastAsia="zh-CN"/>
              </w:rPr>
            </w:pPr>
            <w:r>
              <w:rPr>
                <w:rFonts w:hint="eastAsia"/>
                <w:color w:val="auto"/>
                <w:highlight w:val="none"/>
                <w:lang w:val="en-US" w:eastAsia="zh-CN"/>
              </w:rPr>
              <w:t>小试实验室排放口（DA001）</w:t>
            </w:r>
          </w:p>
        </w:tc>
        <w:tc>
          <w:tcPr>
            <w:tcW w:w="1300" w:type="dxa"/>
            <w:vMerge w:val="restart"/>
            <w:noWrap w:val="0"/>
            <w:vAlign w:val="center"/>
          </w:tcPr>
          <w:p w14:paraId="282AFE1E">
            <w:pPr>
              <w:adjustRightInd w:val="0"/>
              <w:snapToGrid w:val="0"/>
              <w:jc w:val="center"/>
              <w:rPr>
                <w:rFonts w:hint="default" w:eastAsia="宋体"/>
                <w:color w:val="auto"/>
                <w:spacing w:val="-3"/>
                <w:szCs w:val="21"/>
                <w:highlight w:val="none"/>
                <w:vertAlign w:val="subscript"/>
                <w:lang w:val="en-US" w:eastAsia="zh-CN"/>
              </w:rPr>
            </w:pPr>
            <w:r>
              <w:rPr>
                <w:rFonts w:hint="eastAsia"/>
                <w:color w:val="auto"/>
                <w:spacing w:val="-3"/>
                <w:szCs w:val="21"/>
                <w:highlight w:val="none"/>
                <w:lang w:val="en-US" w:eastAsia="zh-CN"/>
              </w:rPr>
              <w:t>非甲烷总烃、HCl、NO</w:t>
            </w:r>
            <w:r>
              <w:rPr>
                <w:rFonts w:hint="eastAsia"/>
                <w:color w:val="auto"/>
                <w:spacing w:val="-3"/>
                <w:szCs w:val="21"/>
                <w:highlight w:val="none"/>
                <w:vertAlign w:val="subscript"/>
                <w:lang w:val="en-US" w:eastAsia="zh-CN"/>
              </w:rPr>
              <w:t>X</w:t>
            </w:r>
          </w:p>
        </w:tc>
        <w:tc>
          <w:tcPr>
            <w:tcW w:w="1940" w:type="dxa"/>
            <w:noWrap w:val="0"/>
            <w:vAlign w:val="top"/>
          </w:tcPr>
          <w:p w14:paraId="7F0E372B">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rFonts w:hint="default" w:eastAsia="宋体"/>
                <w:color w:val="auto"/>
                <w:sz w:val="21"/>
                <w:szCs w:val="21"/>
                <w:highlight w:val="none"/>
                <w:lang w:val="en-US" w:eastAsia="zh-CN"/>
              </w:rPr>
            </w:pPr>
            <w:r>
              <w:rPr>
                <w:rFonts w:hint="eastAsia" w:cs="Times New Roman"/>
                <w:b w:val="0"/>
                <w:bCs w:val="0"/>
                <w:color w:val="auto"/>
                <w:kern w:val="2"/>
                <w:sz w:val="21"/>
                <w:szCs w:val="21"/>
                <w:highlight w:val="none"/>
                <w:vertAlign w:val="baseline"/>
                <w:lang w:val="en-US" w:eastAsia="zh-CN" w:bidi="ar-SA"/>
              </w:rPr>
              <w:t>依托</w:t>
            </w:r>
            <w:r>
              <w:rPr>
                <w:rFonts w:hint="default" w:ascii="Times New Roman" w:hAnsi="Times New Roman" w:cs="Times New Roman"/>
                <w:b w:val="0"/>
                <w:bCs w:val="0"/>
                <w:color w:val="auto"/>
                <w:kern w:val="2"/>
                <w:sz w:val="21"/>
                <w:szCs w:val="21"/>
                <w:highlight w:val="none"/>
                <w:vertAlign w:val="baseline"/>
                <w:lang w:val="en-US" w:eastAsia="zh-CN" w:bidi="ar-SA"/>
              </w:rPr>
              <w:t>通风</w:t>
            </w:r>
            <w:r>
              <w:rPr>
                <w:rFonts w:hint="eastAsia" w:cs="Times New Roman"/>
                <w:b w:val="0"/>
                <w:bCs w:val="0"/>
                <w:color w:val="auto"/>
                <w:kern w:val="2"/>
                <w:sz w:val="21"/>
                <w:szCs w:val="21"/>
                <w:highlight w:val="none"/>
                <w:vertAlign w:val="baseline"/>
                <w:lang w:val="en-US" w:eastAsia="zh-CN" w:bidi="ar-SA"/>
              </w:rPr>
              <w:t>柜</w:t>
            </w:r>
            <w:r>
              <w:rPr>
                <w:rFonts w:hint="default" w:ascii="Times New Roman" w:hAnsi="Times New Roman"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2套SDG+</w:t>
            </w:r>
            <w:r>
              <w:rPr>
                <w:rFonts w:hint="default" w:ascii="Times New Roman" w:hAnsi="Times New Roman" w:cs="Times New Roman"/>
                <w:b w:val="0"/>
                <w:bCs w:val="0"/>
                <w:color w:val="auto"/>
                <w:kern w:val="2"/>
                <w:sz w:val="21"/>
                <w:szCs w:val="21"/>
                <w:highlight w:val="none"/>
                <w:vertAlign w:val="baseline"/>
                <w:lang w:val="en-US" w:eastAsia="zh-CN" w:bidi="ar-SA"/>
              </w:rPr>
              <w:t>活性炭吸附装置</w:t>
            </w:r>
            <w:r>
              <w:rPr>
                <w:rFonts w:hint="eastAsia" w:cs="Times New Roman"/>
                <w:b w:val="0"/>
                <w:bCs w:val="0"/>
                <w:color w:val="auto"/>
                <w:kern w:val="2"/>
                <w:sz w:val="21"/>
                <w:szCs w:val="21"/>
                <w:highlight w:val="none"/>
                <w:vertAlign w:val="baseline"/>
                <w:lang w:val="en-US" w:eastAsia="zh-CN" w:bidi="ar-SA"/>
              </w:rPr>
              <w:t>（TA004+TA005）</w:t>
            </w:r>
            <w:r>
              <w:rPr>
                <w:rFonts w:hint="default" w:ascii="Times New Roman" w:hAnsi="Times New Roman"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28</w:t>
            </w:r>
            <w:r>
              <w:rPr>
                <w:rFonts w:hint="default" w:ascii="Times New Roman" w:hAnsi="Times New Roman" w:cs="Times New Roman"/>
                <w:b w:val="0"/>
                <w:bCs w:val="0"/>
                <w:color w:val="auto"/>
                <w:kern w:val="2"/>
                <w:sz w:val="21"/>
                <w:szCs w:val="21"/>
                <w:highlight w:val="none"/>
                <w:vertAlign w:val="baseline"/>
                <w:lang w:val="en-US" w:eastAsia="zh-CN" w:bidi="ar-SA"/>
              </w:rPr>
              <w:t>m高排气筒</w:t>
            </w:r>
            <w:r>
              <w:rPr>
                <w:rFonts w:hint="eastAsia" w:cs="Times New Roman"/>
                <w:b w:val="0"/>
                <w:bCs w:val="0"/>
                <w:color w:val="auto"/>
                <w:kern w:val="2"/>
                <w:sz w:val="21"/>
                <w:szCs w:val="21"/>
                <w:highlight w:val="none"/>
                <w:vertAlign w:val="baseline"/>
                <w:lang w:val="en-US" w:eastAsia="zh-CN" w:bidi="ar-SA"/>
              </w:rPr>
              <w:t>（</w:t>
            </w:r>
            <w:r>
              <w:rPr>
                <w:rFonts w:hint="eastAsia"/>
                <w:color w:val="auto"/>
                <w:sz w:val="21"/>
                <w:szCs w:val="21"/>
                <w:highlight w:val="none"/>
                <w:lang w:val="en-US" w:eastAsia="zh-CN"/>
              </w:rPr>
              <w:t>DA001</w:t>
            </w:r>
            <w:r>
              <w:rPr>
                <w:rFonts w:hint="eastAsia" w:cs="Times New Roman"/>
                <w:b w:val="0"/>
                <w:bCs w:val="0"/>
                <w:color w:val="auto"/>
                <w:kern w:val="2"/>
                <w:sz w:val="21"/>
                <w:szCs w:val="21"/>
                <w:highlight w:val="none"/>
                <w:vertAlign w:val="baseline"/>
                <w:lang w:val="en-US" w:eastAsia="zh-CN" w:bidi="ar-SA"/>
              </w:rPr>
              <w:t>）</w:t>
            </w:r>
          </w:p>
        </w:tc>
        <w:tc>
          <w:tcPr>
            <w:tcW w:w="2608" w:type="dxa"/>
            <w:vMerge w:val="restart"/>
            <w:noWrap w:val="0"/>
            <w:vAlign w:val="center"/>
          </w:tcPr>
          <w:p w14:paraId="5F24381D">
            <w:pPr>
              <w:widowControl/>
              <w:jc w:val="both"/>
              <w:rPr>
                <w:rFonts w:hint="default" w:eastAsia="宋体"/>
                <w:color w:val="auto"/>
                <w:szCs w:val="21"/>
                <w:highlight w:val="none"/>
                <w:vertAlign w:val="baseline"/>
                <w:lang w:val="en-US" w:eastAsia="zh-CN"/>
              </w:rPr>
            </w:pPr>
            <w:r>
              <w:rPr>
                <w:rFonts w:hint="eastAsia"/>
                <w:color w:val="auto"/>
                <w:szCs w:val="21"/>
                <w:highlight w:val="none"/>
                <w:lang w:val="en-US" w:eastAsia="zh-CN"/>
              </w:rPr>
              <w:t>非甲烷总烃执行</w:t>
            </w:r>
            <w:r>
              <w:rPr>
                <w:rFonts w:hint="eastAsia"/>
                <w:color w:val="auto"/>
                <w:szCs w:val="21"/>
                <w:highlight w:val="none"/>
                <w:lang w:eastAsia="zh-CN"/>
              </w:rPr>
              <w:t>《</w:t>
            </w:r>
            <w:r>
              <w:rPr>
                <w:rFonts w:hint="eastAsia"/>
                <w:color w:val="auto"/>
                <w:szCs w:val="21"/>
                <w:highlight w:val="none"/>
                <w:lang w:val="en-US" w:eastAsia="zh-CN"/>
              </w:rPr>
              <w:t>制药工业大气污染物排放标准</w:t>
            </w:r>
            <w:r>
              <w:rPr>
                <w:rFonts w:hint="eastAsia"/>
                <w:color w:val="auto"/>
                <w:szCs w:val="21"/>
                <w:highlight w:val="none"/>
                <w:lang w:eastAsia="zh-CN"/>
              </w:rPr>
              <w:t>》（</w:t>
            </w:r>
            <w:r>
              <w:rPr>
                <w:rFonts w:hint="eastAsia"/>
                <w:color w:val="auto"/>
                <w:szCs w:val="21"/>
                <w:highlight w:val="none"/>
                <w:lang w:val="en-US" w:eastAsia="zh-CN"/>
              </w:rPr>
              <w:t>GB37823-2019</w:t>
            </w:r>
            <w:r>
              <w:rPr>
                <w:rFonts w:hint="eastAsia"/>
                <w:color w:val="auto"/>
                <w:szCs w:val="21"/>
                <w:highlight w:val="none"/>
                <w:lang w:eastAsia="zh-CN"/>
              </w:rPr>
              <w:t>）</w:t>
            </w:r>
            <w:r>
              <w:rPr>
                <w:rFonts w:hint="eastAsia"/>
                <w:color w:val="auto"/>
                <w:szCs w:val="21"/>
                <w:highlight w:val="none"/>
                <w:lang w:val="en-US" w:eastAsia="zh-CN"/>
              </w:rPr>
              <w:t>表2；HCl执行</w:t>
            </w:r>
            <w:r>
              <w:rPr>
                <w:rFonts w:hint="eastAsia"/>
                <w:color w:val="auto"/>
                <w:szCs w:val="21"/>
                <w:highlight w:val="none"/>
              </w:rPr>
              <w:t>《制药工业大气污染物排放标准》（GB 37823-2019）</w:t>
            </w:r>
            <w:r>
              <w:rPr>
                <w:rFonts w:hint="eastAsia" w:cs="Times New Roman"/>
                <w:b w:val="0"/>
                <w:color w:val="auto"/>
                <w:szCs w:val="21"/>
                <w:highlight w:val="none"/>
                <w:lang w:val="en-US" w:eastAsia="zh-CN"/>
              </w:rPr>
              <w:t>表2；NO</w:t>
            </w:r>
            <w:r>
              <w:rPr>
                <w:rFonts w:hint="eastAsia" w:cs="Times New Roman"/>
                <w:b w:val="0"/>
                <w:color w:val="auto"/>
                <w:szCs w:val="21"/>
                <w:highlight w:val="none"/>
                <w:vertAlign w:val="subscript"/>
                <w:lang w:val="en-US" w:eastAsia="zh-CN"/>
              </w:rPr>
              <w:t>X</w:t>
            </w:r>
            <w:r>
              <w:rPr>
                <w:rFonts w:hint="eastAsia" w:cs="Times New Roman"/>
                <w:b w:val="0"/>
                <w:color w:val="auto"/>
                <w:szCs w:val="21"/>
                <w:highlight w:val="none"/>
                <w:vertAlign w:val="baseline"/>
                <w:lang w:val="en-US" w:eastAsia="zh-CN"/>
              </w:rPr>
              <w:t>执行</w:t>
            </w:r>
            <w:r>
              <w:rPr>
                <w:rFonts w:hint="eastAsia"/>
                <w:color w:val="auto"/>
                <w:szCs w:val="21"/>
                <w:highlight w:val="none"/>
              </w:rPr>
              <w:t>《大气污染物综合排放标准》（GB16297-1996）表2有组织（注：此处最高允许排放速率按50%执行。）</w:t>
            </w:r>
          </w:p>
        </w:tc>
      </w:tr>
      <w:tr w14:paraId="13DADD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3" w:type="dxa"/>
            <w:vMerge w:val="continue"/>
            <w:noWrap w:val="0"/>
            <w:vAlign w:val="center"/>
          </w:tcPr>
          <w:p w14:paraId="3326B7F2">
            <w:pPr>
              <w:keepNext w:val="0"/>
              <w:keepLines w:val="0"/>
              <w:widowControl/>
              <w:suppressLineNumbers w:val="0"/>
              <w:jc w:val="center"/>
              <w:rPr>
                <w:color w:val="auto"/>
                <w:highlight w:val="none"/>
              </w:rPr>
            </w:pPr>
          </w:p>
        </w:tc>
        <w:tc>
          <w:tcPr>
            <w:tcW w:w="1607" w:type="dxa"/>
            <w:noWrap w:val="0"/>
            <w:vAlign w:val="center"/>
          </w:tcPr>
          <w:p w14:paraId="29F6C93C">
            <w:pPr>
              <w:jc w:val="center"/>
              <w:rPr>
                <w:rFonts w:hint="default" w:eastAsia="宋体"/>
                <w:color w:val="auto"/>
                <w:highlight w:val="none"/>
                <w:lang w:val="en-US" w:eastAsia="zh-CN"/>
              </w:rPr>
            </w:pPr>
            <w:r>
              <w:rPr>
                <w:rFonts w:hint="eastAsia"/>
                <w:color w:val="auto"/>
                <w:highlight w:val="none"/>
                <w:lang w:val="en-US" w:eastAsia="zh-CN"/>
              </w:rPr>
              <w:t>探试实验室排放口（DA002）</w:t>
            </w:r>
          </w:p>
        </w:tc>
        <w:tc>
          <w:tcPr>
            <w:tcW w:w="1300" w:type="dxa"/>
            <w:vMerge w:val="continue"/>
            <w:noWrap w:val="0"/>
            <w:vAlign w:val="center"/>
          </w:tcPr>
          <w:p w14:paraId="13901BFE">
            <w:pPr>
              <w:keepNext w:val="0"/>
              <w:keepLines w:val="0"/>
              <w:widowControl/>
              <w:suppressLineNumbers w:val="0"/>
              <w:jc w:val="center"/>
              <w:rPr>
                <w:rFonts w:hint="default" w:eastAsia="宋体"/>
                <w:color w:val="auto"/>
                <w:highlight w:val="none"/>
                <w:lang w:val="en-US" w:eastAsia="zh-CN"/>
              </w:rPr>
            </w:pPr>
          </w:p>
        </w:tc>
        <w:tc>
          <w:tcPr>
            <w:tcW w:w="1940" w:type="dxa"/>
            <w:noWrap w:val="0"/>
            <w:vAlign w:val="top"/>
          </w:tcPr>
          <w:p w14:paraId="451F3BFA">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rFonts w:hint="default" w:eastAsia="宋体"/>
                <w:color w:val="auto"/>
                <w:highlight w:val="none"/>
                <w:lang w:val="en-US" w:eastAsia="zh-CN"/>
              </w:rPr>
            </w:pPr>
            <w:r>
              <w:rPr>
                <w:rFonts w:hint="eastAsia" w:cs="Times New Roman"/>
                <w:b w:val="0"/>
                <w:bCs w:val="0"/>
                <w:color w:val="auto"/>
                <w:kern w:val="2"/>
                <w:sz w:val="21"/>
                <w:szCs w:val="21"/>
                <w:highlight w:val="none"/>
                <w:vertAlign w:val="baseline"/>
                <w:lang w:val="en-US" w:eastAsia="zh-CN" w:bidi="ar-SA"/>
              </w:rPr>
              <w:t>依托</w:t>
            </w:r>
            <w:r>
              <w:rPr>
                <w:rFonts w:hint="default" w:ascii="Times New Roman" w:hAnsi="Times New Roman" w:cs="Times New Roman"/>
                <w:b w:val="0"/>
                <w:bCs w:val="0"/>
                <w:color w:val="auto"/>
                <w:kern w:val="2"/>
                <w:sz w:val="21"/>
                <w:szCs w:val="21"/>
                <w:highlight w:val="none"/>
                <w:vertAlign w:val="baseline"/>
                <w:lang w:val="en-US" w:eastAsia="zh-CN" w:bidi="ar-SA"/>
              </w:rPr>
              <w:t>通风</w:t>
            </w:r>
            <w:r>
              <w:rPr>
                <w:rFonts w:hint="eastAsia" w:cs="Times New Roman"/>
                <w:b w:val="0"/>
                <w:bCs w:val="0"/>
                <w:color w:val="auto"/>
                <w:kern w:val="2"/>
                <w:sz w:val="21"/>
                <w:szCs w:val="21"/>
                <w:highlight w:val="none"/>
                <w:vertAlign w:val="baseline"/>
                <w:lang w:val="en-US" w:eastAsia="zh-CN" w:bidi="ar-SA"/>
              </w:rPr>
              <w:t>柜</w:t>
            </w:r>
            <w:r>
              <w:rPr>
                <w:rFonts w:hint="default" w:ascii="Times New Roman" w:hAnsi="Times New Roman"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3套SDG+</w:t>
            </w:r>
            <w:r>
              <w:rPr>
                <w:rFonts w:hint="default" w:ascii="Times New Roman" w:hAnsi="Times New Roman" w:cs="Times New Roman"/>
                <w:b w:val="0"/>
                <w:bCs w:val="0"/>
                <w:color w:val="auto"/>
                <w:kern w:val="2"/>
                <w:sz w:val="21"/>
                <w:szCs w:val="21"/>
                <w:highlight w:val="none"/>
                <w:vertAlign w:val="baseline"/>
                <w:lang w:val="en-US" w:eastAsia="zh-CN" w:bidi="ar-SA"/>
              </w:rPr>
              <w:t>活性炭吸附装置</w:t>
            </w:r>
            <w:r>
              <w:rPr>
                <w:rFonts w:hint="eastAsia" w:cs="Times New Roman"/>
                <w:b w:val="0"/>
                <w:bCs w:val="0"/>
                <w:color w:val="auto"/>
                <w:kern w:val="2"/>
                <w:sz w:val="21"/>
                <w:szCs w:val="21"/>
                <w:highlight w:val="none"/>
                <w:vertAlign w:val="baseline"/>
                <w:lang w:val="en-US" w:eastAsia="zh-CN" w:bidi="ar-SA"/>
              </w:rPr>
              <w:t>（TA001+TA002+TA003）</w:t>
            </w:r>
            <w:r>
              <w:rPr>
                <w:rFonts w:hint="default" w:ascii="Times New Roman" w:hAnsi="Times New Roman"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28</w:t>
            </w:r>
            <w:r>
              <w:rPr>
                <w:rFonts w:hint="default" w:ascii="Times New Roman" w:hAnsi="Times New Roman" w:cs="Times New Roman"/>
                <w:b w:val="0"/>
                <w:bCs w:val="0"/>
                <w:color w:val="auto"/>
                <w:kern w:val="2"/>
                <w:sz w:val="21"/>
                <w:szCs w:val="21"/>
                <w:highlight w:val="none"/>
                <w:vertAlign w:val="baseline"/>
                <w:lang w:val="en-US" w:eastAsia="zh-CN" w:bidi="ar-SA"/>
              </w:rPr>
              <w:t>m高排气筒</w:t>
            </w:r>
            <w:r>
              <w:rPr>
                <w:rFonts w:hint="eastAsia" w:cs="Times New Roman"/>
                <w:b w:val="0"/>
                <w:bCs w:val="0"/>
                <w:color w:val="auto"/>
                <w:kern w:val="2"/>
                <w:sz w:val="21"/>
                <w:szCs w:val="21"/>
                <w:highlight w:val="none"/>
                <w:vertAlign w:val="baseline"/>
                <w:lang w:val="en-US" w:eastAsia="zh-CN" w:bidi="ar-SA"/>
              </w:rPr>
              <w:t>（</w:t>
            </w:r>
            <w:r>
              <w:rPr>
                <w:rFonts w:hint="eastAsia"/>
                <w:color w:val="auto"/>
                <w:sz w:val="21"/>
                <w:szCs w:val="21"/>
                <w:highlight w:val="none"/>
                <w:lang w:val="en-US" w:eastAsia="zh-CN"/>
              </w:rPr>
              <w:t>DA002</w:t>
            </w:r>
            <w:r>
              <w:rPr>
                <w:rFonts w:hint="eastAsia" w:cs="Times New Roman"/>
                <w:b w:val="0"/>
                <w:bCs w:val="0"/>
                <w:color w:val="auto"/>
                <w:kern w:val="2"/>
                <w:sz w:val="21"/>
                <w:szCs w:val="21"/>
                <w:highlight w:val="none"/>
                <w:vertAlign w:val="baseline"/>
                <w:lang w:val="en-US" w:eastAsia="zh-CN" w:bidi="ar-SA"/>
              </w:rPr>
              <w:t>）</w:t>
            </w:r>
          </w:p>
        </w:tc>
        <w:tc>
          <w:tcPr>
            <w:tcW w:w="2608" w:type="dxa"/>
            <w:vMerge w:val="continue"/>
            <w:noWrap w:val="0"/>
            <w:vAlign w:val="center"/>
          </w:tcPr>
          <w:p w14:paraId="15A1D167">
            <w:pPr>
              <w:keepNext w:val="0"/>
              <w:keepLines w:val="0"/>
              <w:widowControl/>
              <w:suppressLineNumbers w:val="0"/>
              <w:jc w:val="center"/>
              <w:rPr>
                <w:rFonts w:hint="default" w:eastAsia="宋体"/>
                <w:color w:val="auto"/>
                <w:highlight w:val="none"/>
                <w:lang w:val="en-US" w:eastAsia="zh-CN"/>
              </w:rPr>
            </w:pPr>
          </w:p>
        </w:tc>
      </w:tr>
      <w:tr w14:paraId="2DF2A5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43" w:type="dxa"/>
            <w:vMerge w:val="continue"/>
            <w:noWrap w:val="0"/>
            <w:vAlign w:val="center"/>
          </w:tcPr>
          <w:p w14:paraId="3D4252C6">
            <w:pPr>
              <w:adjustRightInd w:val="0"/>
              <w:snapToGrid w:val="0"/>
              <w:jc w:val="center"/>
              <w:rPr>
                <w:b/>
                <w:bCs/>
                <w:color w:val="auto"/>
                <w:szCs w:val="21"/>
                <w:highlight w:val="none"/>
              </w:rPr>
            </w:pPr>
          </w:p>
        </w:tc>
        <w:tc>
          <w:tcPr>
            <w:tcW w:w="1607" w:type="dxa"/>
            <w:noWrap w:val="0"/>
            <w:vAlign w:val="center"/>
          </w:tcPr>
          <w:p w14:paraId="2A701912">
            <w:pPr>
              <w:ind w:left="-105" w:leftChars="-50" w:right="-105" w:rightChars="-50"/>
              <w:jc w:val="center"/>
              <w:rPr>
                <w:rFonts w:hint="default" w:eastAsia="宋体"/>
                <w:color w:val="auto"/>
                <w:szCs w:val="21"/>
                <w:highlight w:val="none"/>
                <w:lang w:val="en-US" w:eastAsia="zh-CN"/>
              </w:rPr>
            </w:pPr>
            <w:r>
              <w:rPr>
                <w:rFonts w:hint="eastAsia"/>
                <w:color w:val="auto"/>
                <w:szCs w:val="21"/>
                <w:highlight w:val="none"/>
                <w:lang w:val="en-US" w:eastAsia="zh-CN"/>
              </w:rPr>
              <w:t>分析测试实验室排放口（DA003）</w:t>
            </w:r>
          </w:p>
        </w:tc>
        <w:tc>
          <w:tcPr>
            <w:tcW w:w="1300" w:type="dxa"/>
            <w:vMerge w:val="continue"/>
            <w:noWrap w:val="0"/>
            <w:vAlign w:val="center"/>
          </w:tcPr>
          <w:p w14:paraId="48EFA5BA">
            <w:pPr>
              <w:adjustRightInd w:val="0"/>
              <w:snapToGrid w:val="0"/>
              <w:jc w:val="center"/>
              <w:rPr>
                <w:color w:val="auto"/>
                <w:szCs w:val="21"/>
                <w:highlight w:val="none"/>
              </w:rPr>
            </w:pPr>
          </w:p>
        </w:tc>
        <w:tc>
          <w:tcPr>
            <w:tcW w:w="1940" w:type="dxa"/>
            <w:noWrap w:val="0"/>
            <w:vAlign w:val="center"/>
          </w:tcPr>
          <w:p w14:paraId="2D39B5B8">
            <w:pPr>
              <w:pStyle w:val="25"/>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240" w:lineRule="auto"/>
              <w:ind w:left="0" w:leftChars="0" w:firstLine="0" w:firstLineChars="0"/>
              <w:jc w:val="center"/>
              <w:textAlignment w:val="auto"/>
              <w:rPr>
                <w:color w:val="auto"/>
                <w:sz w:val="21"/>
                <w:szCs w:val="21"/>
                <w:highlight w:val="none"/>
              </w:rPr>
            </w:pPr>
            <w:r>
              <w:rPr>
                <w:rFonts w:hint="default" w:ascii="Times New Roman" w:hAnsi="Times New Roman" w:cs="Times New Roman"/>
                <w:b w:val="0"/>
                <w:bCs w:val="0"/>
                <w:color w:val="auto"/>
                <w:kern w:val="2"/>
                <w:sz w:val="21"/>
                <w:szCs w:val="21"/>
                <w:highlight w:val="none"/>
                <w:vertAlign w:val="baseline"/>
                <w:lang w:val="en-US" w:eastAsia="zh-CN" w:bidi="ar-SA"/>
              </w:rPr>
              <w:t>通风</w:t>
            </w:r>
            <w:r>
              <w:rPr>
                <w:rFonts w:hint="eastAsia" w:cs="Times New Roman"/>
                <w:b w:val="0"/>
                <w:bCs w:val="0"/>
                <w:color w:val="auto"/>
                <w:kern w:val="2"/>
                <w:sz w:val="21"/>
                <w:szCs w:val="21"/>
                <w:highlight w:val="none"/>
                <w:vertAlign w:val="baseline"/>
                <w:lang w:val="en-US" w:eastAsia="zh-CN" w:bidi="ar-SA"/>
              </w:rPr>
              <w:t>柜</w:t>
            </w:r>
            <w:r>
              <w:rPr>
                <w:rFonts w:hint="default" w:ascii="Times New Roman" w:hAnsi="Times New Roman"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1套SDG+</w:t>
            </w:r>
            <w:r>
              <w:rPr>
                <w:rFonts w:hint="default" w:ascii="Times New Roman" w:hAnsi="Times New Roman" w:cs="Times New Roman"/>
                <w:b w:val="0"/>
                <w:bCs w:val="0"/>
                <w:color w:val="auto"/>
                <w:kern w:val="2"/>
                <w:sz w:val="21"/>
                <w:szCs w:val="21"/>
                <w:highlight w:val="none"/>
                <w:vertAlign w:val="baseline"/>
                <w:lang w:val="en-US" w:eastAsia="zh-CN" w:bidi="ar-SA"/>
              </w:rPr>
              <w:t>活性炭吸附装置</w:t>
            </w:r>
            <w:r>
              <w:rPr>
                <w:rFonts w:hint="eastAsia" w:cs="Times New Roman"/>
                <w:b w:val="0"/>
                <w:bCs w:val="0"/>
                <w:color w:val="auto"/>
                <w:kern w:val="2"/>
                <w:sz w:val="21"/>
                <w:szCs w:val="21"/>
                <w:highlight w:val="none"/>
                <w:vertAlign w:val="baseline"/>
                <w:lang w:val="en-US" w:eastAsia="zh-CN" w:bidi="ar-SA"/>
              </w:rPr>
              <w:t>（TA006）</w:t>
            </w:r>
            <w:r>
              <w:rPr>
                <w:rFonts w:hint="default" w:ascii="Times New Roman" w:hAnsi="Times New Roman" w:cs="Times New Roman"/>
                <w:b w:val="0"/>
                <w:bCs w:val="0"/>
                <w:color w:val="auto"/>
                <w:kern w:val="2"/>
                <w:sz w:val="21"/>
                <w:szCs w:val="21"/>
                <w:highlight w:val="none"/>
                <w:vertAlign w:val="baseline"/>
                <w:lang w:val="en-US" w:eastAsia="zh-CN" w:bidi="ar-SA"/>
              </w:rPr>
              <w:t>+</w:t>
            </w:r>
            <w:r>
              <w:rPr>
                <w:rFonts w:hint="eastAsia" w:cs="Times New Roman"/>
                <w:b w:val="0"/>
                <w:bCs w:val="0"/>
                <w:color w:val="auto"/>
                <w:kern w:val="2"/>
                <w:sz w:val="21"/>
                <w:szCs w:val="21"/>
                <w:highlight w:val="none"/>
                <w:vertAlign w:val="baseline"/>
                <w:lang w:val="en-US" w:eastAsia="zh-CN" w:bidi="ar-SA"/>
              </w:rPr>
              <w:t>28</w:t>
            </w:r>
            <w:r>
              <w:rPr>
                <w:rFonts w:hint="default" w:ascii="Times New Roman" w:hAnsi="Times New Roman" w:cs="Times New Roman"/>
                <w:b w:val="0"/>
                <w:bCs w:val="0"/>
                <w:color w:val="auto"/>
                <w:kern w:val="2"/>
                <w:sz w:val="21"/>
                <w:szCs w:val="21"/>
                <w:highlight w:val="none"/>
                <w:vertAlign w:val="baseline"/>
                <w:lang w:val="en-US" w:eastAsia="zh-CN" w:bidi="ar-SA"/>
              </w:rPr>
              <w:t>m高排气筒</w:t>
            </w:r>
            <w:r>
              <w:rPr>
                <w:rFonts w:hint="eastAsia" w:cs="Times New Roman"/>
                <w:b w:val="0"/>
                <w:bCs w:val="0"/>
                <w:color w:val="auto"/>
                <w:kern w:val="2"/>
                <w:sz w:val="21"/>
                <w:szCs w:val="21"/>
                <w:highlight w:val="none"/>
                <w:vertAlign w:val="baseline"/>
                <w:lang w:val="en-US" w:eastAsia="zh-CN" w:bidi="ar-SA"/>
              </w:rPr>
              <w:t>（</w:t>
            </w:r>
            <w:r>
              <w:rPr>
                <w:rFonts w:hint="eastAsia"/>
                <w:color w:val="auto"/>
                <w:sz w:val="21"/>
                <w:szCs w:val="21"/>
                <w:highlight w:val="none"/>
                <w:lang w:val="en-US" w:eastAsia="zh-CN"/>
              </w:rPr>
              <w:t>DA003</w:t>
            </w:r>
            <w:r>
              <w:rPr>
                <w:rFonts w:hint="eastAsia" w:cs="Times New Roman"/>
                <w:b w:val="0"/>
                <w:bCs w:val="0"/>
                <w:color w:val="auto"/>
                <w:kern w:val="2"/>
                <w:sz w:val="21"/>
                <w:szCs w:val="21"/>
                <w:highlight w:val="none"/>
                <w:vertAlign w:val="baseline"/>
                <w:lang w:val="en-US" w:eastAsia="zh-CN" w:bidi="ar-SA"/>
              </w:rPr>
              <w:t>）</w:t>
            </w:r>
          </w:p>
        </w:tc>
        <w:tc>
          <w:tcPr>
            <w:tcW w:w="2608" w:type="dxa"/>
            <w:vMerge w:val="continue"/>
            <w:noWrap w:val="0"/>
            <w:vAlign w:val="center"/>
          </w:tcPr>
          <w:p w14:paraId="34DF726B">
            <w:pPr>
              <w:jc w:val="center"/>
              <w:rPr>
                <w:rFonts w:hint="eastAsia" w:eastAsia="宋体"/>
                <w:color w:val="auto"/>
                <w:szCs w:val="21"/>
                <w:highlight w:val="none"/>
                <w:lang w:eastAsia="zh-CN"/>
              </w:rPr>
            </w:pPr>
          </w:p>
        </w:tc>
      </w:tr>
      <w:tr w14:paraId="13C6A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43" w:type="dxa"/>
            <w:vMerge w:val="continue"/>
            <w:noWrap w:val="0"/>
            <w:vAlign w:val="center"/>
          </w:tcPr>
          <w:p w14:paraId="30BB2A06">
            <w:pPr>
              <w:ind w:left="-105" w:leftChars="-50" w:right="-105" w:rightChars="-50"/>
              <w:jc w:val="center"/>
              <w:rPr>
                <w:color w:val="auto"/>
                <w:highlight w:val="none"/>
              </w:rPr>
            </w:pPr>
          </w:p>
        </w:tc>
        <w:tc>
          <w:tcPr>
            <w:tcW w:w="1607" w:type="dxa"/>
            <w:noWrap w:val="0"/>
            <w:vAlign w:val="center"/>
          </w:tcPr>
          <w:p w14:paraId="0490840E">
            <w:pPr>
              <w:ind w:left="-105" w:leftChars="-50" w:right="-105" w:rightChars="-50"/>
              <w:jc w:val="center"/>
              <w:rPr>
                <w:rFonts w:hint="eastAsia" w:eastAsia="宋体"/>
                <w:color w:val="auto"/>
                <w:szCs w:val="21"/>
                <w:highlight w:val="none"/>
                <w:lang w:val="en-US" w:eastAsia="zh-CN"/>
              </w:rPr>
            </w:pPr>
            <w:r>
              <w:rPr>
                <w:rFonts w:hint="eastAsia"/>
                <w:color w:val="auto"/>
                <w:szCs w:val="21"/>
                <w:highlight w:val="none"/>
                <w:lang w:val="en-US" w:eastAsia="zh-CN"/>
              </w:rPr>
              <w:t>无组织</w:t>
            </w:r>
          </w:p>
        </w:tc>
        <w:tc>
          <w:tcPr>
            <w:tcW w:w="1300" w:type="dxa"/>
            <w:vMerge w:val="continue"/>
            <w:noWrap w:val="0"/>
            <w:vAlign w:val="center"/>
          </w:tcPr>
          <w:p w14:paraId="6F04FA8F">
            <w:pPr>
              <w:ind w:left="-105" w:leftChars="-50" w:right="-105" w:rightChars="-50"/>
              <w:jc w:val="center"/>
              <w:rPr>
                <w:color w:val="auto"/>
                <w:szCs w:val="21"/>
                <w:highlight w:val="none"/>
              </w:rPr>
            </w:pPr>
          </w:p>
        </w:tc>
        <w:tc>
          <w:tcPr>
            <w:tcW w:w="1940" w:type="dxa"/>
            <w:noWrap w:val="0"/>
            <w:vAlign w:val="center"/>
          </w:tcPr>
          <w:p w14:paraId="32050CE7">
            <w:pPr>
              <w:ind w:left="-105" w:leftChars="-50" w:right="-105" w:rightChars="-50"/>
              <w:jc w:val="center"/>
              <w:rPr>
                <w:rFonts w:hint="default" w:eastAsia="宋体"/>
                <w:color w:val="auto"/>
                <w:szCs w:val="21"/>
                <w:highlight w:val="none"/>
                <w:lang w:val="en-US" w:eastAsia="zh-CN"/>
              </w:rPr>
            </w:pPr>
            <w:r>
              <w:rPr>
                <w:rFonts w:hint="eastAsia"/>
                <w:color w:val="auto"/>
                <w:szCs w:val="21"/>
                <w:highlight w:val="none"/>
                <w:lang w:val="en-US" w:eastAsia="zh-CN"/>
              </w:rPr>
              <w:t>通风与换气</w:t>
            </w:r>
          </w:p>
        </w:tc>
        <w:tc>
          <w:tcPr>
            <w:tcW w:w="2608" w:type="dxa"/>
            <w:noWrap w:val="0"/>
            <w:vAlign w:val="center"/>
          </w:tcPr>
          <w:p w14:paraId="58A35FFC">
            <w:pPr>
              <w:ind w:left="0" w:leftChars="0" w:right="0" w:rightChars="0"/>
              <w:jc w:val="left"/>
              <w:rPr>
                <w:rFonts w:hint="default"/>
                <w:color w:val="auto"/>
                <w:szCs w:val="21"/>
                <w:highlight w:val="none"/>
                <w:lang w:val="en-US" w:eastAsia="zh-CN"/>
              </w:rPr>
            </w:pPr>
            <w:r>
              <w:rPr>
                <w:rFonts w:hint="eastAsia"/>
                <w:color w:val="auto"/>
                <w:szCs w:val="21"/>
                <w:highlight w:val="none"/>
                <w:lang w:val="en-US" w:eastAsia="zh-CN"/>
              </w:rPr>
              <w:t>非甲烷总烃执行</w:t>
            </w:r>
            <w:r>
              <w:rPr>
                <w:rFonts w:hint="eastAsia"/>
                <w:color w:val="auto"/>
                <w:szCs w:val="21"/>
                <w:highlight w:val="none"/>
                <w:lang w:eastAsia="zh-CN"/>
              </w:rPr>
              <w:t>《</w:t>
            </w:r>
            <w:r>
              <w:rPr>
                <w:rFonts w:hint="eastAsia"/>
                <w:color w:val="auto"/>
                <w:szCs w:val="21"/>
                <w:highlight w:val="none"/>
                <w:lang w:val="en-US" w:eastAsia="zh-CN"/>
              </w:rPr>
              <w:t>挥发性有机物排放控制标准</w:t>
            </w:r>
            <w:r>
              <w:rPr>
                <w:rFonts w:hint="eastAsia"/>
                <w:color w:val="auto"/>
                <w:szCs w:val="21"/>
                <w:highlight w:val="none"/>
                <w:lang w:eastAsia="zh-CN"/>
              </w:rPr>
              <w:t>》（</w:t>
            </w:r>
            <w:r>
              <w:rPr>
                <w:rFonts w:hint="eastAsia"/>
                <w:color w:val="auto"/>
                <w:szCs w:val="21"/>
                <w:highlight w:val="none"/>
                <w:lang w:val="en-US" w:eastAsia="zh-CN"/>
              </w:rPr>
              <w:t>DB61/T1061-2017</w:t>
            </w:r>
            <w:r>
              <w:rPr>
                <w:rFonts w:hint="eastAsia"/>
                <w:color w:val="auto"/>
                <w:szCs w:val="21"/>
                <w:highlight w:val="none"/>
                <w:lang w:eastAsia="zh-CN"/>
              </w:rPr>
              <w:t>）；</w:t>
            </w:r>
            <w:r>
              <w:rPr>
                <w:rFonts w:hint="eastAsia"/>
                <w:color w:val="auto"/>
                <w:szCs w:val="21"/>
                <w:highlight w:val="none"/>
                <w:lang w:val="en-US" w:eastAsia="zh-CN"/>
              </w:rPr>
              <w:t>HCl执行</w:t>
            </w:r>
            <w:r>
              <w:rPr>
                <w:rFonts w:hint="eastAsia"/>
              </w:rPr>
              <w:t>《制药工业大气污染物排放标准》（GB 37823-2019）表4企业边界大气污染物浓度限值</w:t>
            </w:r>
            <w:r>
              <w:rPr>
                <w:rFonts w:hint="eastAsia"/>
                <w:lang w:eastAsia="zh-CN"/>
              </w:rPr>
              <w:t>；</w:t>
            </w:r>
            <w:r>
              <w:rPr>
                <w:rFonts w:hint="eastAsia" w:cs="Times New Roman"/>
                <w:b w:val="0"/>
                <w:color w:val="auto"/>
                <w:szCs w:val="21"/>
                <w:highlight w:val="none"/>
                <w:lang w:val="en-US" w:eastAsia="zh-CN"/>
              </w:rPr>
              <w:t>NO</w:t>
            </w:r>
            <w:r>
              <w:rPr>
                <w:rFonts w:hint="eastAsia" w:cs="Times New Roman"/>
                <w:b w:val="0"/>
                <w:color w:val="auto"/>
                <w:szCs w:val="21"/>
                <w:highlight w:val="none"/>
                <w:vertAlign w:val="subscript"/>
                <w:lang w:val="en-US" w:eastAsia="zh-CN"/>
              </w:rPr>
              <w:t>X</w:t>
            </w:r>
            <w:r>
              <w:rPr>
                <w:rFonts w:hint="eastAsia" w:cs="Times New Roman"/>
                <w:b w:val="0"/>
                <w:color w:val="auto"/>
                <w:szCs w:val="21"/>
                <w:highlight w:val="none"/>
                <w:vertAlign w:val="baseline"/>
                <w:lang w:val="en-US" w:eastAsia="zh-CN"/>
              </w:rPr>
              <w:t>执行</w:t>
            </w:r>
            <w:r>
              <w:rPr>
                <w:rFonts w:hint="eastAsia"/>
              </w:rPr>
              <w:t>《大气污染物综合排放标准》（GB16297-1996）表2无组织标准限值</w:t>
            </w:r>
          </w:p>
        </w:tc>
      </w:tr>
      <w:tr w14:paraId="4CE3C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43" w:type="dxa"/>
            <w:vMerge w:val="restart"/>
            <w:noWrap w:val="0"/>
            <w:vAlign w:val="center"/>
          </w:tcPr>
          <w:p w14:paraId="625EB872">
            <w:pPr>
              <w:adjustRightInd w:val="0"/>
              <w:snapToGrid w:val="0"/>
              <w:jc w:val="center"/>
              <w:rPr>
                <w:b/>
                <w:bCs/>
                <w:color w:val="auto"/>
                <w:szCs w:val="21"/>
                <w:highlight w:val="none"/>
              </w:rPr>
            </w:pPr>
            <w:r>
              <w:rPr>
                <w:b/>
                <w:bCs/>
                <w:color w:val="auto"/>
                <w:szCs w:val="21"/>
                <w:highlight w:val="none"/>
              </w:rPr>
              <w:t>地表水环境</w:t>
            </w:r>
          </w:p>
        </w:tc>
        <w:tc>
          <w:tcPr>
            <w:tcW w:w="1607" w:type="dxa"/>
            <w:noWrap w:val="0"/>
            <w:vAlign w:val="center"/>
          </w:tcPr>
          <w:p w14:paraId="25396A69">
            <w:pPr>
              <w:keepNext w:val="0"/>
              <w:keepLines w:val="0"/>
              <w:widowControl/>
              <w:suppressLineNumbers w:val="0"/>
              <w:jc w:val="both"/>
              <w:rPr>
                <w:rFonts w:hint="default" w:ascii="Times New Roman"/>
                <w:color w:val="auto"/>
                <w:highlight w:val="none"/>
                <w:lang w:val="en-US" w:eastAsia="zh-CN"/>
              </w:rPr>
            </w:pPr>
            <w:r>
              <w:rPr>
                <w:rFonts w:hint="eastAsia"/>
                <w:color w:val="auto"/>
                <w:highlight w:val="none"/>
                <w:lang w:val="en-US" w:eastAsia="zh-CN"/>
              </w:rPr>
              <w:t>清洗废水排放口DW001</w:t>
            </w:r>
          </w:p>
        </w:tc>
        <w:tc>
          <w:tcPr>
            <w:tcW w:w="1300" w:type="dxa"/>
            <w:noWrap w:val="0"/>
            <w:vAlign w:val="center"/>
          </w:tcPr>
          <w:p w14:paraId="1F3AD2DE">
            <w:pPr>
              <w:pStyle w:val="55"/>
              <w:spacing w:before="24" w:after="24"/>
              <w:jc w:val="center"/>
              <w:rPr>
                <w:rFonts w:hint="default" w:ascii="Times New Roman"/>
                <w:color w:val="auto"/>
                <w:szCs w:val="21"/>
                <w:highlight w:val="none"/>
                <w:lang w:val="en-US" w:eastAsia="zh-CN"/>
              </w:rPr>
            </w:pPr>
            <w:r>
              <w:rPr>
                <w:rFonts w:hint="eastAsia" w:ascii="Times New Roman"/>
                <w:color w:val="auto"/>
                <w:szCs w:val="21"/>
                <w:highlight w:val="none"/>
                <w:lang w:val="en-US" w:eastAsia="zh-CN"/>
              </w:rPr>
              <w:t>pH、COD、BOD</w:t>
            </w:r>
            <w:r>
              <w:rPr>
                <w:rFonts w:hint="eastAsia" w:ascii="Times New Roman"/>
                <w:color w:val="auto"/>
                <w:szCs w:val="21"/>
                <w:highlight w:val="none"/>
                <w:vertAlign w:val="subscript"/>
                <w:lang w:val="en-US" w:eastAsia="zh-CN"/>
              </w:rPr>
              <w:t>5</w:t>
            </w:r>
            <w:r>
              <w:rPr>
                <w:rFonts w:hint="eastAsia" w:ascii="Times New Roman"/>
                <w:color w:val="auto"/>
                <w:szCs w:val="21"/>
                <w:highlight w:val="none"/>
                <w:lang w:val="en-US" w:eastAsia="zh-CN"/>
              </w:rPr>
              <w:t>、SS、NH</w:t>
            </w:r>
            <w:r>
              <w:rPr>
                <w:rFonts w:hint="eastAsia" w:ascii="Times New Roman"/>
                <w:color w:val="auto"/>
                <w:szCs w:val="21"/>
                <w:highlight w:val="none"/>
                <w:vertAlign w:val="subscript"/>
                <w:lang w:val="en-US" w:eastAsia="zh-CN"/>
              </w:rPr>
              <w:t>3</w:t>
            </w:r>
            <w:r>
              <w:rPr>
                <w:rFonts w:hint="eastAsia" w:ascii="Times New Roman"/>
                <w:color w:val="auto"/>
                <w:szCs w:val="21"/>
                <w:highlight w:val="none"/>
                <w:lang w:val="en-US" w:eastAsia="zh-CN"/>
              </w:rPr>
              <w:t>-N</w:t>
            </w:r>
          </w:p>
        </w:tc>
        <w:tc>
          <w:tcPr>
            <w:tcW w:w="1940" w:type="dxa"/>
            <w:noWrap w:val="0"/>
            <w:vAlign w:val="center"/>
          </w:tcPr>
          <w:p w14:paraId="7E00C861">
            <w:pPr>
              <w:keepNext w:val="0"/>
              <w:keepLines w:val="0"/>
              <w:widowControl/>
              <w:suppressLineNumbers w:val="0"/>
              <w:jc w:val="center"/>
              <w:rPr>
                <w:rFonts w:hint="default" w:ascii="Times New Roman"/>
                <w:color w:val="auto"/>
                <w:highlight w:val="none"/>
                <w:lang w:val="en-US" w:eastAsia="zh-CN"/>
              </w:rPr>
            </w:pPr>
            <w:r>
              <w:rPr>
                <w:rFonts w:hint="eastAsia"/>
                <w:color w:val="auto"/>
                <w:highlight w:val="none"/>
                <w:lang w:val="en-US" w:eastAsia="zh-CN"/>
              </w:rPr>
              <w:t>企业自建污水处理设施+园区化粪池（依托）</w:t>
            </w:r>
          </w:p>
        </w:tc>
        <w:tc>
          <w:tcPr>
            <w:tcW w:w="2608" w:type="dxa"/>
            <w:vMerge w:val="restart"/>
            <w:noWrap w:val="0"/>
            <w:vAlign w:val="center"/>
          </w:tcPr>
          <w:p w14:paraId="479C74B1">
            <w:pPr>
              <w:keepNext w:val="0"/>
              <w:keepLines w:val="0"/>
              <w:widowControl/>
              <w:suppressLineNumbers w:val="0"/>
              <w:jc w:val="center"/>
              <w:rPr>
                <w:rFonts w:hint="default"/>
                <w:color w:val="auto"/>
                <w:sz w:val="21"/>
                <w:szCs w:val="21"/>
                <w:highlight w:val="none"/>
                <w:lang w:val="en-US" w:eastAsia="zh-CN"/>
              </w:rPr>
            </w:pPr>
            <w:r>
              <w:rPr>
                <w:rFonts w:hint="eastAsia"/>
                <w:color w:val="auto"/>
                <w:highlight w:val="none"/>
                <w:lang w:val="en-US" w:eastAsia="zh-CN"/>
              </w:rPr>
              <w:t>《污水排入城镇下水道水质标准》（GB/T31962-2015）</w:t>
            </w:r>
            <w:r>
              <w:rPr>
                <w:rFonts w:hint="eastAsia"/>
                <w:color w:val="auto"/>
                <w:spacing w:val="-1"/>
                <w:sz w:val="21"/>
                <w:szCs w:val="21"/>
                <w:highlight w:val="none"/>
                <w:lang w:val="en-US" w:eastAsia="zh-CN"/>
              </w:rPr>
              <w:t>A</w:t>
            </w:r>
            <w:r>
              <w:rPr>
                <w:rFonts w:hint="eastAsia"/>
                <w:color w:val="auto"/>
                <w:spacing w:val="-1"/>
                <w:sz w:val="21"/>
                <w:szCs w:val="21"/>
                <w:highlight w:val="none"/>
              </w:rPr>
              <w:t>级</w:t>
            </w:r>
            <w:r>
              <w:rPr>
                <w:rFonts w:hint="eastAsia"/>
                <w:color w:val="auto"/>
                <w:spacing w:val="-1"/>
                <w:sz w:val="21"/>
                <w:szCs w:val="21"/>
                <w:highlight w:val="none"/>
                <w:lang w:val="en-US" w:eastAsia="zh-CN"/>
              </w:rPr>
              <w:t>标准；</w:t>
            </w:r>
          </w:p>
          <w:p w14:paraId="7008577A">
            <w:pPr>
              <w:keepNext w:val="0"/>
              <w:keepLines w:val="0"/>
              <w:widowControl/>
              <w:suppressLineNumbers w:val="0"/>
              <w:jc w:val="center"/>
              <w:rPr>
                <w:rFonts w:hint="default"/>
                <w:color w:val="auto"/>
                <w:highlight w:val="none"/>
                <w:lang w:val="en-US" w:eastAsia="zh-CN"/>
              </w:rPr>
            </w:pPr>
            <w:r>
              <w:rPr>
                <w:rFonts w:hint="eastAsia"/>
                <w:color w:val="auto"/>
                <w:highlight w:val="none"/>
                <w:lang w:val="en-US" w:eastAsia="zh-CN"/>
              </w:rPr>
              <w:t>《污水综合排放标准》（GB8978-1996）三级标准</w:t>
            </w:r>
          </w:p>
        </w:tc>
      </w:tr>
      <w:tr w14:paraId="293872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243" w:type="dxa"/>
            <w:vMerge w:val="continue"/>
            <w:noWrap w:val="0"/>
            <w:vAlign w:val="center"/>
          </w:tcPr>
          <w:p w14:paraId="467182B5">
            <w:pPr>
              <w:keepNext w:val="0"/>
              <w:keepLines w:val="0"/>
              <w:widowControl/>
              <w:suppressLineNumbers w:val="0"/>
              <w:jc w:val="center"/>
              <w:rPr>
                <w:color w:val="auto"/>
                <w:highlight w:val="none"/>
              </w:rPr>
            </w:pPr>
          </w:p>
        </w:tc>
        <w:tc>
          <w:tcPr>
            <w:tcW w:w="1607" w:type="dxa"/>
            <w:noWrap w:val="0"/>
            <w:vAlign w:val="center"/>
          </w:tcPr>
          <w:p w14:paraId="50F5A5CE">
            <w:pPr>
              <w:keepNext w:val="0"/>
              <w:keepLines w:val="0"/>
              <w:widowControl/>
              <w:suppressLineNumbers w:val="0"/>
              <w:jc w:val="center"/>
              <w:rPr>
                <w:rFonts w:hint="default" w:ascii="Times New Roman"/>
                <w:color w:val="auto"/>
                <w:highlight w:val="none"/>
                <w:lang w:val="en-US" w:eastAsia="zh-CN"/>
              </w:rPr>
            </w:pPr>
            <w:r>
              <w:rPr>
                <w:rFonts w:hint="eastAsia"/>
                <w:color w:val="auto"/>
                <w:highlight w:val="none"/>
                <w:lang w:val="en-US" w:eastAsia="zh-CN"/>
              </w:rPr>
              <w:t>生活污水</w:t>
            </w:r>
          </w:p>
        </w:tc>
        <w:tc>
          <w:tcPr>
            <w:tcW w:w="1300" w:type="dxa"/>
            <w:noWrap w:val="0"/>
            <w:vAlign w:val="center"/>
          </w:tcPr>
          <w:p w14:paraId="598F3463">
            <w:pPr>
              <w:keepNext w:val="0"/>
              <w:keepLines w:val="0"/>
              <w:widowControl/>
              <w:suppressLineNumbers w:val="0"/>
              <w:jc w:val="center"/>
              <w:rPr>
                <w:rFonts w:hint="default" w:ascii="Times New Roman"/>
                <w:color w:val="auto"/>
                <w:highlight w:val="none"/>
                <w:lang w:val="en-US" w:eastAsia="zh-CN"/>
              </w:rPr>
            </w:pPr>
            <w:r>
              <w:rPr>
                <w:rFonts w:hint="eastAsia"/>
                <w:color w:val="auto"/>
                <w:szCs w:val="21"/>
                <w:highlight w:val="none"/>
                <w:lang w:val="en-US" w:eastAsia="zh-CN"/>
              </w:rPr>
              <w:t>p</w:t>
            </w:r>
            <w:r>
              <w:rPr>
                <w:rFonts w:hint="eastAsia" w:ascii="Times New Roman"/>
                <w:color w:val="auto"/>
                <w:szCs w:val="21"/>
                <w:highlight w:val="none"/>
                <w:lang w:val="en-US" w:eastAsia="zh-CN"/>
              </w:rPr>
              <w:t>H、COD、BOD</w:t>
            </w:r>
            <w:r>
              <w:rPr>
                <w:rFonts w:hint="eastAsia" w:ascii="Times New Roman"/>
                <w:color w:val="auto"/>
                <w:szCs w:val="21"/>
                <w:highlight w:val="none"/>
                <w:vertAlign w:val="subscript"/>
                <w:lang w:val="en-US" w:eastAsia="zh-CN"/>
              </w:rPr>
              <w:t>5</w:t>
            </w:r>
            <w:r>
              <w:rPr>
                <w:rFonts w:hint="eastAsia" w:ascii="Times New Roman"/>
                <w:color w:val="auto"/>
                <w:szCs w:val="21"/>
                <w:highlight w:val="none"/>
                <w:lang w:val="en-US" w:eastAsia="zh-CN"/>
              </w:rPr>
              <w:t>、SS、NH</w:t>
            </w:r>
            <w:r>
              <w:rPr>
                <w:rFonts w:hint="eastAsia" w:ascii="Times New Roman"/>
                <w:color w:val="auto"/>
                <w:szCs w:val="21"/>
                <w:highlight w:val="none"/>
                <w:vertAlign w:val="subscript"/>
                <w:lang w:val="en-US" w:eastAsia="zh-CN"/>
              </w:rPr>
              <w:t>3</w:t>
            </w:r>
            <w:r>
              <w:rPr>
                <w:rFonts w:hint="eastAsia" w:ascii="Times New Roman"/>
                <w:color w:val="auto"/>
                <w:szCs w:val="21"/>
                <w:highlight w:val="none"/>
                <w:lang w:val="en-US" w:eastAsia="zh-CN"/>
              </w:rPr>
              <w:t>-N</w:t>
            </w:r>
            <w:r>
              <w:rPr>
                <w:rFonts w:hint="eastAsia"/>
                <w:color w:val="auto"/>
                <w:szCs w:val="21"/>
                <w:highlight w:val="none"/>
                <w:lang w:val="en-US" w:eastAsia="zh-CN"/>
              </w:rPr>
              <w:t>、TN、TP</w:t>
            </w:r>
          </w:p>
        </w:tc>
        <w:tc>
          <w:tcPr>
            <w:tcW w:w="1940" w:type="dxa"/>
            <w:noWrap w:val="0"/>
            <w:vAlign w:val="center"/>
          </w:tcPr>
          <w:p w14:paraId="0178DF1D">
            <w:pPr>
              <w:keepNext w:val="0"/>
              <w:keepLines w:val="0"/>
              <w:widowControl/>
              <w:suppressLineNumbers w:val="0"/>
              <w:jc w:val="center"/>
              <w:rPr>
                <w:rFonts w:hint="default" w:ascii="Times New Roman"/>
                <w:color w:val="auto"/>
                <w:highlight w:val="none"/>
                <w:lang w:val="en-US" w:eastAsia="zh-CN"/>
              </w:rPr>
            </w:pPr>
            <w:r>
              <w:rPr>
                <w:rFonts w:hint="eastAsia"/>
                <w:color w:val="auto"/>
                <w:highlight w:val="none"/>
                <w:lang w:val="en-US" w:eastAsia="zh-CN"/>
              </w:rPr>
              <w:t>园区化粪池（150m</w:t>
            </w:r>
            <w:r>
              <w:rPr>
                <w:rFonts w:hint="eastAsia"/>
                <w:color w:val="auto"/>
                <w:highlight w:val="none"/>
                <w:vertAlign w:val="superscript"/>
                <w:lang w:val="en-US" w:eastAsia="zh-CN"/>
              </w:rPr>
              <w:t>3</w:t>
            </w:r>
            <w:r>
              <w:rPr>
                <w:rFonts w:hint="eastAsia"/>
                <w:color w:val="auto"/>
                <w:highlight w:val="none"/>
                <w:lang w:val="en-US" w:eastAsia="zh-CN"/>
              </w:rPr>
              <w:t>，依托园区）</w:t>
            </w:r>
          </w:p>
        </w:tc>
        <w:tc>
          <w:tcPr>
            <w:tcW w:w="2608" w:type="dxa"/>
            <w:vMerge w:val="continue"/>
            <w:noWrap w:val="0"/>
            <w:vAlign w:val="center"/>
          </w:tcPr>
          <w:p w14:paraId="2521F975">
            <w:pPr>
              <w:keepNext w:val="0"/>
              <w:keepLines w:val="0"/>
              <w:widowControl/>
              <w:suppressLineNumbers w:val="0"/>
              <w:jc w:val="center"/>
              <w:rPr>
                <w:rFonts w:hint="default"/>
                <w:color w:val="auto"/>
                <w:highlight w:val="none"/>
                <w:lang w:val="en-US" w:eastAsia="zh-CN"/>
              </w:rPr>
            </w:pPr>
          </w:p>
        </w:tc>
      </w:tr>
      <w:tr w14:paraId="31A2F3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4CB30F11">
            <w:pPr>
              <w:adjustRightInd w:val="0"/>
              <w:snapToGrid w:val="0"/>
              <w:jc w:val="center"/>
              <w:rPr>
                <w:b/>
                <w:bCs/>
                <w:color w:val="auto"/>
                <w:szCs w:val="21"/>
                <w:highlight w:val="none"/>
              </w:rPr>
            </w:pPr>
            <w:r>
              <w:rPr>
                <w:b/>
                <w:bCs/>
                <w:color w:val="auto"/>
                <w:szCs w:val="21"/>
                <w:highlight w:val="none"/>
              </w:rPr>
              <w:t>声环境</w:t>
            </w:r>
          </w:p>
        </w:tc>
        <w:tc>
          <w:tcPr>
            <w:tcW w:w="1607" w:type="dxa"/>
            <w:noWrap w:val="0"/>
            <w:vAlign w:val="center"/>
          </w:tcPr>
          <w:p w14:paraId="02F691A3">
            <w:pPr>
              <w:keepNext w:val="0"/>
              <w:keepLines w:val="0"/>
              <w:widowControl/>
              <w:suppressLineNumbers w:val="0"/>
              <w:ind w:firstLine="420" w:firstLineChars="200"/>
              <w:jc w:val="both"/>
              <w:rPr>
                <w:rFonts w:hint="default" w:eastAsia="宋体"/>
                <w:color w:val="auto"/>
                <w:szCs w:val="21"/>
                <w:highlight w:val="none"/>
                <w:lang w:val="en-US" w:eastAsia="zh-CN"/>
              </w:rPr>
            </w:pPr>
            <w:r>
              <w:rPr>
                <w:rFonts w:hint="eastAsia"/>
                <w:color w:val="auto"/>
                <w:szCs w:val="21"/>
                <w:highlight w:val="none"/>
                <w:lang w:val="en-US" w:eastAsia="zh-CN"/>
              </w:rPr>
              <w:t>设备运行</w:t>
            </w:r>
          </w:p>
        </w:tc>
        <w:tc>
          <w:tcPr>
            <w:tcW w:w="1300" w:type="dxa"/>
            <w:noWrap w:val="0"/>
            <w:vAlign w:val="center"/>
          </w:tcPr>
          <w:p w14:paraId="687390C2">
            <w:pPr>
              <w:keepNext w:val="0"/>
              <w:keepLines w:val="0"/>
              <w:widowControl/>
              <w:suppressLineNumbers w:val="0"/>
              <w:jc w:val="center"/>
              <w:rPr>
                <w:rFonts w:hint="default" w:eastAsia="宋体"/>
                <w:color w:val="auto"/>
                <w:szCs w:val="21"/>
                <w:highlight w:val="none"/>
                <w:lang w:val="en-US" w:eastAsia="zh-CN"/>
              </w:rPr>
            </w:pPr>
            <w:r>
              <w:rPr>
                <w:rFonts w:hint="eastAsia"/>
                <w:color w:val="auto"/>
                <w:szCs w:val="21"/>
                <w:highlight w:val="none"/>
                <w:lang w:val="en-US" w:eastAsia="zh-CN"/>
              </w:rPr>
              <w:t>设备噪声</w:t>
            </w:r>
          </w:p>
        </w:tc>
        <w:tc>
          <w:tcPr>
            <w:tcW w:w="1940" w:type="dxa"/>
            <w:noWrap w:val="0"/>
            <w:vAlign w:val="center"/>
          </w:tcPr>
          <w:p w14:paraId="24AE877E">
            <w:pPr>
              <w:keepNext w:val="0"/>
              <w:keepLines w:val="0"/>
              <w:widowControl/>
              <w:suppressLineNumbers w:val="0"/>
              <w:jc w:val="both"/>
              <w:rPr>
                <w:rFonts w:hint="default" w:eastAsia="宋体"/>
                <w:color w:val="auto"/>
                <w:szCs w:val="21"/>
                <w:highlight w:val="none"/>
                <w:lang w:val="en-US" w:eastAsia="zh-CN"/>
              </w:rPr>
            </w:pPr>
            <w:r>
              <w:rPr>
                <w:rFonts w:hint="eastAsia"/>
                <w:color w:val="auto"/>
                <w:szCs w:val="21"/>
                <w:highlight w:val="none"/>
                <w:lang w:val="en-US" w:eastAsia="zh-CN"/>
              </w:rPr>
              <w:t>隔声、减震、消声</w:t>
            </w:r>
          </w:p>
        </w:tc>
        <w:tc>
          <w:tcPr>
            <w:tcW w:w="2608" w:type="dxa"/>
            <w:noWrap w:val="0"/>
            <w:vAlign w:val="center"/>
          </w:tcPr>
          <w:p w14:paraId="57EABD37">
            <w:pPr>
              <w:keepNext w:val="0"/>
              <w:keepLines w:val="0"/>
              <w:widowControl/>
              <w:suppressLineNumbers w:val="0"/>
              <w:ind w:firstLine="420" w:firstLineChars="200"/>
              <w:jc w:val="center"/>
              <w:rPr>
                <w:rFonts w:hint="default" w:eastAsia="宋体"/>
                <w:color w:val="auto"/>
                <w:szCs w:val="21"/>
                <w:highlight w:val="none"/>
                <w:lang w:val="en-US" w:eastAsia="zh-CN"/>
              </w:rPr>
            </w:pPr>
            <w:r>
              <w:rPr>
                <w:rFonts w:hint="eastAsia"/>
                <w:color w:val="auto"/>
                <w:szCs w:val="21"/>
                <w:highlight w:val="none"/>
                <w:lang w:eastAsia="zh-CN"/>
              </w:rPr>
              <w:t>《</w:t>
            </w:r>
            <w:r>
              <w:rPr>
                <w:rFonts w:hint="eastAsia"/>
                <w:color w:val="auto"/>
                <w:szCs w:val="21"/>
                <w:highlight w:val="none"/>
                <w:lang w:val="en-US" w:eastAsia="zh-CN"/>
              </w:rPr>
              <w:t>工业企业厂界环境噪声排放标准</w:t>
            </w:r>
            <w:r>
              <w:rPr>
                <w:rFonts w:hint="eastAsia"/>
                <w:color w:val="auto"/>
                <w:szCs w:val="21"/>
                <w:highlight w:val="none"/>
                <w:lang w:eastAsia="zh-CN"/>
              </w:rPr>
              <w:t>》（</w:t>
            </w:r>
            <w:r>
              <w:rPr>
                <w:rFonts w:hint="eastAsia"/>
                <w:color w:val="auto"/>
                <w:szCs w:val="21"/>
                <w:highlight w:val="none"/>
                <w:lang w:val="en-US" w:eastAsia="zh-CN"/>
              </w:rPr>
              <w:t>GB12348-2008</w:t>
            </w:r>
            <w:r>
              <w:rPr>
                <w:rFonts w:hint="eastAsia"/>
                <w:color w:val="auto"/>
                <w:szCs w:val="21"/>
                <w:highlight w:val="none"/>
                <w:lang w:eastAsia="zh-CN"/>
              </w:rPr>
              <w:t>）</w:t>
            </w:r>
            <w:r>
              <w:rPr>
                <w:rFonts w:hint="eastAsia"/>
                <w:color w:val="auto"/>
                <w:szCs w:val="21"/>
                <w:highlight w:val="none"/>
                <w:lang w:val="en-US" w:eastAsia="zh-CN"/>
              </w:rPr>
              <w:t>中3类标准</w:t>
            </w:r>
          </w:p>
        </w:tc>
      </w:tr>
      <w:tr w14:paraId="410417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2FF25A62">
            <w:pPr>
              <w:adjustRightInd w:val="0"/>
              <w:snapToGrid w:val="0"/>
              <w:jc w:val="center"/>
              <w:rPr>
                <w:b/>
                <w:bCs/>
                <w:color w:val="auto"/>
                <w:szCs w:val="21"/>
                <w:highlight w:val="none"/>
              </w:rPr>
            </w:pPr>
            <w:r>
              <w:rPr>
                <w:b/>
                <w:bCs/>
                <w:color w:val="auto"/>
                <w:szCs w:val="21"/>
                <w:highlight w:val="none"/>
              </w:rPr>
              <w:t>电磁辐射</w:t>
            </w:r>
          </w:p>
        </w:tc>
        <w:tc>
          <w:tcPr>
            <w:tcW w:w="7455" w:type="dxa"/>
            <w:gridSpan w:val="4"/>
            <w:noWrap w:val="0"/>
            <w:vAlign w:val="center"/>
          </w:tcPr>
          <w:p w14:paraId="4E8C8F1F">
            <w:pPr>
              <w:adjustRightInd w:val="0"/>
              <w:snapToGrid w:val="0"/>
              <w:jc w:val="center"/>
              <w:rPr>
                <w:color w:val="auto"/>
                <w:szCs w:val="21"/>
                <w:highlight w:val="none"/>
              </w:rPr>
            </w:pPr>
            <w:r>
              <w:rPr>
                <w:color w:val="auto"/>
                <w:szCs w:val="21"/>
                <w:highlight w:val="none"/>
              </w:rPr>
              <w:t>/</w:t>
            </w:r>
          </w:p>
        </w:tc>
      </w:tr>
      <w:tr w14:paraId="785B7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148548B2">
            <w:pPr>
              <w:adjustRightInd w:val="0"/>
              <w:snapToGrid w:val="0"/>
              <w:jc w:val="center"/>
              <w:rPr>
                <w:b/>
                <w:bCs/>
                <w:color w:val="auto"/>
                <w:szCs w:val="21"/>
                <w:highlight w:val="none"/>
              </w:rPr>
            </w:pPr>
            <w:r>
              <w:rPr>
                <w:b/>
                <w:bCs/>
                <w:color w:val="auto"/>
                <w:szCs w:val="21"/>
                <w:highlight w:val="none"/>
              </w:rPr>
              <w:t>固体废物</w:t>
            </w:r>
          </w:p>
        </w:tc>
        <w:tc>
          <w:tcPr>
            <w:tcW w:w="7455" w:type="dxa"/>
            <w:gridSpan w:val="4"/>
            <w:tcBorders>
              <w:bottom w:val="single" w:color="auto" w:sz="4" w:space="0"/>
            </w:tcBorders>
            <w:noWrap w:val="0"/>
            <w:vAlign w:val="center"/>
          </w:tcPr>
          <w:p w14:paraId="1516D8D8">
            <w:pPr>
              <w:keepNext w:val="0"/>
              <w:keepLines w:val="0"/>
              <w:widowControl/>
              <w:numPr>
                <w:ilvl w:val="0"/>
                <w:numId w:val="0"/>
              </w:numPr>
              <w:suppressLineNumbers w:val="0"/>
              <w:spacing w:line="360" w:lineRule="auto"/>
              <w:ind w:firstLine="210" w:firstLineChars="100"/>
              <w:jc w:val="both"/>
              <w:rPr>
                <w:rFonts w:hint="eastAsia"/>
                <w:color w:val="auto"/>
                <w:szCs w:val="21"/>
                <w:highlight w:val="none"/>
                <w:lang w:val="en-US" w:eastAsia="zh-CN"/>
              </w:rPr>
            </w:pPr>
            <w:r>
              <w:rPr>
                <w:rFonts w:hint="eastAsia"/>
                <w:color w:val="auto"/>
                <w:szCs w:val="21"/>
                <w:highlight w:val="none"/>
                <w:lang w:val="en-US" w:eastAsia="zh-CN"/>
              </w:rPr>
              <w:t>（1）危险废物：实验废液、</w:t>
            </w:r>
            <w:r>
              <w:rPr>
                <w:rFonts w:hint="eastAsia"/>
                <w:color w:val="auto"/>
                <w:sz w:val="21"/>
                <w:szCs w:val="21"/>
                <w:highlight w:val="none"/>
                <w:lang w:val="en-US" w:eastAsia="zh-CN"/>
              </w:rPr>
              <w:t>沾染化学试剂的一次性实验用品、实验废弃</w:t>
            </w:r>
            <w:r>
              <w:rPr>
                <w:rFonts w:hint="eastAsia"/>
                <w:color w:val="auto"/>
                <w:szCs w:val="21"/>
                <w:highlight w:val="none"/>
                <w:lang w:val="en-US" w:eastAsia="zh-CN"/>
              </w:rPr>
              <w:t>物、废试剂、废活性炭、废SDG、废水处理污泥，暂存危废贮存库，定期委托陕西水发环境有限公司处置。</w:t>
            </w:r>
          </w:p>
          <w:p w14:paraId="1BF8AC6B">
            <w:pPr>
              <w:keepNext w:val="0"/>
              <w:keepLines w:val="0"/>
              <w:widowControl/>
              <w:numPr>
                <w:ilvl w:val="0"/>
                <w:numId w:val="0"/>
              </w:numPr>
              <w:suppressLineNumbers w:val="0"/>
              <w:spacing w:line="360" w:lineRule="auto"/>
              <w:ind w:firstLine="210" w:firstLineChars="100"/>
              <w:jc w:val="both"/>
              <w:rPr>
                <w:rFonts w:hint="default"/>
                <w:color w:val="auto"/>
                <w:szCs w:val="21"/>
                <w:highlight w:val="none"/>
                <w:lang w:val="en-US" w:eastAsia="zh-CN"/>
              </w:rPr>
            </w:pPr>
            <w:r>
              <w:rPr>
                <w:rFonts w:hint="eastAsia"/>
                <w:color w:val="auto"/>
                <w:szCs w:val="21"/>
                <w:highlight w:val="none"/>
                <w:lang w:val="en-US" w:eastAsia="zh-CN"/>
              </w:rPr>
              <w:t>（2）一般固体废物：废包装材料产生后集中收集，定期外售至废品回收站。</w:t>
            </w:r>
          </w:p>
          <w:p w14:paraId="400636C3">
            <w:pPr>
              <w:keepNext w:val="0"/>
              <w:keepLines w:val="0"/>
              <w:widowControl/>
              <w:numPr>
                <w:ilvl w:val="0"/>
                <w:numId w:val="0"/>
              </w:numPr>
              <w:suppressLineNumbers w:val="0"/>
              <w:spacing w:line="360" w:lineRule="auto"/>
              <w:ind w:firstLine="210" w:firstLineChars="100"/>
              <w:jc w:val="both"/>
              <w:rPr>
                <w:rFonts w:hint="default"/>
                <w:color w:val="auto"/>
                <w:szCs w:val="21"/>
                <w:highlight w:val="none"/>
                <w:lang w:val="en-US" w:eastAsia="zh-CN"/>
              </w:rPr>
            </w:pPr>
            <w:r>
              <w:rPr>
                <w:rFonts w:hint="eastAsia"/>
                <w:color w:val="auto"/>
                <w:szCs w:val="21"/>
                <w:highlight w:val="none"/>
                <w:lang w:val="en-US" w:eastAsia="zh-CN"/>
              </w:rPr>
              <w:t>（3）生活垃圾：集中收集，定期交由当地环卫部门处置。</w:t>
            </w:r>
          </w:p>
        </w:tc>
      </w:tr>
      <w:tr w14:paraId="3CACFA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323C0AFF">
            <w:pPr>
              <w:adjustRightInd w:val="0"/>
              <w:snapToGrid w:val="0"/>
              <w:jc w:val="center"/>
              <w:rPr>
                <w:b/>
                <w:bCs/>
                <w:color w:val="auto"/>
                <w:szCs w:val="21"/>
                <w:highlight w:val="none"/>
              </w:rPr>
            </w:pPr>
            <w:r>
              <w:rPr>
                <w:b/>
                <w:bCs/>
                <w:color w:val="auto"/>
                <w:szCs w:val="21"/>
                <w:highlight w:val="none"/>
              </w:rPr>
              <w:t>土壤及地下水污染防治措施</w:t>
            </w:r>
          </w:p>
        </w:tc>
        <w:tc>
          <w:tcPr>
            <w:tcW w:w="7455" w:type="dxa"/>
            <w:gridSpan w:val="4"/>
            <w:noWrap w:val="0"/>
            <w:vAlign w:val="center"/>
          </w:tcPr>
          <w:p w14:paraId="40E855C0">
            <w:pPr>
              <w:keepNext w:val="0"/>
              <w:keepLines w:val="0"/>
              <w:widowControl/>
              <w:suppressLineNumbers w:val="0"/>
              <w:ind w:firstLine="420" w:firstLineChars="200"/>
              <w:jc w:val="both"/>
              <w:rPr>
                <w:color w:val="auto"/>
                <w:szCs w:val="21"/>
                <w:highlight w:val="none"/>
              </w:rPr>
            </w:pPr>
            <w:r>
              <w:rPr>
                <w:rFonts w:hint="eastAsia"/>
                <w:color w:val="auto"/>
                <w:highlight w:val="none"/>
                <w:lang w:val="en-US" w:eastAsia="zh-CN"/>
              </w:rPr>
              <w:t>危废贮存库、试剂间以及溶剂物料库地面及裙角均已进行防渗处理，涂刷环氧树脂防渗层，防渗层效果为不低于2mm厚的高密度聚乙烯；实验室全部均为水泥硬化地面</w:t>
            </w:r>
            <w:r>
              <w:rPr>
                <w:color w:val="auto"/>
                <w:highlight w:val="none"/>
              </w:rPr>
              <w:t>。</w:t>
            </w:r>
          </w:p>
        </w:tc>
      </w:tr>
      <w:tr w14:paraId="1E3D35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7F7B3E4F">
            <w:pPr>
              <w:adjustRightInd w:val="0"/>
              <w:snapToGrid w:val="0"/>
              <w:jc w:val="center"/>
              <w:rPr>
                <w:b/>
                <w:bCs/>
                <w:color w:val="auto"/>
                <w:szCs w:val="21"/>
                <w:highlight w:val="none"/>
              </w:rPr>
            </w:pPr>
            <w:r>
              <w:rPr>
                <w:b/>
                <w:bCs/>
                <w:color w:val="auto"/>
                <w:szCs w:val="21"/>
                <w:highlight w:val="none"/>
              </w:rPr>
              <w:t>生态保护措施</w:t>
            </w:r>
          </w:p>
        </w:tc>
        <w:tc>
          <w:tcPr>
            <w:tcW w:w="7455" w:type="dxa"/>
            <w:gridSpan w:val="4"/>
            <w:noWrap w:val="0"/>
            <w:vAlign w:val="center"/>
          </w:tcPr>
          <w:p w14:paraId="3B7F047E">
            <w:pPr>
              <w:keepNext w:val="0"/>
              <w:keepLines w:val="0"/>
              <w:widowControl/>
              <w:suppressLineNumbers w:val="0"/>
              <w:spacing w:line="240" w:lineRule="auto"/>
              <w:jc w:val="center"/>
              <w:rPr>
                <w:rFonts w:hint="eastAsia" w:eastAsia="宋体"/>
                <w:color w:val="auto"/>
                <w:szCs w:val="21"/>
                <w:highlight w:val="none"/>
                <w:lang w:val="en-US" w:eastAsia="zh-CN"/>
              </w:rPr>
            </w:pPr>
            <w:r>
              <w:rPr>
                <w:rFonts w:hint="eastAsia"/>
                <w:color w:val="auto"/>
                <w:szCs w:val="21"/>
                <w:highlight w:val="none"/>
                <w:lang w:val="en-US" w:eastAsia="zh-CN"/>
              </w:rPr>
              <w:t>/</w:t>
            </w:r>
          </w:p>
        </w:tc>
      </w:tr>
      <w:tr w14:paraId="61BC85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74939E04">
            <w:pPr>
              <w:adjustRightInd w:val="0"/>
              <w:snapToGrid w:val="0"/>
              <w:spacing w:line="276" w:lineRule="auto"/>
              <w:jc w:val="center"/>
              <w:rPr>
                <w:b/>
                <w:bCs/>
                <w:color w:val="auto"/>
                <w:spacing w:val="-8"/>
                <w:szCs w:val="21"/>
                <w:highlight w:val="none"/>
              </w:rPr>
            </w:pPr>
            <w:r>
              <w:rPr>
                <w:b/>
                <w:bCs/>
                <w:color w:val="auto"/>
                <w:spacing w:val="-8"/>
                <w:szCs w:val="21"/>
                <w:highlight w:val="none"/>
              </w:rPr>
              <w:t>环境风险</w:t>
            </w:r>
          </w:p>
          <w:p w14:paraId="1C8D9206">
            <w:pPr>
              <w:adjustRightInd w:val="0"/>
              <w:snapToGrid w:val="0"/>
              <w:spacing w:line="276" w:lineRule="auto"/>
              <w:jc w:val="center"/>
              <w:rPr>
                <w:b/>
                <w:bCs/>
                <w:color w:val="auto"/>
                <w:spacing w:val="-8"/>
                <w:szCs w:val="21"/>
                <w:highlight w:val="none"/>
              </w:rPr>
            </w:pPr>
            <w:r>
              <w:rPr>
                <w:b/>
                <w:bCs/>
                <w:color w:val="auto"/>
                <w:spacing w:val="-8"/>
                <w:szCs w:val="21"/>
                <w:highlight w:val="none"/>
              </w:rPr>
              <w:t>防范措施</w:t>
            </w:r>
          </w:p>
        </w:tc>
        <w:tc>
          <w:tcPr>
            <w:tcW w:w="7455" w:type="dxa"/>
            <w:gridSpan w:val="4"/>
            <w:noWrap w:val="0"/>
            <w:vAlign w:val="center"/>
          </w:tcPr>
          <w:p w14:paraId="39EE0014">
            <w:pPr>
              <w:widowControl/>
              <w:numPr>
                <w:ilvl w:val="0"/>
                <w:numId w:val="0"/>
              </w:numPr>
              <w:bidi w:val="0"/>
              <w:spacing w:line="240" w:lineRule="auto"/>
              <w:ind w:firstLine="210" w:firstLineChars="100"/>
              <w:rPr>
                <w:rFonts w:hint="eastAsia" w:ascii="Times New Roman" w:hAnsi="Times New Roman" w:eastAsia="宋体"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（1）泄漏风险防范措施：泄漏是项目环境风险的主要事故源，预防物料泄漏</w:t>
            </w:r>
          </w:p>
          <w:p w14:paraId="052FFC8E">
            <w:pPr>
              <w:widowControl/>
              <w:numPr>
                <w:ilvl w:val="0"/>
                <w:numId w:val="0"/>
              </w:numPr>
              <w:bidi w:val="0"/>
              <w:spacing w:line="240" w:lineRule="auto"/>
              <w:ind w:firstLine="210" w:firstLineChars="100"/>
              <w:rPr>
                <w:rFonts w:hint="eastAsia" w:ascii="Times New Roman" w:hAnsi="Times New Roman" w:eastAsia="宋体" w:cs="Times New Roman"/>
                <w:color w:val="auto"/>
                <w:kern w:val="28"/>
                <w:sz w:val="21"/>
                <w:szCs w:val="21"/>
                <w:highlight w:val="none"/>
                <w:lang w:val="en-US" w:eastAsia="zh-CN" w:bidi="ar-SA"/>
              </w:rPr>
            </w:pPr>
            <w:r>
              <w:rPr>
                <w:rFonts w:hint="eastAsia" w:cs="Times New Roman"/>
                <w:color w:val="auto"/>
                <w:kern w:val="28"/>
                <w:sz w:val="21"/>
                <w:szCs w:val="21"/>
                <w:highlight w:val="none"/>
                <w:lang w:val="en-US" w:eastAsia="zh-CN" w:bidi="ar-SA"/>
              </w:rPr>
              <w:t>发生</w:t>
            </w:r>
            <w:r>
              <w:rPr>
                <w:rFonts w:hint="eastAsia" w:ascii="Times New Roman" w:hAnsi="Times New Roman" w:eastAsia="宋体" w:cs="Times New Roman"/>
                <w:color w:val="auto"/>
                <w:kern w:val="28"/>
                <w:sz w:val="21"/>
                <w:szCs w:val="21"/>
                <w:highlight w:val="none"/>
                <w:lang w:val="en-US" w:eastAsia="zh-CN" w:bidi="ar-SA"/>
              </w:rPr>
              <w:t>次生灾害的主要措施为：</w:t>
            </w:r>
          </w:p>
          <w:p w14:paraId="08E1C04F">
            <w:pPr>
              <w:widowControl/>
              <w:numPr>
                <w:ilvl w:val="0"/>
                <w:numId w:val="0"/>
              </w:numPr>
              <w:bidi w:val="0"/>
              <w:spacing w:line="240" w:lineRule="auto"/>
              <w:ind w:firstLine="420" w:firstLineChars="200"/>
              <w:rPr>
                <w:rFonts w:hint="eastAsia"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①严格操作规程，制定可靠的设备检修计划，防止设备维护不当所产生的事故发生；加强危险物质贮存设备的日常保养和维护，使其在良好的运行状态下。</w:t>
            </w:r>
            <w:r>
              <w:rPr>
                <w:rFonts w:hint="eastAsia" w:cs="Times New Roman"/>
                <w:color w:val="auto"/>
                <w:kern w:val="28"/>
                <w:sz w:val="21"/>
                <w:szCs w:val="21"/>
                <w:highlight w:val="none"/>
                <w:lang w:val="en-US" w:eastAsia="zh-CN" w:bidi="ar-SA"/>
              </w:rPr>
              <w:t xml:space="preserve">        </w:t>
            </w:r>
          </w:p>
          <w:p w14:paraId="4BF0D766">
            <w:pPr>
              <w:widowControl/>
              <w:numPr>
                <w:ilvl w:val="0"/>
                <w:numId w:val="0"/>
              </w:numPr>
              <w:bidi w:val="0"/>
              <w:spacing w:line="240" w:lineRule="auto"/>
              <w:ind w:firstLine="420" w:firstLineChars="200"/>
              <w:rPr>
                <w:rFonts w:hint="eastAsia" w:ascii="Times New Roman" w:hAnsi="Times New Roman" w:eastAsia="宋体"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②项目各区域均采取地面防渗，</w:t>
            </w:r>
            <w:r>
              <w:rPr>
                <w:rFonts w:hint="eastAsia" w:cs="Times New Roman"/>
                <w:color w:val="auto"/>
                <w:kern w:val="28"/>
                <w:sz w:val="21"/>
                <w:szCs w:val="21"/>
                <w:highlight w:val="none"/>
                <w:lang w:val="en-US" w:eastAsia="zh-CN" w:bidi="ar-SA"/>
              </w:rPr>
              <w:t>做好防潮、防晒、防风、防火措施</w:t>
            </w:r>
            <w:r>
              <w:rPr>
                <w:rFonts w:hint="eastAsia" w:ascii="Times New Roman" w:hAnsi="Times New Roman" w:eastAsia="宋体" w:cs="Times New Roman"/>
                <w:color w:val="auto"/>
                <w:kern w:val="28"/>
                <w:sz w:val="21"/>
                <w:szCs w:val="21"/>
                <w:highlight w:val="none"/>
                <w:lang w:val="en-US" w:eastAsia="zh-CN" w:bidi="ar-SA"/>
              </w:rPr>
              <w:t>，常规储存量较小，不存在发生大规模泄漏的可能，碰撞导致的少量泄漏及时收集，并作为危废处置。</w:t>
            </w:r>
          </w:p>
          <w:p w14:paraId="5325436A">
            <w:pPr>
              <w:widowControl/>
              <w:numPr>
                <w:ilvl w:val="0"/>
                <w:numId w:val="0"/>
              </w:numPr>
              <w:bidi w:val="0"/>
              <w:spacing w:line="240" w:lineRule="auto"/>
              <w:ind w:firstLine="420" w:firstLineChars="200"/>
              <w:rPr>
                <w:rFonts w:hint="eastAsia" w:ascii="Times New Roman" w:hAnsi="Times New Roman" w:eastAsia="宋体"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③项目</w:t>
            </w:r>
            <w:r>
              <w:rPr>
                <w:rFonts w:hint="eastAsia" w:cs="Times New Roman"/>
                <w:color w:val="auto"/>
                <w:kern w:val="28"/>
                <w:sz w:val="21"/>
                <w:szCs w:val="21"/>
                <w:highlight w:val="none"/>
                <w:lang w:val="en-US" w:eastAsia="zh-CN" w:bidi="ar-SA"/>
              </w:rPr>
              <w:t>各类试剂间</w:t>
            </w:r>
            <w:r>
              <w:rPr>
                <w:rFonts w:hint="eastAsia" w:ascii="Times New Roman" w:hAnsi="Times New Roman" w:eastAsia="宋体" w:cs="Times New Roman"/>
                <w:color w:val="auto"/>
                <w:kern w:val="28"/>
                <w:sz w:val="21"/>
                <w:szCs w:val="21"/>
                <w:highlight w:val="none"/>
                <w:lang w:val="en-US" w:eastAsia="zh-CN" w:bidi="ar-SA"/>
              </w:rPr>
              <w:t>和</w:t>
            </w:r>
            <w:r>
              <w:rPr>
                <w:rFonts w:hint="eastAsia" w:cs="Times New Roman"/>
                <w:color w:val="auto"/>
                <w:kern w:val="28"/>
                <w:sz w:val="21"/>
                <w:szCs w:val="21"/>
                <w:highlight w:val="none"/>
                <w:lang w:val="en-US" w:eastAsia="zh-CN" w:bidi="ar-SA"/>
              </w:rPr>
              <w:t>危废贮存库</w:t>
            </w:r>
            <w:r>
              <w:rPr>
                <w:rFonts w:hint="eastAsia" w:ascii="Times New Roman" w:hAnsi="Times New Roman" w:eastAsia="宋体" w:cs="Times New Roman"/>
                <w:color w:val="auto"/>
                <w:kern w:val="28"/>
                <w:sz w:val="21"/>
                <w:szCs w:val="21"/>
                <w:highlight w:val="none"/>
                <w:lang w:val="en-US" w:eastAsia="zh-CN" w:bidi="ar-SA"/>
              </w:rPr>
              <w:t>实行专人管理，并建立出入库</w:t>
            </w:r>
            <w:r>
              <w:rPr>
                <w:rFonts w:hint="eastAsia" w:cs="Times New Roman"/>
                <w:color w:val="auto"/>
                <w:kern w:val="28"/>
                <w:sz w:val="21"/>
                <w:szCs w:val="21"/>
                <w:highlight w:val="none"/>
                <w:lang w:val="en-US" w:eastAsia="zh-CN" w:bidi="ar-SA"/>
              </w:rPr>
              <w:t>台账记录</w:t>
            </w:r>
            <w:r>
              <w:rPr>
                <w:rFonts w:hint="eastAsia" w:ascii="Times New Roman" w:hAnsi="Times New Roman" w:eastAsia="宋体" w:cs="Times New Roman"/>
                <w:color w:val="auto"/>
                <w:kern w:val="28"/>
                <w:sz w:val="21"/>
                <w:szCs w:val="21"/>
                <w:highlight w:val="none"/>
                <w:lang w:val="en-US" w:eastAsia="zh-CN" w:bidi="ar-SA"/>
              </w:rPr>
              <w:t>。</w:t>
            </w:r>
          </w:p>
          <w:p w14:paraId="2F20F5E7">
            <w:pPr>
              <w:widowControl/>
              <w:numPr>
                <w:ilvl w:val="0"/>
                <w:numId w:val="0"/>
              </w:numPr>
              <w:bidi w:val="0"/>
              <w:spacing w:line="240" w:lineRule="auto"/>
              <w:ind w:firstLine="210" w:firstLineChars="100"/>
              <w:rPr>
                <w:rFonts w:hint="eastAsia" w:ascii="Times New Roman" w:hAnsi="Times New Roman" w:eastAsia="宋体"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（2）火灾风险防范措施：</w:t>
            </w:r>
          </w:p>
          <w:p w14:paraId="59B4305E">
            <w:pPr>
              <w:widowControl/>
              <w:numPr>
                <w:ilvl w:val="0"/>
                <w:numId w:val="0"/>
              </w:numPr>
              <w:bidi w:val="0"/>
              <w:spacing w:line="240" w:lineRule="auto"/>
              <w:ind w:firstLine="420" w:firstLineChars="200"/>
              <w:rPr>
                <w:rFonts w:hint="eastAsia" w:ascii="Times New Roman" w:hAnsi="Times New Roman" w:eastAsia="宋体"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①电气设备及仪表按防爆等级的不同选用不同的设备，在仓库等各区域内安装烟雾报警器、消防自控设施。</w:t>
            </w:r>
          </w:p>
          <w:p w14:paraId="02C3EB84">
            <w:pPr>
              <w:widowControl/>
              <w:numPr>
                <w:ilvl w:val="0"/>
                <w:numId w:val="0"/>
              </w:numPr>
              <w:bidi w:val="0"/>
              <w:spacing w:line="240" w:lineRule="auto"/>
              <w:ind w:firstLine="420" w:firstLineChars="200"/>
              <w:rPr>
                <w:rFonts w:hint="eastAsia" w:ascii="Times New Roman" w:hAnsi="Times New Roman" w:eastAsia="宋体" w:cs="Times New Roman"/>
                <w:color w:val="auto"/>
                <w:kern w:val="28"/>
                <w:sz w:val="21"/>
                <w:szCs w:val="21"/>
                <w:highlight w:val="none"/>
                <w:lang w:val="en-US" w:eastAsia="zh-CN" w:bidi="ar-SA"/>
              </w:rPr>
            </w:pPr>
            <w:r>
              <w:rPr>
                <w:rFonts w:hint="eastAsia" w:ascii="Times New Roman" w:hAnsi="Times New Roman" w:eastAsia="宋体" w:cs="Times New Roman"/>
                <w:color w:val="auto"/>
                <w:kern w:val="28"/>
                <w:sz w:val="21"/>
                <w:szCs w:val="21"/>
                <w:highlight w:val="none"/>
                <w:lang w:val="en-US" w:eastAsia="zh-CN" w:bidi="ar-SA"/>
              </w:rPr>
              <w:t>②仓库和危废贮存间均严禁吸烟和带入火种，设置“严禁烟火”和“禁止吸烟”警示牌并标出警戒线。</w:t>
            </w:r>
          </w:p>
          <w:p w14:paraId="12EEE523">
            <w:pPr>
              <w:pStyle w:val="3"/>
              <w:spacing w:line="240" w:lineRule="auto"/>
              <w:rPr>
                <w:rFonts w:hint="default"/>
                <w:color w:val="auto"/>
                <w:highlight w:val="none"/>
                <w:lang w:val="en-US"/>
              </w:rPr>
            </w:pPr>
            <w:r>
              <w:rPr>
                <w:rFonts w:hint="eastAsia" w:cs="Times New Roman"/>
                <w:color w:val="auto"/>
                <w:sz w:val="21"/>
                <w:szCs w:val="21"/>
                <w:highlight w:val="none"/>
                <w:lang w:val="en-US" w:eastAsia="zh-CN"/>
              </w:rPr>
              <w:t xml:space="preserve">  （3）及时</w:t>
            </w:r>
            <w:r>
              <w:rPr>
                <w:rFonts w:hint="eastAsia" w:cs="Times New Roman"/>
                <w:color w:val="auto"/>
                <w:kern w:val="28"/>
                <w:sz w:val="21"/>
                <w:szCs w:val="21"/>
                <w:highlight w:val="none"/>
                <w:lang w:val="en-US" w:eastAsia="zh-CN"/>
              </w:rPr>
              <w:t>修订突发环境应急预案，定期开展演练和培训。</w:t>
            </w:r>
          </w:p>
        </w:tc>
      </w:tr>
      <w:tr w14:paraId="004B2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3" w:type="dxa"/>
            <w:noWrap w:val="0"/>
            <w:vAlign w:val="center"/>
          </w:tcPr>
          <w:p w14:paraId="01923214">
            <w:pPr>
              <w:adjustRightInd w:val="0"/>
              <w:snapToGrid w:val="0"/>
              <w:jc w:val="center"/>
              <w:rPr>
                <w:b/>
                <w:bCs/>
                <w:color w:val="auto"/>
                <w:spacing w:val="-8"/>
                <w:szCs w:val="21"/>
                <w:highlight w:val="none"/>
              </w:rPr>
            </w:pPr>
            <w:r>
              <w:rPr>
                <w:b/>
                <w:bCs/>
                <w:color w:val="auto"/>
                <w:spacing w:val="-8"/>
                <w:szCs w:val="21"/>
                <w:highlight w:val="none"/>
              </w:rPr>
              <w:t>其他环境</w:t>
            </w:r>
          </w:p>
          <w:p w14:paraId="1A4E7673">
            <w:pPr>
              <w:adjustRightInd w:val="0"/>
              <w:snapToGrid w:val="0"/>
              <w:jc w:val="center"/>
              <w:rPr>
                <w:b/>
                <w:bCs/>
                <w:color w:val="auto"/>
                <w:spacing w:val="-8"/>
                <w:szCs w:val="21"/>
                <w:highlight w:val="none"/>
              </w:rPr>
            </w:pPr>
            <w:r>
              <w:rPr>
                <w:b/>
                <w:bCs/>
                <w:color w:val="auto"/>
                <w:spacing w:val="-8"/>
                <w:szCs w:val="21"/>
                <w:highlight w:val="none"/>
              </w:rPr>
              <w:t>管理要求</w:t>
            </w:r>
          </w:p>
        </w:tc>
        <w:tc>
          <w:tcPr>
            <w:tcW w:w="7455" w:type="dxa"/>
            <w:gridSpan w:val="4"/>
            <w:noWrap w:val="0"/>
            <w:vAlign w:val="center"/>
          </w:tcPr>
          <w:p w14:paraId="62745470">
            <w:pPr>
              <w:pStyle w:val="3"/>
              <w:numPr>
                <w:ilvl w:val="0"/>
                <w:numId w:val="0"/>
              </w:numPr>
              <w:spacing w:line="240" w:lineRule="auto"/>
              <w:rPr>
                <w:rFonts w:hint="default" w:ascii="Times New Roman" w:hAnsi="Times New Roman" w:cs="Times New Roman"/>
                <w:b/>
                <w:bCs/>
                <w:color w:val="auto"/>
                <w:kern w:val="28"/>
                <w:sz w:val="21"/>
                <w:szCs w:val="21"/>
                <w:highlight w:val="none"/>
                <w:lang w:val="en-US" w:eastAsia="zh-CN"/>
              </w:rPr>
            </w:pPr>
            <w:r>
              <w:rPr>
                <w:rFonts w:hint="eastAsia" w:cs="Times New Roman"/>
                <w:b/>
                <w:bCs/>
                <w:color w:val="auto"/>
                <w:kern w:val="28"/>
                <w:sz w:val="21"/>
                <w:szCs w:val="21"/>
                <w:highlight w:val="none"/>
                <w:lang w:val="en-US" w:eastAsia="zh-CN"/>
              </w:rPr>
              <w:t>（1）</w:t>
            </w:r>
            <w:r>
              <w:rPr>
                <w:rFonts w:hint="default" w:ascii="Times New Roman" w:hAnsi="Times New Roman" w:cs="Times New Roman"/>
                <w:b/>
                <w:bCs/>
                <w:color w:val="auto"/>
                <w:kern w:val="28"/>
                <w:sz w:val="21"/>
                <w:szCs w:val="21"/>
                <w:highlight w:val="none"/>
                <w:lang w:val="en-US" w:eastAsia="zh-CN"/>
              </w:rPr>
              <w:t>环境管理</w:t>
            </w:r>
          </w:p>
          <w:p w14:paraId="6AB7A833">
            <w:pPr>
              <w:pStyle w:val="3"/>
              <w:numPr>
                <w:ilvl w:val="0"/>
                <w:numId w:val="0"/>
              </w:numPr>
              <w:spacing w:line="240" w:lineRule="auto"/>
              <w:ind w:firstLine="420" w:firstLineChars="200"/>
              <w:rPr>
                <w:rFonts w:hint="default" w:ascii="Times New Roman" w:hAnsi="Times New Roman" w:cs="Times New Roman"/>
                <w:b w:val="0"/>
                <w:bCs w:val="0"/>
                <w:color w:val="auto"/>
                <w:kern w:val="28"/>
                <w:sz w:val="21"/>
                <w:szCs w:val="21"/>
                <w:highlight w:val="none"/>
                <w:lang w:val="en-US" w:eastAsia="zh-CN"/>
              </w:rPr>
            </w:pPr>
            <w:r>
              <w:rPr>
                <w:rFonts w:hint="default" w:ascii="Times New Roman" w:hAnsi="Times New Roman" w:cs="Times New Roman"/>
                <w:b w:val="0"/>
                <w:bCs w:val="0"/>
                <w:color w:val="auto"/>
                <w:kern w:val="28"/>
                <w:sz w:val="21"/>
                <w:szCs w:val="21"/>
                <w:highlight w:val="none"/>
                <w:lang w:val="en-US" w:eastAsia="zh-CN"/>
              </w:rPr>
              <w:t>项目实验室应有严格的环境保护管理制度，指定专人负责，环境管理具体内容如下：</w:t>
            </w:r>
          </w:p>
          <w:p w14:paraId="5EF3B4C3">
            <w:pPr>
              <w:pStyle w:val="3"/>
              <w:numPr>
                <w:ilvl w:val="0"/>
                <w:numId w:val="0"/>
              </w:numPr>
              <w:spacing w:line="240" w:lineRule="auto"/>
              <w:ind w:firstLine="420" w:firstLineChars="200"/>
              <w:rPr>
                <w:rFonts w:hint="default" w:ascii="Times New Roman" w:hAnsi="Times New Roman" w:cs="Times New Roman"/>
                <w:b w:val="0"/>
                <w:bCs w:val="0"/>
                <w:color w:val="auto"/>
                <w:kern w:val="28"/>
                <w:sz w:val="21"/>
                <w:szCs w:val="21"/>
                <w:highlight w:val="none"/>
                <w:lang w:val="en-US" w:eastAsia="zh-CN"/>
              </w:rPr>
            </w:pPr>
            <w:r>
              <w:rPr>
                <w:rFonts w:hint="default" w:ascii="Times New Roman" w:hAnsi="Times New Roman" w:cs="Times New Roman"/>
                <w:b w:val="0"/>
                <w:bCs w:val="0"/>
                <w:color w:val="auto"/>
                <w:kern w:val="28"/>
                <w:sz w:val="21"/>
                <w:szCs w:val="21"/>
                <w:highlight w:val="none"/>
                <w:lang w:val="en-US" w:eastAsia="zh-CN"/>
              </w:rPr>
              <w:t>①应按有关法律法规的要求，严格执行排污申报制度，及时</w:t>
            </w:r>
            <w:r>
              <w:rPr>
                <w:rFonts w:hint="eastAsia" w:cs="Times New Roman"/>
                <w:b w:val="0"/>
                <w:bCs w:val="0"/>
                <w:color w:val="auto"/>
                <w:kern w:val="28"/>
                <w:sz w:val="21"/>
                <w:szCs w:val="21"/>
                <w:highlight w:val="none"/>
                <w:lang w:val="en-US" w:eastAsia="zh-CN"/>
              </w:rPr>
              <w:t>变更</w:t>
            </w:r>
            <w:r>
              <w:rPr>
                <w:rFonts w:hint="default" w:ascii="Times New Roman" w:hAnsi="Times New Roman" w:cs="Times New Roman"/>
                <w:b w:val="0"/>
                <w:bCs w:val="0"/>
                <w:color w:val="auto"/>
                <w:kern w:val="28"/>
                <w:sz w:val="21"/>
                <w:szCs w:val="21"/>
                <w:highlight w:val="none"/>
                <w:lang w:val="en-US" w:eastAsia="zh-CN"/>
              </w:rPr>
              <w:t>排污许可</w:t>
            </w:r>
            <w:r>
              <w:rPr>
                <w:rFonts w:hint="eastAsia" w:cs="Times New Roman"/>
                <w:b w:val="0"/>
                <w:bCs w:val="0"/>
                <w:color w:val="auto"/>
                <w:kern w:val="28"/>
                <w:sz w:val="21"/>
                <w:szCs w:val="21"/>
                <w:highlight w:val="none"/>
                <w:lang w:val="en-US" w:eastAsia="zh-CN"/>
              </w:rPr>
              <w:t>和组织完成竣工环境保护验收工作；</w:t>
            </w:r>
          </w:p>
          <w:p w14:paraId="14644A0F">
            <w:pPr>
              <w:pStyle w:val="3"/>
              <w:numPr>
                <w:ilvl w:val="0"/>
                <w:numId w:val="0"/>
              </w:numPr>
              <w:spacing w:line="240" w:lineRule="auto"/>
              <w:ind w:firstLine="420" w:firstLineChars="200"/>
              <w:rPr>
                <w:rFonts w:hint="default" w:ascii="Times New Roman" w:hAnsi="Times New Roman" w:cs="Times New Roman"/>
                <w:b w:val="0"/>
                <w:bCs w:val="0"/>
                <w:color w:val="auto"/>
                <w:kern w:val="28"/>
                <w:sz w:val="21"/>
                <w:szCs w:val="21"/>
                <w:highlight w:val="none"/>
                <w:lang w:val="en-US" w:eastAsia="zh-CN"/>
              </w:rPr>
            </w:pPr>
            <w:r>
              <w:rPr>
                <w:rFonts w:hint="default" w:ascii="Times New Roman" w:hAnsi="Times New Roman" w:cs="Times New Roman"/>
                <w:b w:val="0"/>
                <w:bCs w:val="0"/>
                <w:color w:val="auto"/>
                <w:kern w:val="28"/>
                <w:sz w:val="21"/>
                <w:szCs w:val="21"/>
                <w:highlight w:val="none"/>
                <w:lang w:val="en-US" w:eastAsia="zh-CN"/>
              </w:rPr>
              <w:t>②</w:t>
            </w:r>
            <w:r>
              <w:rPr>
                <w:rFonts w:hint="eastAsia" w:cs="Times New Roman"/>
                <w:b w:val="0"/>
                <w:bCs w:val="0"/>
                <w:color w:val="auto"/>
                <w:kern w:val="28"/>
                <w:sz w:val="21"/>
                <w:szCs w:val="21"/>
                <w:highlight w:val="none"/>
                <w:lang w:val="en-US" w:eastAsia="zh-CN"/>
              </w:rPr>
              <w:t>建立</w:t>
            </w:r>
            <w:r>
              <w:rPr>
                <w:rFonts w:hint="default" w:ascii="Times New Roman" w:hAnsi="Times New Roman" w:cs="Times New Roman"/>
                <w:b w:val="0"/>
                <w:bCs w:val="0"/>
                <w:color w:val="auto"/>
                <w:kern w:val="28"/>
                <w:sz w:val="21"/>
                <w:szCs w:val="21"/>
                <w:highlight w:val="none"/>
                <w:lang w:val="en-US" w:eastAsia="zh-CN"/>
              </w:rPr>
              <w:t>完善的环保设施运行、维护、维修等技术档案，对环保设备实施定期检修</w:t>
            </w:r>
            <w:r>
              <w:rPr>
                <w:rFonts w:hint="eastAsia" w:cs="Times New Roman"/>
                <w:b w:val="0"/>
                <w:bCs w:val="0"/>
                <w:color w:val="auto"/>
                <w:kern w:val="28"/>
                <w:sz w:val="21"/>
                <w:szCs w:val="21"/>
                <w:highlight w:val="none"/>
                <w:lang w:val="en-US" w:eastAsia="zh-CN"/>
              </w:rPr>
              <w:t>；</w:t>
            </w:r>
          </w:p>
          <w:p w14:paraId="1542A901">
            <w:pPr>
              <w:pStyle w:val="3"/>
              <w:numPr>
                <w:ilvl w:val="0"/>
                <w:numId w:val="0"/>
              </w:numPr>
              <w:spacing w:line="240" w:lineRule="auto"/>
              <w:ind w:firstLine="420" w:firstLineChars="200"/>
              <w:rPr>
                <w:rFonts w:hint="default" w:ascii="Times New Roman" w:hAnsi="Times New Roman" w:cs="Times New Roman"/>
                <w:b w:val="0"/>
                <w:bCs w:val="0"/>
                <w:color w:val="auto"/>
                <w:kern w:val="28"/>
                <w:sz w:val="21"/>
                <w:szCs w:val="21"/>
                <w:highlight w:val="none"/>
                <w:lang w:val="en-US" w:eastAsia="zh-CN"/>
              </w:rPr>
            </w:pPr>
            <w:r>
              <w:rPr>
                <w:rFonts w:hint="default" w:ascii="Times New Roman" w:hAnsi="Times New Roman" w:cs="Times New Roman"/>
                <w:b w:val="0"/>
                <w:bCs w:val="0"/>
                <w:color w:val="auto"/>
                <w:kern w:val="28"/>
                <w:sz w:val="21"/>
                <w:szCs w:val="21"/>
                <w:highlight w:val="none"/>
                <w:lang w:val="en-US" w:eastAsia="zh-CN"/>
              </w:rPr>
              <w:t>③项目工程排</w:t>
            </w:r>
            <w:r>
              <w:rPr>
                <w:rFonts w:hint="eastAsia" w:cs="Times New Roman"/>
                <w:b w:val="0"/>
                <w:bCs w:val="0"/>
                <w:color w:val="auto"/>
                <w:kern w:val="28"/>
                <w:sz w:val="21"/>
                <w:szCs w:val="21"/>
                <w:highlight w:val="none"/>
                <w:lang w:val="en-US" w:eastAsia="zh-CN"/>
              </w:rPr>
              <w:t>废气、污水</w:t>
            </w:r>
            <w:r>
              <w:rPr>
                <w:rFonts w:hint="default" w:ascii="Times New Roman" w:hAnsi="Times New Roman" w:cs="Times New Roman"/>
                <w:b w:val="0"/>
                <w:bCs w:val="0"/>
                <w:color w:val="auto"/>
                <w:kern w:val="28"/>
                <w:sz w:val="21"/>
                <w:szCs w:val="21"/>
                <w:highlight w:val="none"/>
                <w:lang w:val="en-US" w:eastAsia="zh-CN"/>
              </w:rPr>
              <w:t>发生重大变化、污染治理设施发生重大改变或拟实施新、改、扩建项目时必须及时</w:t>
            </w:r>
            <w:r>
              <w:rPr>
                <w:rFonts w:hint="eastAsia" w:cs="Times New Roman"/>
                <w:b w:val="0"/>
                <w:bCs w:val="0"/>
                <w:color w:val="auto"/>
                <w:kern w:val="28"/>
                <w:sz w:val="21"/>
                <w:szCs w:val="21"/>
                <w:highlight w:val="none"/>
                <w:lang w:val="en-US" w:eastAsia="zh-CN"/>
              </w:rPr>
              <w:t>编制环评报告</w:t>
            </w:r>
            <w:r>
              <w:rPr>
                <w:rFonts w:hint="default" w:ascii="Times New Roman" w:hAnsi="Times New Roman" w:cs="Times New Roman"/>
                <w:b w:val="0"/>
                <w:bCs w:val="0"/>
                <w:color w:val="auto"/>
                <w:kern w:val="28"/>
                <w:sz w:val="21"/>
                <w:szCs w:val="21"/>
                <w:highlight w:val="none"/>
                <w:lang w:val="en-US" w:eastAsia="zh-CN"/>
              </w:rPr>
              <w:t>向相关环保行政主管部门申报。</w:t>
            </w:r>
          </w:p>
          <w:p w14:paraId="1F37DFA7">
            <w:pPr>
              <w:pStyle w:val="3"/>
              <w:numPr>
                <w:ilvl w:val="0"/>
                <w:numId w:val="0"/>
              </w:numPr>
              <w:spacing w:line="240" w:lineRule="auto"/>
              <w:ind w:firstLine="420" w:firstLineChars="200"/>
              <w:rPr>
                <w:rFonts w:hint="default" w:ascii="Times New Roman" w:hAnsi="Times New Roman" w:cs="Times New Roman"/>
                <w:b w:val="0"/>
                <w:bCs w:val="0"/>
                <w:color w:val="auto"/>
                <w:kern w:val="28"/>
                <w:sz w:val="21"/>
                <w:szCs w:val="21"/>
                <w:highlight w:val="none"/>
                <w:lang w:val="en-US" w:eastAsia="zh-CN"/>
              </w:rPr>
            </w:pPr>
            <w:r>
              <w:rPr>
                <w:rFonts w:hint="eastAsia" w:ascii="Times New Roman" w:hAnsi="Times New Roman" w:eastAsia="宋体" w:cs="Times New Roman"/>
                <w:b w:val="0"/>
                <w:bCs w:val="0"/>
                <w:color w:val="auto"/>
                <w:kern w:val="28"/>
                <w:sz w:val="21"/>
                <w:szCs w:val="21"/>
                <w:highlight w:val="none"/>
                <w:lang w:val="en-US" w:eastAsia="zh-CN" w:bidi="ar-SA"/>
              </w:rPr>
              <w:t>④</w:t>
            </w:r>
            <w:r>
              <w:rPr>
                <w:rFonts w:hint="default" w:ascii="Times New Roman" w:hAnsi="Times New Roman" w:cs="Times New Roman"/>
                <w:b w:val="0"/>
                <w:bCs w:val="0"/>
                <w:color w:val="auto"/>
                <w:kern w:val="28"/>
                <w:sz w:val="21"/>
                <w:szCs w:val="21"/>
                <w:highlight w:val="none"/>
                <w:lang w:val="en-US" w:eastAsia="zh-CN"/>
              </w:rPr>
              <w:t>建议建设单位及时</w:t>
            </w:r>
            <w:r>
              <w:rPr>
                <w:rFonts w:hint="eastAsia" w:cs="Times New Roman"/>
                <w:b w:val="0"/>
                <w:bCs w:val="0"/>
                <w:color w:val="auto"/>
                <w:kern w:val="28"/>
                <w:sz w:val="21"/>
                <w:szCs w:val="21"/>
                <w:highlight w:val="none"/>
                <w:lang w:val="en-US" w:eastAsia="zh-CN"/>
              </w:rPr>
              <w:t>修订</w:t>
            </w:r>
            <w:r>
              <w:rPr>
                <w:rFonts w:hint="default" w:ascii="Times New Roman" w:hAnsi="Times New Roman" w:cs="Times New Roman"/>
                <w:b w:val="0"/>
                <w:bCs w:val="0"/>
                <w:color w:val="auto"/>
                <w:kern w:val="28"/>
                <w:sz w:val="21"/>
                <w:szCs w:val="21"/>
                <w:highlight w:val="none"/>
                <w:lang w:val="en-US" w:eastAsia="zh-CN"/>
              </w:rPr>
              <w:t>编制突发环境应急预案，并按照预案内容进行演练。</w:t>
            </w:r>
          </w:p>
          <w:p w14:paraId="53B38DA8">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s="Times New Roman"/>
                <w:color w:val="auto"/>
                <w:kern w:val="28"/>
                <w:sz w:val="21"/>
                <w:szCs w:val="21"/>
                <w:highlight w:val="none"/>
                <w:lang w:val="en-US" w:eastAsia="zh-CN"/>
              </w:rPr>
            </w:pPr>
            <w:r>
              <w:rPr>
                <w:rFonts w:hint="default" w:ascii="Times New Roman" w:hAnsi="Times New Roman" w:cs="Times New Roman"/>
                <w:color w:val="auto"/>
                <w:kern w:val="28"/>
                <w:sz w:val="21"/>
                <w:szCs w:val="21"/>
                <w:highlight w:val="none"/>
                <w:lang w:val="en-US" w:eastAsia="zh-CN"/>
              </w:rPr>
              <w:t>⑤负责对职工进行环保宣传教育工作，以及检查、监督各单位环保制度的执行情况</w:t>
            </w:r>
            <w:r>
              <w:rPr>
                <w:rFonts w:hint="eastAsia" w:cs="Times New Roman"/>
                <w:color w:val="auto"/>
                <w:kern w:val="28"/>
                <w:sz w:val="21"/>
                <w:szCs w:val="21"/>
                <w:highlight w:val="none"/>
                <w:lang w:val="en-US" w:eastAsia="zh-CN"/>
              </w:rPr>
              <w:t>。</w:t>
            </w:r>
          </w:p>
          <w:p w14:paraId="6096F36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default" w:ascii="Times New Roman" w:hAnsi="Times New Roman" w:cs="Times New Roman"/>
                <w:b/>
                <w:bCs/>
                <w:color w:val="auto"/>
                <w:kern w:val="28"/>
                <w:sz w:val="21"/>
                <w:szCs w:val="21"/>
                <w:highlight w:val="none"/>
                <w:lang w:val="en-US" w:eastAsia="zh-CN"/>
              </w:rPr>
            </w:pPr>
            <w:r>
              <w:rPr>
                <w:rFonts w:hint="eastAsia" w:cs="Times New Roman"/>
                <w:b/>
                <w:bCs/>
                <w:color w:val="auto"/>
                <w:kern w:val="28"/>
                <w:sz w:val="21"/>
                <w:szCs w:val="21"/>
                <w:highlight w:val="none"/>
                <w:lang w:val="en-US" w:eastAsia="zh-CN"/>
              </w:rPr>
              <w:t>（2）</w:t>
            </w:r>
            <w:r>
              <w:rPr>
                <w:rFonts w:hint="default" w:ascii="Times New Roman" w:hAnsi="Times New Roman" w:cs="Times New Roman"/>
                <w:b/>
                <w:bCs/>
                <w:color w:val="auto"/>
                <w:kern w:val="28"/>
                <w:sz w:val="21"/>
                <w:szCs w:val="21"/>
                <w:highlight w:val="none"/>
                <w:lang w:val="en-US" w:eastAsia="zh-CN"/>
              </w:rPr>
              <w:t>环境监测计划</w:t>
            </w:r>
          </w:p>
          <w:p w14:paraId="308A449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420" w:firstLineChars="200"/>
              <w:textAlignment w:val="auto"/>
              <w:rPr>
                <w:rFonts w:hint="default" w:ascii="Times New Roman" w:hAnsi="Times New Roman" w:cs="Times New Roman"/>
                <w:color w:val="auto"/>
                <w:kern w:val="28"/>
                <w:sz w:val="21"/>
                <w:szCs w:val="21"/>
                <w:highlight w:val="none"/>
                <w:lang w:val="en-US" w:eastAsia="zh-CN"/>
              </w:rPr>
            </w:pPr>
            <w:r>
              <w:rPr>
                <w:rFonts w:hint="default" w:ascii="Times New Roman" w:hAnsi="Times New Roman" w:cs="Times New Roman"/>
                <w:color w:val="auto"/>
                <w:kern w:val="28"/>
                <w:sz w:val="21"/>
                <w:szCs w:val="21"/>
                <w:highlight w:val="none"/>
                <w:lang w:val="en-US" w:eastAsia="zh-CN"/>
              </w:rPr>
              <w:t>监测计划主要为运营期：主要是对项目建成运营后各污染源的排放监测。各环保设施运行情况应进行定期监测。监测计划如下：</w:t>
            </w:r>
          </w:p>
          <w:p w14:paraId="23811F8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textAlignment w:val="auto"/>
              <w:rPr>
                <w:rFonts w:hint="default" w:ascii="Times New Roman" w:hAnsi="Times New Roman" w:cs="Times New Roman"/>
                <w:color w:val="auto"/>
                <w:kern w:val="28"/>
                <w:sz w:val="21"/>
                <w:szCs w:val="21"/>
                <w:highlight w:val="none"/>
                <w:lang w:val="en-US" w:eastAsia="zh-CN"/>
              </w:rPr>
            </w:pPr>
            <w:r>
              <w:rPr>
                <w:rFonts w:hint="default" w:ascii="Times New Roman" w:hAnsi="Times New Roman" w:cs="Times New Roman"/>
                <w:color w:val="auto"/>
                <w:kern w:val="28"/>
                <w:sz w:val="21"/>
                <w:szCs w:val="21"/>
                <w:highlight w:val="none"/>
                <w:lang w:val="en-US" w:eastAsia="zh-CN"/>
              </w:rPr>
              <w:t>①按照自行监测方案定期开展自行监测；</w:t>
            </w:r>
          </w:p>
          <w:p w14:paraId="3403FFC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textAlignment w:val="auto"/>
              <w:rPr>
                <w:rFonts w:hint="default" w:ascii="Times New Roman" w:hAnsi="Times New Roman" w:cs="Times New Roman"/>
                <w:color w:val="auto"/>
                <w:kern w:val="28"/>
                <w:sz w:val="21"/>
                <w:szCs w:val="21"/>
                <w:highlight w:val="none"/>
                <w:lang w:val="en-US" w:eastAsia="zh-CN"/>
              </w:rPr>
            </w:pPr>
            <w:r>
              <w:rPr>
                <w:rFonts w:hint="default" w:ascii="Times New Roman" w:hAnsi="Times New Roman" w:cs="Times New Roman"/>
                <w:color w:val="auto"/>
                <w:kern w:val="28"/>
                <w:sz w:val="21"/>
                <w:szCs w:val="21"/>
                <w:highlight w:val="none"/>
                <w:lang w:val="en-US" w:eastAsia="zh-CN"/>
              </w:rPr>
              <w:t>②运行期的环保问题由建设单位负责；</w:t>
            </w:r>
          </w:p>
          <w:p w14:paraId="508A1DD6">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240" w:lineRule="auto"/>
              <w:ind w:left="17" w:leftChars="8" w:firstLine="399" w:firstLineChars="190"/>
              <w:textAlignment w:val="auto"/>
              <w:rPr>
                <w:rFonts w:hint="default" w:ascii="宋体" w:hAnsi="宋体" w:cs="宋体"/>
                <w:color w:val="auto"/>
                <w:kern w:val="28"/>
                <w:sz w:val="21"/>
                <w:szCs w:val="21"/>
                <w:highlight w:val="none"/>
                <w:lang w:val="en-US" w:eastAsia="zh-CN"/>
              </w:rPr>
            </w:pPr>
            <w:r>
              <w:rPr>
                <w:rFonts w:hint="default" w:ascii="Times New Roman" w:hAnsi="Times New Roman" w:cs="Times New Roman"/>
                <w:color w:val="auto"/>
                <w:kern w:val="28"/>
                <w:sz w:val="21"/>
                <w:szCs w:val="21"/>
                <w:highlight w:val="none"/>
                <w:lang w:val="en-US" w:eastAsia="zh-CN"/>
              </w:rPr>
              <w:t>③建设单位必须保证所有环保设备的正常运行，保证各类污染物达到国家的排放标准和当地环保部门的管理要求。</w:t>
            </w:r>
          </w:p>
          <w:p w14:paraId="4300CE2D">
            <w:pPr>
              <w:rPr>
                <w:rFonts w:hint="eastAsia" w:ascii="宋体" w:hAnsi="宋体" w:eastAsia="宋体" w:cs="宋体"/>
                <w:color w:val="auto"/>
                <w:kern w:val="28"/>
                <w:sz w:val="21"/>
                <w:szCs w:val="21"/>
                <w:highlight w:val="none"/>
                <w:lang w:val="en-US" w:eastAsia="zh-CN"/>
              </w:rPr>
            </w:pPr>
          </w:p>
          <w:p w14:paraId="59F04B92">
            <w:pPr>
              <w:pStyle w:val="3"/>
              <w:rPr>
                <w:rFonts w:hint="eastAsia"/>
                <w:color w:val="auto"/>
                <w:highlight w:val="none"/>
              </w:rPr>
            </w:pPr>
          </w:p>
        </w:tc>
      </w:tr>
    </w:tbl>
    <w:p w14:paraId="7A55B800">
      <w:pPr>
        <w:pStyle w:val="26"/>
        <w:jc w:val="center"/>
        <w:outlineLvl w:val="0"/>
        <w:rPr>
          <w:rStyle w:val="41"/>
          <w:b w:val="0"/>
          <w:bCs w:val="0"/>
          <w:color w:val="auto"/>
          <w:highlight w:val="none"/>
        </w:rPr>
      </w:pPr>
      <w:r>
        <w:rPr>
          <w:snapToGrid w:val="0"/>
          <w:color w:val="auto"/>
          <w:highlight w:val="none"/>
        </w:rPr>
        <w:br w:type="page"/>
      </w:r>
      <w:bookmarkStart w:id="50" w:name="_Toc19992"/>
      <w:bookmarkStart w:id="51" w:name="_Toc3009"/>
      <w:r>
        <w:rPr>
          <w:rStyle w:val="41"/>
          <w:rFonts w:hint="eastAsia"/>
          <w:b w:val="0"/>
          <w:bCs w:val="0"/>
          <w:color w:val="auto"/>
          <w:highlight w:val="none"/>
        </w:rPr>
        <w:t>六、结论</w:t>
      </w:r>
      <w:bookmarkEnd w:id="50"/>
      <w:bookmarkEnd w:id="51"/>
    </w:p>
    <w:tbl>
      <w:tblPr>
        <w:tblStyle w:val="3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0DEA05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07" w:hRule="atLeast"/>
          <w:jc w:val="center"/>
        </w:trPr>
        <w:tc>
          <w:tcPr>
            <w:tcW w:w="8865" w:type="dxa"/>
            <w:noWrap w:val="0"/>
            <w:vAlign w:val="top"/>
          </w:tcPr>
          <w:p w14:paraId="54392CEE">
            <w:pPr>
              <w:tabs>
                <w:tab w:val="left" w:pos="1882"/>
              </w:tabs>
              <w:spacing w:line="480" w:lineRule="exact"/>
              <w:ind w:firstLine="480" w:firstLineChars="200"/>
              <w:rPr>
                <w:rFonts w:hint="eastAsia" w:ascii="宋体" w:cs="宋体"/>
                <w:color w:val="auto"/>
                <w:szCs w:val="21"/>
                <w:highlight w:val="none"/>
              </w:rPr>
            </w:pPr>
            <w:r>
              <w:rPr>
                <w:rFonts w:hint="eastAsia"/>
                <w:color w:val="auto"/>
                <w:sz w:val="24"/>
                <w:highlight w:val="none"/>
              </w:rPr>
              <w:t>本项目符合国家产业政策和相关规划的要求；建设单位在认真落实环境影响评价报告表及提出的各项环保措施后，项目主要污染物可实现达标排放，对周围环境的不利影响较小。从环境保护角度，建设项目环境影响可行。</w:t>
            </w:r>
          </w:p>
        </w:tc>
      </w:tr>
    </w:tbl>
    <w:p w14:paraId="30994784">
      <w:pPr>
        <w:rPr>
          <w:rFonts w:ascii="宋体"/>
          <w:color w:val="auto"/>
          <w:highlight w:val="none"/>
        </w:rPr>
        <w:sectPr>
          <w:pgSz w:w="11906" w:h="16838"/>
          <w:pgMar w:top="1440" w:right="1417" w:bottom="1440" w:left="1803"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D722697">
      <w:pPr>
        <w:pStyle w:val="2"/>
        <w:bidi w:val="0"/>
        <w:spacing w:before="0" w:after="0" w:line="240" w:lineRule="auto"/>
        <w:ind w:left="431" w:hanging="431"/>
        <w:rPr>
          <w:b w:val="0"/>
          <w:bCs w:val="0"/>
          <w:color w:val="auto"/>
          <w:sz w:val="32"/>
          <w:szCs w:val="32"/>
          <w:highlight w:val="none"/>
        </w:rPr>
      </w:pPr>
      <w:bookmarkStart w:id="52" w:name="_Toc25159"/>
      <w:bookmarkStart w:id="53" w:name="_Toc7840"/>
      <w:r>
        <w:rPr>
          <w:rFonts w:hint="eastAsia"/>
          <w:b w:val="0"/>
          <w:bCs w:val="0"/>
          <w:color w:val="auto"/>
          <w:sz w:val="32"/>
          <w:szCs w:val="32"/>
          <w:highlight w:val="none"/>
        </w:rPr>
        <w:t>附表</w:t>
      </w:r>
      <w:bookmarkEnd w:id="52"/>
      <w:bookmarkEnd w:id="53"/>
    </w:p>
    <w:p w14:paraId="132FD14F">
      <w:pPr>
        <w:pStyle w:val="2"/>
        <w:bidi w:val="0"/>
        <w:spacing w:before="0" w:after="0" w:line="240" w:lineRule="auto"/>
        <w:ind w:left="431" w:hanging="431"/>
        <w:jc w:val="center"/>
        <w:rPr>
          <w:rFonts w:hint="default" w:ascii="方正小标宋_GBK" w:hAnsi="黑体" w:eastAsia="黑体"/>
          <w:snapToGrid w:val="0"/>
          <w:color w:val="auto"/>
          <w:szCs w:val="38"/>
          <w:highlight w:val="none"/>
          <w:lang w:val="en-US" w:eastAsia="zh-CN"/>
        </w:rPr>
      </w:pPr>
      <w:bookmarkStart w:id="54" w:name="_Toc10967"/>
      <w:bookmarkStart w:id="55" w:name="_Toc12031"/>
      <w:r>
        <w:rPr>
          <w:rFonts w:hint="eastAsia"/>
          <w:b w:val="0"/>
          <w:bCs w:val="0"/>
          <w:color w:val="auto"/>
          <w:sz w:val="40"/>
          <w:szCs w:val="40"/>
          <w:highlight w:val="none"/>
        </w:rPr>
        <w:t>建设项目污染物排放量汇总表</w:t>
      </w:r>
      <w:bookmarkEnd w:id="54"/>
      <w:bookmarkEnd w:id="55"/>
    </w:p>
    <w:tbl>
      <w:tblPr>
        <w:tblStyle w:val="30"/>
        <w:tblW w:w="138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918"/>
        <w:gridCol w:w="918"/>
        <w:gridCol w:w="1544"/>
        <w:gridCol w:w="1544"/>
        <w:gridCol w:w="1544"/>
        <w:gridCol w:w="1544"/>
        <w:gridCol w:w="1545"/>
        <w:gridCol w:w="1545"/>
        <w:gridCol w:w="1545"/>
      </w:tblGrid>
      <w:tr w14:paraId="469406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2" w:type="dxa"/>
            <w:tcBorders>
              <w:tl2br w:val="single" w:color="auto" w:sz="4" w:space="0"/>
            </w:tcBorders>
            <w:noWrap w:val="0"/>
            <w:tcMar>
              <w:left w:w="28" w:type="dxa"/>
              <w:right w:w="28" w:type="dxa"/>
            </w:tcMar>
            <w:vAlign w:val="center"/>
          </w:tcPr>
          <w:p w14:paraId="64E2E58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eastAsia"/>
                <w:b/>
                <w:bCs/>
                <w:color w:val="auto"/>
                <w:highlight w:val="none"/>
                <w:lang w:val="en-US" w:eastAsia="zh-CN"/>
              </w:rPr>
              <w:t xml:space="preserve">   </w:t>
            </w:r>
            <w:r>
              <w:rPr>
                <w:rFonts w:hint="default"/>
                <w:b/>
                <w:bCs/>
                <w:color w:val="auto"/>
                <w:highlight w:val="none"/>
                <w:lang w:val="en-US" w:eastAsia="zh-CN"/>
              </w:rPr>
              <w:t>项目</w:t>
            </w:r>
          </w:p>
          <w:p w14:paraId="24F1D55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分类</w:t>
            </w:r>
          </w:p>
        </w:tc>
        <w:tc>
          <w:tcPr>
            <w:tcW w:w="1836" w:type="dxa"/>
            <w:gridSpan w:val="2"/>
            <w:noWrap w:val="0"/>
            <w:tcMar>
              <w:left w:w="28" w:type="dxa"/>
              <w:right w:w="28" w:type="dxa"/>
            </w:tcMar>
            <w:vAlign w:val="center"/>
          </w:tcPr>
          <w:p w14:paraId="0C3CF4F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污染物名称</w:t>
            </w:r>
          </w:p>
        </w:tc>
        <w:tc>
          <w:tcPr>
            <w:tcW w:w="1544" w:type="dxa"/>
            <w:noWrap w:val="0"/>
            <w:tcMar>
              <w:left w:w="28" w:type="dxa"/>
              <w:right w:w="28" w:type="dxa"/>
            </w:tcMar>
            <w:vAlign w:val="center"/>
          </w:tcPr>
          <w:p w14:paraId="461DEE2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现有工程排放量（固体废物产生量）</w:t>
            </w:r>
            <w:r>
              <w:rPr>
                <w:rFonts w:hint="default"/>
                <w:b/>
                <w:bCs/>
                <w:color w:val="auto"/>
                <w:highlight w:val="none"/>
                <w:lang w:val="en-US" w:eastAsia="zh-CN"/>
              </w:rPr>
              <w:fldChar w:fldCharType="begin"/>
            </w:r>
            <w:r>
              <w:rPr>
                <w:rFonts w:hint="default"/>
                <w:b/>
                <w:bCs/>
                <w:color w:val="auto"/>
                <w:highlight w:val="none"/>
                <w:lang w:val="en-US" w:eastAsia="zh-CN"/>
              </w:rPr>
              <w:instrText xml:space="preserve"> = 1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①</w:t>
            </w:r>
            <w:r>
              <w:rPr>
                <w:rFonts w:hint="default"/>
                <w:b/>
                <w:bCs/>
                <w:color w:val="auto"/>
                <w:highlight w:val="none"/>
                <w:lang w:val="en-US" w:eastAsia="zh-CN"/>
              </w:rPr>
              <w:fldChar w:fldCharType="end"/>
            </w:r>
          </w:p>
        </w:tc>
        <w:tc>
          <w:tcPr>
            <w:tcW w:w="1544" w:type="dxa"/>
            <w:noWrap w:val="0"/>
            <w:tcMar>
              <w:left w:w="28" w:type="dxa"/>
              <w:right w:w="28" w:type="dxa"/>
            </w:tcMar>
            <w:vAlign w:val="center"/>
          </w:tcPr>
          <w:p w14:paraId="63363B2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现有工程许可排放量</w:t>
            </w:r>
            <w:r>
              <w:rPr>
                <w:rFonts w:hint="default"/>
                <w:b/>
                <w:bCs/>
                <w:color w:val="auto"/>
                <w:highlight w:val="none"/>
                <w:lang w:val="en-US" w:eastAsia="zh-CN"/>
              </w:rPr>
              <w:fldChar w:fldCharType="begin"/>
            </w:r>
            <w:r>
              <w:rPr>
                <w:rFonts w:hint="default"/>
                <w:b/>
                <w:bCs/>
                <w:color w:val="auto"/>
                <w:highlight w:val="none"/>
                <w:lang w:val="en-US" w:eastAsia="zh-CN"/>
              </w:rPr>
              <w:instrText xml:space="preserve"> = 2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②</w:t>
            </w:r>
            <w:r>
              <w:rPr>
                <w:rFonts w:hint="default"/>
                <w:b/>
                <w:bCs/>
                <w:color w:val="auto"/>
                <w:highlight w:val="none"/>
                <w:lang w:val="en-US" w:eastAsia="zh-CN"/>
              </w:rPr>
              <w:fldChar w:fldCharType="end"/>
            </w:r>
          </w:p>
        </w:tc>
        <w:tc>
          <w:tcPr>
            <w:tcW w:w="1544" w:type="dxa"/>
            <w:noWrap w:val="0"/>
            <w:tcMar>
              <w:left w:w="28" w:type="dxa"/>
              <w:right w:w="28" w:type="dxa"/>
            </w:tcMar>
            <w:vAlign w:val="center"/>
          </w:tcPr>
          <w:p w14:paraId="50F0026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在建工程排放量（固体废物产生量）</w:t>
            </w:r>
            <w:r>
              <w:rPr>
                <w:rFonts w:hint="default"/>
                <w:b/>
                <w:bCs/>
                <w:color w:val="auto"/>
                <w:highlight w:val="none"/>
                <w:lang w:val="en-US" w:eastAsia="zh-CN"/>
              </w:rPr>
              <w:fldChar w:fldCharType="begin"/>
            </w:r>
            <w:r>
              <w:rPr>
                <w:rFonts w:hint="default"/>
                <w:b/>
                <w:bCs/>
                <w:color w:val="auto"/>
                <w:highlight w:val="none"/>
                <w:lang w:val="en-US" w:eastAsia="zh-CN"/>
              </w:rPr>
              <w:instrText xml:space="preserve"> = 3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③</w:t>
            </w:r>
            <w:r>
              <w:rPr>
                <w:rFonts w:hint="default"/>
                <w:b/>
                <w:bCs/>
                <w:color w:val="auto"/>
                <w:highlight w:val="none"/>
                <w:lang w:val="en-US" w:eastAsia="zh-CN"/>
              </w:rPr>
              <w:fldChar w:fldCharType="end"/>
            </w:r>
          </w:p>
        </w:tc>
        <w:tc>
          <w:tcPr>
            <w:tcW w:w="1544" w:type="dxa"/>
            <w:noWrap w:val="0"/>
            <w:tcMar>
              <w:left w:w="28" w:type="dxa"/>
              <w:right w:w="28" w:type="dxa"/>
            </w:tcMar>
            <w:vAlign w:val="center"/>
          </w:tcPr>
          <w:p w14:paraId="198CD7B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本项目排放量（固体废物产生量）</w:t>
            </w:r>
            <w:r>
              <w:rPr>
                <w:rFonts w:hint="default"/>
                <w:b/>
                <w:bCs/>
                <w:color w:val="auto"/>
                <w:highlight w:val="none"/>
                <w:lang w:val="en-US" w:eastAsia="zh-CN"/>
              </w:rPr>
              <w:fldChar w:fldCharType="begin"/>
            </w:r>
            <w:r>
              <w:rPr>
                <w:rFonts w:hint="default"/>
                <w:b/>
                <w:bCs/>
                <w:color w:val="auto"/>
                <w:highlight w:val="none"/>
                <w:lang w:val="en-US" w:eastAsia="zh-CN"/>
              </w:rPr>
              <w:instrText xml:space="preserve"> = 4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④</w:t>
            </w:r>
            <w:r>
              <w:rPr>
                <w:rFonts w:hint="default"/>
                <w:b/>
                <w:bCs/>
                <w:color w:val="auto"/>
                <w:highlight w:val="none"/>
                <w:lang w:val="en-US" w:eastAsia="zh-CN"/>
              </w:rPr>
              <w:fldChar w:fldCharType="end"/>
            </w:r>
          </w:p>
        </w:tc>
        <w:tc>
          <w:tcPr>
            <w:tcW w:w="1545" w:type="dxa"/>
            <w:noWrap w:val="0"/>
            <w:tcMar>
              <w:left w:w="28" w:type="dxa"/>
              <w:right w:w="28" w:type="dxa"/>
            </w:tcMar>
            <w:vAlign w:val="center"/>
          </w:tcPr>
          <w:p w14:paraId="43B8267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以新带老削减量（新建项目不填）</w:t>
            </w:r>
            <w:r>
              <w:rPr>
                <w:rFonts w:hint="default"/>
                <w:b/>
                <w:bCs/>
                <w:color w:val="auto"/>
                <w:highlight w:val="none"/>
                <w:lang w:val="en-US" w:eastAsia="zh-CN"/>
              </w:rPr>
              <w:fldChar w:fldCharType="begin"/>
            </w:r>
            <w:r>
              <w:rPr>
                <w:rFonts w:hint="default"/>
                <w:b/>
                <w:bCs/>
                <w:color w:val="auto"/>
                <w:highlight w:val="none"/>
                <w:lang w:val="en-US" w:eastAsia="zh-CN"/>
              </w:rPr>
              <w:instrText xml:space="preserve"> = 5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⑤</w:t>
            </w:r>
            <w:r>
              <w:rPr>
                <w:rFonts w:hint="default"/>
                <w:b/>
                <w:bCs/>
                <w:color w:val="auto"/>
                <w:highlight w:val="none"/>
                <w:lang w:val="en-US" w:eastAsia="zh-CN"/>
              </w:rPr>
              <w:fldChar w:fldCharType="end"/>
            </w:r>
          </w:p>
        </w:tc>
        <w:tc>
          <w:tcPr>
            <w:tcW w:w="1545" w:type="dxa"/>
            <w:noWrap w:val="0"/>
            <w:tcMar>
              <w:left w:w="28" w:type="dxa"/>
              <w:right w:w="28" w:type="dxa"/>
            </w:tcMar>
            <w:vAlign w:val="center"/>
          </w:tcPr>
          <w:p w14:paraId="3A094A8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本项目建成后全厂排放量（固体废物产生量）</w:t>
            </w:r>
            <w:r>
              <w:rPr>
                <w:rFonts w:hint="default"/>
                <w:b/>
                <w:bCs/>
                <w:color w:val="auto"/>
                <w:highlight w:val="none"/>
                <w:lang w:val="en-US" w:eastAsia="zh-CN"/>
              </w:rPr>
              <w:fldChar w:fldCharType="begin"/>
            </w:r>
            <w:r>
              <w:rPr>
                <w:rFonts w:hint="default"/>
                <w:b/>
                <w:bCs/>
                <w:color w:val="auto"/>
                <w:highlight w:val="none"/>
                <w:lang w:val="en-US" w:eastAsia="zh-CN"/>
              </w:rPr>
              <w:instrText xml:space="preserve"> = 6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⑥</w:t>
            </w:r>
            <w:r>
              <w:rPr>
                <w:rFonts w:hint="default"/>
                <w:b/>
                <w:bCs/>
                <w:color w:val="auto"/>
                <w:highlight w:val="none"/>
                <w:lang w:val="en-US" w:eastAsia="zh-CN"/>
              </w:rPr>
              <w:fldChar w:fldCharType="end"/>
            </w:r>
          </w:p>
        </w:tc>
        <w:tc>
          <w:tcPr>
            <w:tcW w:w="1545" w:type="dxa"/>
            <w:noWrap w:val="0"/>
            <w:tcMar>
              <w:left w:w="28" w:type="dxa"/>
              <w:right w:w="28" w:type="dxa"/>
            </w:tcMar>
            <w:vAlign w:val="center"/>
          </w:tcPr>
          <w:p w14:paraId="17BF819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t>变化量</w:t>
            </w:r>
          </w:p>
          <w:p w14:paraId="6B95402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b/>
                <w:bCs/>
                <w:color w:val="auto"/>
                <w:highlight w:val="none"/>
                <w:lang w:val="en-US" w:eastAsia="zh-CN"/>
              </w:rPr>
            </w:pPr>
            <w:r>
              <w:rPr>
                <w:rFonts w:hint="default"/>
                <w:b/>
                <w:bCs/>
                <w:color w:val="auto"/>
                <w:highlight w:val="none"/>
                <w:lang w:val="en-US" w:eastAsia="zh-CN"/>
              </w:rPr>
              <w:fldChar w:fldCharType="begin"/>
            </w:r>
            <w:r>
              <w:rPr>
                <w:rFonts w:hint="default"/>
                <w:b/>
                <w:bCs/>
                <w:color w:val="auto"/>
                <w:highlight w:val="none"/>
                <w:lang w:val="en-US" w:eastAsia="zh-CN"/>
              </w:rPr>
              <w:instrText xml:space="preserve"> = 7 \* GB3 \* MERGEFORMAT </w:instrText>
            </w:r>
            <w:r>
              <w:rPr>
                <w:rFonts w:hint="default"/>
                <w:b/>
                <w:bCs/>
                <w:color w:val="auto"/>
                <w:highlight w:val="none"/>
                <w:lang w:val="en-US" w:eastAsia="zh-CN"/>
              </w:rPr>
              <w:fldChar w:fldCharType="separate"/>
            </w:r>
            <w:r>
              <w:rPr>
                <w:rFonts w:hint="default"/>
                <w:b/>
                <w:bCs/>
                <w:color w:val="auto"/>
                <w:highlight w:val="none"/>
                <w:lang w:val="en-US" w:eastAsia="zh-CN"/>
              </w:rPr>
              <w:t>⑦</w:t>
            </w:r>
            <w:r>
              <w:rPr>
                <w:rFonts w:hint="default"/>
                <w:b/>
                <w:bCs/>
                <w:color w:val="auto"/>
                <w:highlight w:val="none"/>
                <w:lang w:val="en-US" w:eastAsia="zh-CN"/>
              </w:rPr>
              <w:fldChar w:fldCharType="end"/>
            </w:r>
          </w:p>
        </w:tc>
      </w:tr>
      <w:tr w14:paraId="0CD0B2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252" w:type="dxa"/>
            <w:vMerge w:val="restart"/>
            <w:noWrap w:val="0"/>
            <w:vAlign w:val="center"/>
          </w:tcPr>
          <w:p w14:paraId="0D843C0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default"/>
                <w:color w:val="auto"/>
                <w:highlight w:val="none"/>
                <w:lang w:val="en-US" w:eastAsia="zh-CN"/>
              </w:rPr>
              <w:t>废气</w:t>
            </w:r>
          </w:p>
        </w:tc>
        <w:tc>
          <w:tcPr>
            <w:tcW w:w="1836" w:type="dxa"/>
            <w:gridSpan w:val="2"/>
            <w:noWrap w:val="0"/>
            <w:vAlign w:val="center"/>
          </w:tcPr>
          <w:p w14:paraId="0AA578C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非甲烷总烃</w:t>
            </w:r>
          </w:p>
        </w:tc>
        <w:tc>
          <w:tcPr>
            <w:tcW w:w="1544" w:type="dxa"/>
            <w:noWrap w:val="0"/>
            <w:vAlign w:val="center"/>
          </w:tcPr>
          <w:p w14:paraId="2EB50DB3">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eastAsia" w:cs="Times New Roman"/>
                <w:snapToGrid w:val="0"/>
                <w:color w:val="auto"/>
                <w:spacing w:val="4"/>
                <w:sz w:val="21"/>
                <w:szCs w:val="21"/>
                <w:highlight w:val="none"/>
                <w:lang w:val="en-US" w:eastAsia="zh-CN"/>
              </w:rPr>
              <w:t>0.15</w:t>
            </w:r>
            <w:r>
              <w:rPr>
                <w:rFonts w:hint="eastAsia" w:ascii="Times New Roman" w:hAnsi="Times New Roman" w:eastAsia="宋体" w:cs="Times New Roman"/>
                <w:snapToGrid w:val="0"/>
                <w:color w:val="auto"/>
                <w:spacing w:val="4"/>
                <w:sz w:val="21"/>
                <w:szCs w:val="21"/>
                <w:highlight w:val="none"/>
                <w:lang w:val="en-US" w:eastAsia="zh-CN"/>
              </w:rPr>
              <w:t>t/a</w:t>
            </w:r>
          </w:p>
        </w:tc>
        <w:tc>
          <w:tcPr>
            <w:tcW w:w="1544" w:type="dxa"/>
            <w:noWrap w:val="0"/>
            <w:vAlign w:val="center"/>
          </w:tcPr>
          <w:p w14:paraId="63655196">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p w14:paraId="5773CA46">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p w14:paraId="2E30491C">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0BAC28A4">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p w14:paraId="0155BDCB">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p w14:paraId="62094EC7">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18619865">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eastAsia" w:ascii="Times New Roman" w:hAnsi="Times New Roman" w:eastAsia="宋体" w:cs="Times New Roman"/>
                <w:snapToGrid w:val="0"/>
                <w:color w:val="auto"/>
                <w:spacing w:val="4"/>
                <w:sz w:val="21"/>
                <w:szCs w:val="21"/>
                <w:highlight w:val="none"/>
                <w:lang w:val="en-US" w:eastAsia="zh-CN"/>
              </w:rPr>
              <w:t>0.</w:t>
            </w:r>
            <w:r>
              <w:rPr>
                <w:rFonts w:hint="eastAsia" w:cs="Times New Roman"/>
                <w:snapToGrid w:val="0"/>
                <w:color w:val="auto"/>
                <w:spacing w:val="4"/>
                <w:sz w:val="21"/>
                <w:szCs w:val="21"/>
                <w:highlight w:val="none"/>
                <w:lang w:val="en-US" w:eastAsia="zh-CN"/>
              </w:rPr>
              <w:t>20</w:t>
            </w:r>
            <w:r>
              <w:rPr>
                <w:rFonts w:hint="eastAsia" w:ascii="Times New Roman" w:hAnsi="Times New Roman" w:eastAsia="宋体" w:cs="Times New Roman"/>
                <w:snapToGrid w:val="0"/>
                <w:color w:val="auto"/>
                <w:spacing w:val="4"/>
                <w:sz w:val="21"/>
                <w:szCs w:val="21"/>
                <w:highlight w:val="none"/>
                <w:lang w:val="en-US" w:eastAsia="zh-CN"/>
              </w:rPr>
              <w:t>t/a</w:t>
            </w:r>
          </w:p>
        </w:tc>
        <w:tc>
          <w:tcPr>
            <w:tcW w:w="1545" w:type="dxa"/>
            <w:shd w:val="clear" w:color="auto" w:fill="auto"/>
            <w:noWrap w:val="0"/>
            <w:vAlign w:val="center"/>
          </w:tcPr>
          <w:p w14:paraId="7395E02E">
            <w:pPr>
              <w:spacing w:before="125" w:line="201" w:lineRule="auto"/>
              <w:ind w:left="0" w:leftChars="0"/>
              <w:jc w:val="center"/>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0</w:t>
            </w:r>
          </w:p>
        </w:tc>
        <w:tc>
          <w:tcPr>
            <w:tcW w:w="1545" w:type="dxa"/>
            <w:noWrap w:val="0"/>
            <w:vAlign w:val="center"/>
          </w:tcPr>
          <w:p w14:paraId="671693FA">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eastAsia" w:cs="Times New Roman"/>
                <w:snapToGrid w:val="0"/>
                <w:color w:val="auto"/>
                <w:spacing w:val="4"/>
                <w:sz w:val="21"/>
                <w:szCs w:val="21"/>
                <w:highlight w:val="none"/>
                <w:lang w:val="en-US" w:eastAsia="zh-CN"/>
              </w:rPr>
              <w:t>0.35</w:t>
            </w:r>
            <w:r>
              <w:rPr>
                <w:rFonts w:hint="eastAsia" w:ascii="Times New Roman" w:hAnsi="Times New Roman" w:eastAsia="宋体" w:cs="Times New Roman"/>
                <w:snapToGrid w:val="0"/>
                <w:color w:val="auto"/>
                <w:spacing w:val="4"/>
                <w:sz w:val="21"/>
                <w:szCs w:val="21"/>
                <w:highlight w:val="none"/>
                <w:lang w:val="en-US" w:eastAsia="zh-CN"/>
              </w:rPr>
              <w:t>t/a</w:t>
            </w:r>
          </w:p>
        </w:tc>
        <w:tc>
          <w:tcPr>
            <w:tcW w:w="1545" w:type="dxa"/>
            <w:noWrap w:val="0"/>
            <w:vAlign w:val="center"/>
          </w:tcPr>
          <w:p w14:paraId="0DDE3121">
            <w:pPr>
              <w:spacing w:before="125" w:line="201" w:lineRule="auto"/>
              <w:ind w:left="482" w:leftChars="0"/>
              <w:jc w:val="both"/>
              <w:rPr>
                <w:rFonts w:hint="default" w:ascii="Times New Roman" w:hAnsi="Times New Roman" w:eastAsia="宋体" w:cs="Times New Roman"/>
                <w:snapToGrid w:val="0"/>
                <w:color w:val="auto"/>
                <w:spacing w:val="4"/>
                <w:sz w:val="21"/>
                <w:szCs w:val="21"/>
                <w:highlight w:val="none"/>
                <w:lang w:val="en-US" w:eastAsia="zh-CN"/>
              </w:rPr>
            </w:pPr>
            <w:r>
              <w:rPr>
                <w:rFonts w:hint="eastAsia" w:ascii="Times New Roman" w:hAnsi="Times New Roman" w:eastAsia="宋体" w:cs="Times New Roman"/>
                <w:snapToGrid w:val="0"/>
                <w:color w:val="auto"/>
                <w:spacing w:val="4"/>
                <w:sz w:val="21"/>
                <w:szCs w:val="21"/>
                <w:highlight w:val="none"/>
                <w:lang w:val="en-US" w:eastAsia="zh-CN"/>
              </w:rPr>
              <w:t>+</w:t>
            </w:r>
            <w:r>
              <w:rPr>
                <w:rFonts w:hint="eastAsia" w:cs="Times New Roman"/>
                <w:snapToGrid w:val="0"/>
                <w:color w:val="auto"/>
                <w:spacing w:val="4"/>
                <w:sz w:val="21"/>
                <w:szCs w:val="21"/>
                <w:highlight w:val="none"/>
                <w:lang w:val="en-US" w:eastAsia="zh-CN"/>
              </w:rPr>
              <w:t>0.20</w:t>
            </w:r>
            <w:r>
              <w:rPr>
                <w:rFonts w:hint="eastAsia" w:ascii="Times New Roman" w:hAnsi="Times New Roman" w:eastAsia="宋体" w:cs="Times New Roman"/>
                <w:snapToGrid w:val="0"/>
                <w:color w:val="auto"/>
                <w:spacing w:val="4"/>
                <w:sz w:val="21"/>
                <w:szCs w:val="21"/>
                <w:highlight w:val="none"/>
                <w:lang w:val="en-US" w:eastAsia="zh-CN"/>
              </w:rPr>
              <w:t>t/a</w:t>
            </w:r>
          </w:p>
        </w:tc>
      </w:tr>
      <w:tr w14:paraId="11298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252" w:type="dxa"/>
            <w:vMerge w:val="continue"/>
            <w:noWrap w:val="0"/>
            <w:vAlign w:val="center"/>
          </w:tcPr>
          <w:p w14:paraId="0645771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1836" w:type="dxa"/>
            <w:gridSpan w:val="2"/>
            <w:noWrap w:val="0"/>
            <w:vAlign w:val="center"/>
          </w:tcPr>
          <w:p w14:paraId="6D979F8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HCl</w:t>
            </w:r>
          </w:p>
        </w:tc>
        <w:tc>
          <w:tcPr>
            <w:tcW w:w="1544" w:type="dxa"/>
            <w:noWrap w:val="0"/>
            <w:vAlign w:val="center"/>
          </w:tcPr>
          <w:p w14:paraId="5FAEB699">
            <w:pPr>
              <w:spacing w:before="125" w:line="201" w:lineRule="auto"/>
              <w:ind w:left="482" w:leftChars="0"/>
              <w:rPr>
                <w:rFonts w:hint="default" w:cs="Times New Roman"/>
                <w:snapToGrid w:val="0"/>
                <w:color w:val="auto"/>
                <w:spacing w:val="4"/>
                <w:sz w:val="21"/>
                <w:szCs w:val="21"/>
                <w:highlight w:val="none"/>
                <w:lang w:val="en-US" w:eastAsia="zh-CN"/>
              </w:rPr>
            </w:pPr>
            <w:r>
              <w:rPr>
                <w:rFonts w:hint="eastAsia" w:cs="Times New Roman"/>
                <w:snapToGrid w:val="0"/>
                <w:color w:val="auto"/>
                <w:spacing w:val="4"/>
                <w:sz w:val="21"/>
                <w:szCs w:val="21"/>
                <w:highlight w:val="none"/>
                <w:lang w:val="en-US" w:eastAsia="zh-CN"/>
              </w:rPr>
              <w:t>0</w:t>
            </w:r>
          </w:p>
        </w:tc>
        <w:tc>
          <w:tcPr>
            <w:tcW w:w="1544" w:type="dxa"/>
            <w:shd w:val="clear" w:color="auto" w:fill="auto"/>
            <w:noWrap w:val="0"/>
            <w:vAlign w:val="center"/>
          </w:tcPr>
          <w:p w14:paraId="06330856">
            <w:pPr>
              <w:spacing w:before="125" w:line="201" w:lineRule="auto"/>
              <w:ind w:left="482" w:leftChars="0"/>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shd w:val="clear" w:color="auto" w:fill="auto"/>
            <w:noWrap w:val="0"/>
            <w:vAlign w:val="center"/>
          </w:tcPr>
          <w:p w14:paraId="5B0243D8">
            <w:pPr>
              <w:spacing w:before="125" w:line="201" w:lineRule="auto"/>
              <w:ind w:left="482" w:leftChars="0"/>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shd w:val="clear" w:color="auto" w:fill="auto"/>
            <w:noWrap w:val="0"/>
            <w:vAlign w:val="center"/>
          </w:tcPr>
          <w:p w14:paraId="5C7C0594">
            <w:pPr>
              <w:spacing w:before="125" w:line="201" w:lineRule="auto"/>
              <w:ind w:left="0" w:leftChars="0"/>
              <w:jc w:val="center"/>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snapToGrid w:val="0"/>
                <w:color w:val="auto"/>
                <w:spacing w:val="4"/>
                <w:sz w:val="21"/>
                <w:szCs w:val="21"/>
                <w:highlight w:val="none"/>
                <w:lang w:val="en-US" w:eastAsia="zh-CN"/>
              </w:rPr>
              <w:t>0.0050t/a</w:t>
            </w:r>
          </w:p>
        </w:tc>
        <w:tc>
          <w:tcPr>
            <w:tcW w:w="1545" w:type="dxa"/>
            <w:shd w:val="clear" w:color="auto" w:fill="auto"/>
            <w:noWrap w:val="0"/>
            <w:vAlign w:val="center"/>
          </w:tcPr>
          <w:p w14:paraId="6D110948">
            <w:pPr>
              <w:spacing w:before="125" w:line="201" w:lineRule="auto"/>
              <w:ind w:left="0" w:leftChars="0"/>
              <w:jc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0328DAE3">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snapToGrid w:val="0"/>
                <w:color w:val="auto"/>
                <w:spacing w:val="4"/>
                <w:sz w:val="21"/>
                <w:szCs w:val="21"/>
                <w:highlight w:val="none"/>
                <w:lang w:val="en-US" w:eastAsia="zh-CN"/>
              </w:rPr>
              <w:t>0.0050t/a</w:t>
            </w:r>
          </w:p>
        </w:tc>
        <w:tc>
          <w:tcPr>
            <w:tcW w:w="1545" w:type="dxa"/>
            <w:shd w:val="clear" w:color="auto" w:fill="auto"/>
            <w:noWrap w:val="0"/>
            <w:vAlign w:val="center"/>
          </w:tcPr>
          <w:p w14:paraId="5A6BE6ED">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snapToGrid w:val="0"/>
                <w:color w:val="auto"/>
                <w:spacing w:val="4"/>
                <w:sz w:val="21"/>
                <w:szCs w:val="21"/>
                <w:highlight w:val="none"/>
                <w:lang w:val="en-US" w:eastAsia="zh-CN"/>
              </w:rPr>
              <w:t>+0.0050</w:t>
            </w:r>
            <w:r>
              <w:rPr>
                <w:rFonts w:hint="eastAsia" w:ascii="Times New Roman" w:hAnsi="Times New Roman" w:eastAsia="宋体" w:cs="Times New Roman"/>
                <w:snapToGrid w:val="0"/>
                <w:color w:val="auto"/>
                <w:spacing w:val="4"/>
                <w:sz w:val="21"/>
                <w:szCs w:val="21"/>
                <w:highlight w:val="none"/>
                <w:lang w:val="en-US" w:eastAsia="zh-CN"/>
              </w:rPr>
              <w:t>t/a</w:t>
            </w:r>
          </w:p>
        </w:tc>
      </w:tr>
      <w:tr w14:paraId="5243D8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252" w:type="dxa"/>
            <w:vMerge w:val="continue"/>
            <w:noWrap w:val="0"/>
            <w:vAlign w:val="center"/>
          </w:tcPr>
          <w:p w14:paraId="49EF843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1836" w:type="dxa"/>
            <w:gridSpan w:val="2"/>
            <w:noWrap w:val="0"/>
            <w:vAlign w:val="center"/>
          </w:tcPr>
          <w:p w14:paraId="459DB42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vertAlign w:val="subscript"/>
                <w:lang w:val="en-US" w:eastAsia="zh-CN"/>
              </w:rPr>
            </w:pPr>
            <w:r>
              <w:rPr>
                <w:rFonts w:hint="eastAsia"/>
                <w:color w:val="auto"/>
                <w:highlight w:val="none"/>
                <w:lang w:val="en-US" w:eastAsia="zh-CN"/>
              </w:rPr>
              <w:t>NO</w:t>
            </w:r>
            <w:r>
              <w:rPr>
                <w:rFonts w:hint="eastAsia"/>
                <w:color w:val="auto"/>
                <w:highlight w:val="none"/>
                <w:vertAlign w:val="subscript"/>
                <w:lang w:val="en-US" w:eastAsia="zh-CN"/>
              </w:rPr>
              <w:t>X</w:t>
            </w:r>
          </w:p>
        </w:tc>
        <w:tc>
          <w:tcPr>
            <w:tcW w:w="1544" w:type="dxa"/>
            <w:noWrap w:val="0"/>
            <w:vAlign w:val="center"/>
          </w:tcPr>
          <w:p w14:paraId="35823904">
            <w:pPr>
              <w:spacing w:before="125" w:line="201" w:lineRule="auto"/>
              <w:ind w:left="482" w:leftChars="0"/>
              <w:rPr>
                <w:rFonts w:hint="default" w:cs="Times New Roman"/>
                <w:snapToGrid w:val="0"/>
                <w:color w:val="auto"/>
                <w:spacing w:val="4"/>
                <w:sz w:val="21"/>
                <w:szCs w:val="21"/>
                <w:highlight w:val="none"/>
                <w:lang w:val="en-US" w:eastAsia="zh-CN"/>
              </w:rPr>
            </w:pPr>
            <w:r>
              <w:rPr>
                <w:rFonts w:hint="eastAsia" w:cs="Times New Roman"/>
                <w:snapToGrid w:val="0"/>
                <w:color w:val="auto"/>
                <w:spacing w:val="4"/>
                <w:sz w:val="21"/>
                <w:szCs w:val="21"/>
                <w:highlight w:val="none"/>
                <w:lang w:val="en-US" w:eastAsia="zh-CN"/>
              </w:rPr>
              <w:t>0</w:t>
            </w:r>
          </w:p>
        </w:tc>
        <w:tc>
          <w:tcPr>
            <w:tcW w:w="1544" w:type="dxa"/>
            <w:shd w:val="clear" w:color="auto" w:fill="auto"/>
            <w:noWrap w:val="0"/>
            <w:vAlign w:val="center"/>
          </w:tcPr>
          <w:p w14:paraId="006B7CA7">
            <w:pPr>
              <w:spacing w:before="125" w:line="201" w:lineRule="auto"/>
              <w:ind w:left="482" w:leftChars="0"/>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shd w:val="clear" w:color="auto" w:fill="auto"/>
            <w:noWrap w:val="0"/>
            <w:vAlign w:val="center"/>
          </w:tcPr>
          <w:p w14:paraId="6732D29A">
            <w:pPr>
              <w:spacing w:before="125" w:line="201" w:lineRule="auto"/>
              <w:ind w:left="482" w:leftChars="0"/>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shd w:val="clear" w:color="auto" w:fill="auto"/>
            <w:noWrap w:val="0"/>
            <w:vAlign w:val="center"/>
          </w:tcPr>
          <w:p w14:paraId="39C99452">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snapToGrid w:val="0"/>
                <w:color w:val="auto"/>
                <w:spacing w:val="4"/>
                <w:sz w:val="21"/>
                <w:szCs w:val="21"/>
                <w:highlight w:val="none"/>
                <w:lang w:val="en-US" w:eastAsia="zh-CN"/>
              </w:rPr>
              <w:t>0.0050t/a</w:t>
            </w:r>
          </w:p>
        </w:tc>
        <w:tc>
          <w:tcPr>
            <w:tcW w:w="1545" w:type="dxa"/>
            <w:shd w:val="clear" w:color="auto" w:fill="auto"/>
            <w:noWrap w:val="0"/>
            <w:vAlign w:val="center"/>
          </w:tcPr>
          <w:p w14:paraId="3D154A07">
            <w:pPr>
              <w:spacing w:before="125" w:line="201" w:lineRule="auto"/>
              <w:ind w:left="0" w:leftChars="0"/>
              <w:jc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2527BE8F">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snapToGrid w:val="0"/>
                <w:color w:val="auto"/>
                <w:spacing w:val="4"/>
                <w:sz w:val="21"/>
                <w:szCs w:val="21"/>
                <w:highlight w:val="none"/>
                <w:lang w:val="en-US" w:eastAsia="zh-CN"/>
              </w:rPr>
              <w:t>0.0050t/a</w:t>
            </w:r>
          </w:p>
        </w:tc>
        <w:tc>
          <w:tcPr>
            <w:tcW w:w="1545" w:type="dxa"/>
            <w:shd w:val="clear" w:color="auto" w:fill="auto"/>
            <w:noWrap w:val="0"/>
            <w:vAlign w:val="center"/>
          </w:tcPr>
          <w:p w14:paraId="72DF82C2">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snapToGrid w:val="0"/>
                <w:color w:val="auto"/>
                <w:spacing w:val="4"/>
                <w:sz w:val="21"/>
                <w:szCs w:val="21"/>
                <w:highlight w:val="none"/>
                <w:lang w:val="en-US" w:eastAsia="zh-CN"/>
              </w:rPr>
              <w:t>+0.0050</w:t>
            </w:r>
            <w:r>
              <w:rPr>
                <w:rFonts w:hint="eastAsia" w:ascii="Times New Roman" w:hAnsi="Times New Roman" w:eastAsia="宋体" w:cs="Times New Roman"/>
                <w:snapToGrid w:val="0"/>
                <w:color w:val="auto"/>
                <w:spacing w:val="4"/>
                <w:sz w:val="21"/>
                <w:szCs w:val="21"/>
                <w:highlight w:val="none"/>
                <w:lang w:val="en-US" w:eastAsia="zh-CN"/>
              </w:rPr>
              <w:t>t/a</w:t>
            </w:r>
          </w:p>
        </w:tc>
      </w:tr>
      <w:tr w14:paraId="0B32D3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restart"/>
            <w:noWrap w:val="0"/>
            <w:vAlign w:val="center"/>
          </w:tcPr>
          <w:p w14:paraId="1F3A6A9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default"/>
                <w:color w:val="auto"/>
                <w:highlight w:val="none"/>
                <w:lang w:val="en-US" w:eastAsia="zh-CN"/>
              </w:rPr>
              <w:t>废水</w:t>
            </w:r>
          </w:p>
        </w:tc>
        <w:tc>
          <w:tcPr>
            <w:tcW w:w="918" w:type="dxa"/>
            <w:vMerge w:val="restart"/>
            <w:noWrap w:val="0"/>
            <w:vAlign w:val="center"/>
          </w:tcPr>
          <w:p w14:paraId="5610011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p>
          <w:p w14:paraId="407AAA2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p w14:paraId="124EF59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r>
              <w:rPr>
                <w:rFonts w:hint="eastAsia"/>
                <w:color w:val="auto"/>
                <w:highlight w:val="none"/>
                <w:lang w:val="en-US" w:eastAsia="zh-CN"/>
              </w:rPr>
              <w:t>生产</w:t>
            </w:r>
          </w:p>
          <w:p w14:paraId="1A23BEF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废水</w:t>
            </w:r>
          </w:p>
          <w:p w14:paraId="1A0DA90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shd w:val="clear" w:color="auto" w:fill="auto"/>
            <w:noWrap w:val="0"/>
            <w:vAlign w:val="center"/>
          </w:tcPr>
          <w:p w14:paraId="4E29746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COD</w:t>
            </w:r>
          </w:p>
        </w:tc>
        <w:tc>
          <w:tcPr>
            <w:tcW w:w="1544" w:type="dxa"/>
            <w:noWrap w:val="0"/>
            <w:vAlign w:val="center"/>
          </w:tcPr>
          <w:p w14:paraId="3F225DCB">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0.00088t/a</w:t>
            </w:r>
          </w:p>
        </w:tc>
        <w:tc>
          <w:tcPr>
            <w:tcW w:w="1544" w:type="dxa"/>
            <w:noWrap w:val="0"/>
            <w:vAlign w:val="center"/>
          </w:tcPr>
          <w:p w14:paraId="0967F288">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5447B2C9">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3A4CFF81">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0.0026</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1545" w:type="dxa"/>
            <w:shd w:val="clear" w:color="auto" w:fill="auto"/>
            <w:noWrap w:val="0"/>
            <w:vAlign w:val="center"/>
          </w:tcPr>
          <w:p w14:paraId="4E4498DF">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45" w:type="dxa"/>
            <w:noWrap w:val="0"/>
            <w:vAlign w:val="center"/>
          </w:tcPr>
          <w:p w14:paraId="15398282">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0.0035</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1545" w:type="dxa"/>
            <w:noWrap w:val="0"/>
            <w:vAlign w:val="center"/>
          </w:tcPr>
          <w:p w14:paraId="500DC708">
            <w:pPr>
              <w:widowControl/>
              <w:spacing w:before="0" w:line="240" w:lineRule="auto"/>
              <w:ind w:left="0" w:leftChars="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0.0026</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r>
      <w:tr w14:paraId="7DA1AF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1252" w:type="dxa"/>
            <w:vMerge w:val="continue"/>
            <w:noWrap w:val="0"/>
            <w:vAlign w:val="center"/>
          </w:tcPr>
          <w:p w14:paraId="2440C7F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color w:val="auto"/>
                <w:highlight w:val="none"/>
              </w:rPr>
            </w:pPr>
          </w:p>
        </w:tc>
        <w:tc>
          <w:tcPr>
            <w:tcW w:w="918" w:type="dxa"/>
            <w:vMerge w:val="continue"/>
            <w:noWrap w:val="0"/>
            <w:vAlign w:val="center"/>
          </w:tcPr>
          <w:p w14:paraId="488C446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shd w:val="clear" w:color="auto" w:fill="auto"/>
            <w:noWrap w:val="0"/>
            <w:vAlign w:val="center"/>
          </w:tcPr>
          <w:p w14:paraId="1E7526C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BOD</w:t>
            </w:r>
            <w:r>
              <w:rPr>
                <w:rFonts w:hint="eastAsia"/>
                <w:color w:val="auto"/>
                <w:highlight w:val="none"/>
                <w:vertAlign w:val="subscript"/>
                <w:lang w:val="en-US" w:eastAsia="zh-CN"/>
              </w:rPr>
              <w:t>5</w:t>
            </w:r>
          </w:p>
        </w:tc>
        <w:tc>
          <w:tcPr>
            <w:tcW w:w="1544" w:type="dxa"/>
            <w:noWrap w:val="0"/>
            <w:vAlign w:val="center"/>
          </w:tcPr>
          <w:p w14:paraId="3E1F3299">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0.00032t/a</w:t>
            </w:r>
          </w:p>
        </w:tc>
        <w:tc>
          <w:tcPr>
            <w:tcW w:w="1544" w:type="dxa"/>
            <w:noWrap w:val="0"/>
            <w:vAlign w:val="center"/>
          </w:tcPr>
          <w:p w14:paraId="7A7B7859">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2D589D1D">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04FD4E3A">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0.00098</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1545" w:type="dxa"/>
            <w:shd w:val="clear" w:color="auto" w:fill="auto"/>
            <w:noWrap w:val="0"/>
            <w:vAlign w:val="center"/>
          </w:tcPr>
          <w:p w14:paraId="6DF06F14">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45" w:type="dxa"/>
            <w:noWrap w:val="0"/>
            <w:vAlign w:val="center"/>
          </w:tcPr>
          <w:p w14:paraId="0EC96A5B">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0.0013</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1545" w:type="dxa"/>
            <w:noWrap w:val="0"/>
            <w:vAlign w:val="center"/>
          </w:tcPr>
          <w:p w14:paraId="57F585FF">
            <w:pPr>
              <w:widowControl/>
              <w:spacing w:before="0" w:line="240" w:lineRule="auto"/>
              <w:ind w:left="0" w:leftChars="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0.00098</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r>
      <w:tr w14:paraId="42FD05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69A94C9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2C880DC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shd w:val="clear" w:color="auto" w:fill="auto"/>
            <w:noWrap w:val="0"/>
            <w:vAlign w:val="center"/>
          </w:tcPr>
          <w:p w14:paraId="0C24875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SS</w:t>
            </w:r>
          </w:p>
        </w:tc>
        <w:tc>
          <w:tcPr>
            <w:tcW w:w="1544" w:type="dxa"/>
            <w:noWrap w:val="0"/>
            <w:vAlign w:val="center"/>
          </w:tcPr>
          <w:p w14:paraId="6E8E9BC8">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0.00059t/a</w:t>
            </w:r>
          </w:p>
        </w:tc>
        <w:tc>
          <w:tcPr>
            <w:tcW w:w="1544" w:type="dxa"/>
            <w:noWrap w:val="0"/>
            <w:vAlign w:val="center"/>
          </w:tcPr>
          <w:p w14:paraId="1E3D1DB8">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565A4E24">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6A561995">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0.0035</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1545" w:type="dxa"/>
            <w:shd w:val="clear" w:color="auto" w:fill="auto"/>
            <w:noWrap w:val="0"/>
            <w:vAlign w:val="center"/>
          </w:tcPr>
          <w:p w14:paraId="1B68E37C">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45" w:type="dxa"/>
            <w:noWrap w:val="0"/>
            <w:vAlign w:val="center"/>
          </w:tcPr>
          <w:p w14:paraId="146E2D93">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0.0041</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1545" w:type="dxa"/>
            <w:noWrap w:val="0"/>
            <w:vAlign w:val="center"/>
          </w:tcPr>
          <w:p w14:paraId="05692DC4">
            <w:pPr>
              <w:widowControl/>
              <w:spacing w:before="0" w:line="240" w:lineRule="auto"/>
              <w:ind w:left="0" w:leftChars="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0.0035</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r>
      <w:tr w14:paraId="1E9E4B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5A34BD8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22C8869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shd w:val="clear" w:color="auto" w:fill="auto"/>
            <w:noWrap w:val="0"/>
            <w:vAlign w:val="center"/>
          </w:tcPr>
          <w:p w14:paraId="3C6F40C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NH</w:t>
            </w:r>
            <w:r>
              <w:rPr>
                <w:rFonts w:hint="eastAsia"/>
                <w:color w:val="auto"/>
                <w:highlight w:val="none"/>
                <w:vertAlign w:val="subscript"/>
                <w:lang w:val="en-US" w:eastAsia="zh-CN"/>
              </w:rPr>
              <w:t>3</w:t>
            </w:r>
            <w:r>
              <w:rPr>
                <w:rFonts w:hint="eastAsia"/>
                <w:color w:val="auto"/>
                <w:highlight w:val="none"/>
                <w:lang w:val="en-US" w:eastAsia="zh-CN"/>
              </w:rPr>
              <w:t>-N</w:t>
            </w:r>
          </w:p>
        </w:tc>
        <w:tc>
          <w:tcPr>
            <w:tcW w:w="1544" w:type="dxa"/>
            <w:noWrap w:val="0"/>
            <w:vAlign w:val="center"/>
          </w:tcPr>
          <w:p w14:paraId="2708F6D7">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0.000011t/a</w:t>
            </w:r>
          </w:p>
        </w:tc>
        <w:tc>
          <w:tcPr>
            <w:tcW w:w="1544" w:type="dxa"/>
            <w:noWrap w:val="0"/>
            <w:vAlign w:val="center"/>
          </w:tcPr>
          <w:p w14:paraId="68CE7296">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4EC82E24">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snapToGrid w:val="0"/>
                <w:color w:val="auto"/>
                <w:spacing w:val="4"/>
                <w:sz w:val="21"/>
                <w:szCs w:val="21"/>
                <w:highlight w:val="none"/>
                <w:lang w:val="en-US" w:eastAsia="zh-CN"/>
              </w:rPr>
              <w:t>/</w:t>
            </w:r>
          </w:p>
        </w:tc>
        <w:tc>
          <w:tcPr>
            <w:tcW w:w="1544" w:type="dxa"/>
            <w:noWrap w:val="0"/>
            <w:vAlign w:val="center"/>
          </w:tcPr>
          <w:p w14:paraId="3C78430E">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0.000082</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c>
          <w:tcPr>
            <w:tcW w:w="1545" w:type="dxa"/>
            <w:shd w:val="clear" w:color="auto" w:fill="auto"/>
            <w:noWrap w:val="0"/>
            <w:vAlign w:val="center"/>
          </w:tcPr>
          <w:p w14:paraId="1A1A1B2D">
            <w:pPr>
              <w:widowControl/>
              <w:spacing w:before="0" w:line="240" w:lineRule="auto"/>
              <w:ind w:left="0" w:leftChars="0"/>
              <w:jc w:val="center"/>
              <w:textAlignment w:val="center"/>
              <w:rPr>
                <w:rFonts w:hint="default" w:ascii="Times New Roman" w:hAnsi="Times New Roman" w:eastAsia="宋体" w:cs="Times New Roman"/>
                <w:snapToGrid/>
                <w:color w:val="auto"/>
                <w:spacing w:val="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p>
        </w:tc>
        <w:tc>
          <w:tcPr>
            <w:tcW w:w="1545" w:type="dxa"/>
            <w:noWrap w:val="0"/>
            <w:vAlign w:val="center"/>
          </w:tcPr>
          <w:p w14:paraId="272901D6">
            <w:pPr>
              <w:keepNext w:val="0"/>
              <w:keepLines w:val="0"/>
              <w:widowControl/>
              <w:suppressLineNumbers w:val="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0.000093</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1545" w:type="dxa"/>
            <w:noWrap w:val="0"/>
            <w:vAlign w:val="center"/>
          </w:tcPr>
          <w:p w14:paraId="72D808AF">
            <w:pPr>
              <w:widowControl/>
              <w:spacing w:before="0" w:line="240" w:lineRule="auto"/>
              <w:ind w:left="0" w:leftChars="0"/>
              <w:jc w:val="center"/>
              <w:textAlignment w:val="center"/>
              <w:rPr>
                <w:rFonts w:hint="default" w:ascii="Times New Roman" w:hAnsi="Times New Roman" w:eastAsia="宋体" w:cs="Times New Roman"/>
                <w:snapToGrid w:val="0"/>
                <w:color w:val="auto"/>
                <w:spacing w:val="4"/>
                <w:sz w:val="21"/>
                <w:szCs w:val="21"/>
                <w:highlight w:val="none"/>
                <w:lang w:val="en-US" w:eastAsia="zh-CN"/>
              </w:rPr>
            </w:pPr>
            <w:r>
              <w:rPr>
                <w:rFonts w:hint="eastAsia"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0.000082</w:t>
            </w:r>
            <w:r>
              <w:rPr>
                <w:rFonts w:hint="eastAsia" w:ascii="Times New Roman" w:hAnsi="Times New Roman" w:eastAsia="宋体" w:cs="Times New Roman"/>
                <w:snapToGrid w:val="0"/>
                <w:color w:val="auto"/>
                <w:spacing w:val="4"/>
                <w:sz w:val="21"/>
                <w:szCs w:val="21"/>
                <w:highlight w:val="none"/>
                <w:lang w:val="en-US" w:eastAsia="zh-CN"/>
              </w:rPr>
              <w:t>t/a</w:t>
            </w:r>
            <w:r>
              <w:rPr>
                <w:rFonts w:hint="default" w:ascii="Times New Roman" w:hAnsi="Times New Roman" w:eastAsia="宋体" w:cs="Times New Roman"/>
                <w:i w:val="0"/>
                <w:iCs w:val="0"/>
                <w:color w:val="auto"/>
                <w:kern w:val="0"/>
                <w:sz w:val="21"/>
                <w:szCs w:val="21"/>
                <w:u w:val="none"/>
                <w:lang w:val="en-US" w:eastAsia="zh-CN" w:bidi="ar"/>
              </w:rPr>
              <w:t xml:space="preserve"> </w:t>
            </w:r>
          </w:p>
        </w:tc>
      </w:tr>
      <w:tr w14:paraId="6A1A5D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6BFA915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restart"/>
            <w:noWrap w:val="0"/>
            <w:vAlign w:val="center"/>
          </w:tcPr>
          <w:p w14:paraId="72D40C6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r>
              <w:rPr>
                <w:rFonts w:hint="eastAsia"/>
                <w:color w:val="auto"/>
                <w:highlight w:val="none"/>
                <w:lang w:val="en-US" w:eastAsia="zh-CN"/>
              </w:rPr>
              <w:t>生活</w:t>
            </w:r>
          </w:p>
          <w:p w14:paraId="329609A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污水</w:t>
            </w:r>
          </w:p>
        </w:tc>
        <w:tc>
          <w:tcPr>
            <w:tcW w:w="918" w:type="dxa"/>
            <w:shd w:val="clear" w:color="auto" w:fill="auto"/>
            <w:noWrap w:val="0"/>
            <w:vAlign w:val="center"/>
          </w:tcPr>
          <w:p w14:paraId="078F244F">
            <w:pPr>
              <w:keepNext w:val="0"/>
              <w:keepLines w:val="0"/>
              <w:widowControl/>
              <w:suppressLineNumbers w:val="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COD</w:t>
            </w:r>
          </w:p>
        </w:tc>
        <w:tc>
          <w:tcPr>
            <w:tcW w:w="1544" w:type="dxa"/>
            <w:noWrap w:val="0"/>
            <w:vAlign w:val="center"/>
          </w:tcPr>
          <w:p w14:paraId="27C6701E">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0.28t/a</w:t>
            </w:r>
          </w:p>
        </w:tc>
        <w:tc>
          <w:tcPr>
            <w:tcW w:w="1544" w:type="dxa"/>
            <w:noWrap w:val="0"/>
            <w:vAlign w:val="center"/>
          </w:tcPr>
          <w:p w14:paraId="3DAB9D70">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625BADD1">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0BC706B9">
            <w:pPr>
              <w:spacing w:before="125" w:line="201" w:lineRule="auto"/>
              <w:ind w:left="0" w:leftChars="0"/>
              <w:jc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0EC0722E">
            <w:pPr>
              <w:spacing w:before="125" w:line="201" w:lineRule="auto"/>
              <w:ind w:left="0" w:left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noWrap w:val="0"/>
            <w:vAlign w:val="center"/>
          </w:tcPr>
          <w:p w14:paraId="5D357C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0.28t/a</w:t>
            </w:r>
          </w:p>
        </w:tc>
        <w:tc>
          <w:tcPr>
            <w:tcW w:w="1545" w:type="dxa"/>
            <w:noWrap w:val="0"/>
            <w:vAlign w:val="center"/>
          </w:tcPr>
          <w:p w14:paraId="5FC582E1">
            <w:pPr>
              <w:spacing w:before="125" w:line="201" w:lineRule="auto"/>
              <w:ind w:left="0" w:leftChars="0"/>
              <w:jc w:val="center"/>
              <w:rPr>
                <w:rFonts w:hint="default" w:ascii="Times New Roman" w:hAnsi="Times New Roman" w:cs="Times New Roman"/>
                <w:snapToGrid w:val="0"/>
                <w:color w:val="auto"/>
                <w:spacing w:val="4"/>
                <w:sz w:val="21"/>
                <w:szCs w:val="21"/>
                <w:highlight w:val="none"/>
                <w:lang w:val="en-US" w:eastAsia="zh-CN"/>
              </w:rPr>
            </w:pPr>
            <w:r>
              <w:rPr>
                <w:rFonts w:hint="default" w:ascii="Times New Roman" w:hAnsi="Times New Roman" w:cs="Times New Roman"/>
                <w:snapToGrid w:val="0"/>
                <w:color w:val="auto"/>
                <w:spacing w:val="4"/>
                <w:sz w:val="21"/>
                <w:szCs w:val="21"/>
                <w:highlight w:val="none"/>
                <w:lang w:val="en-US" w:eastAsia="zh-CN"/>
              </w:rPr>
              <w:t>0</w:t>
            </w:r>
          </w:p>
        </w:tc>
      </w:tr>
      <w:tr w14:paraId="3B2BBC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1819AEF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15F686A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p>
        </w:tc>
        <w:tc>
          <w:tcPr>
            <w:tcW w:w="918" w:type="dxa"/>
            <w:shd w:val="clear" w:color="auto" w:fill="auto"/>
            <w:noWrap w:val="0"/>
            <w:vAlign w:val="center"/>
          </w:tcPr>
          <w:p w14:paraId="6AE6300F">
            <w:pPr>
              <w:keepNext w:val="0"/>
              <w:keepLines w:val="0"/>
              <w:widowControl/>
              <w:suppressLineNumbers w:val="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BOD</w:t>
            </w:r>
            <w:r>
              <w:rPr>
                <w:rFonts w:hint="default" w:ascii="Times New Roman" w:hAnsi="Times New Roman" w:eastAsia="宋体" w:cs="Times New Roman"/>
                <w:i w:val="0"/>
                <w:iCs w:val="0"/>
                <w:color w:val="auto"/>
                <w:kern w:val="0"/>
                <w:sz w:val="22"/>
                <w:szCs w:val="22"/>
                <w:u w:val="none"/>
                <w:vertAlign w:val="subscript"/>
                <w:lang w:val="en-US" w:eastAsia="zh-CN" w:bidi="ar"/>
              </w:rPr>
              <w:t>5</w:t>
            </w:r>
          </w:p>
        </w:tc>
        <w:tc>
          <w:tcPr>
            <w:tcW w:w="1544" w:type="dxa"/>
            <w:noWrap w:val="0"/>
            <w:vAlign w:val="center"/>
          </w:tcPr>
          <w:p w14:paraId="7D330B8F">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0.13t/a</w:t>
            </w:r>
          </w:p>
        </w:tc>
        <w:tc>
          <w:tcPr>
            <w:tcW w:w="1544" w:type="dxa"/>
            <w:noWrap w:val="0"/>
            <w:vAlign w:val="center"/>
          </w:tcPr>
          <w:p w14:paraId="7C8573A1">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178D2309">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73AC3D9F">
            <w:pPr>
              <w:spacing w:before="125" w:line="201" w:lineRule="auto"/>
              <w:ind w:left="0" w:leftChars="0"/>
              <w:jc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5FFFCEF6">
            <w:pPr>
              <w:spacing w:before="125" w:line="201" w:lineRule="auto"/>
              <w:ind w:left="0" w:left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noWrap w:val="0"/>
            <w:vAlign w:val="center"/>
          </w:tcPr>
          <w:p w14:paraId="6D560B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0.13t/a</w:t>
            </w:r>
          </w:p>
        </w:tc>
        <w:tc>
          <w:tcPr>
            <w:tcW w:w="1545" w:type="dxa"/>
            <w:noWrap w:val="0"/>
            <w:vAlign w:val="center"/>
          </w:tcPr>
          <w:p w14:paraId="00394145">
            <w:pPr>
              <w:spacing w:before="125" w:line="201" w:lineRule="auto"/>
              <w:ind w:left="0" w:leftChars="0"/>
              <w:jc w:val="center"/>
              <w:rPr>
                <w:rFonts w:hint="default" w:ascii="Times New Roman" w:hAnsi="Times New Roman" w:cs="Times New Roman"/>
                <w:snapToGrid w:val="0"/>
                <w:color w:val="auto"/>
                <w:spacing w:val="4"/>
                <w:sz w:val="21"/>
                <w:szCs w:val="21"/>
                <w:highlight w:val="none"/>
                <w:lang w:val="en-US" w:eastAsia="zh-CN"/>
              </w:rPr>
            </w:pPr>
            <w:r>
              <w:rPr>
                <w:rFonts w:hint="default" w:ascii="Times New Roman" w:hAnsi="Times New Roman" w:cs="Times New Roman"/>
                <w:snapToGrid w:val="0"/>
                <w:color w:val="auto"/>
                <w:spacing w:val="4"/>
                <w:sz w:val="21"/>
                <w:szCs w:val="21"/>
                <w:highlight w:val="none"/>
                <w:lang w:val="en-US" w:eastAsia="zh-CN"/>
              </w:rPr>
              <w:t>0</w:t>
            </w:r>
          </w:p>
        </w:tc>
      </w:tr>
      <w:tr w14:paraId="5FAB95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383386E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28D1F74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p>
        </w:tc>
        <w:tc>
          <w:tcPr>
            <w:tcW w:w="918" w:type="dxa"/>
            <w:shd w:val="clear" w:color="auto" w:fill="auto"/>
            <w:noWrap w:val="0"/>
            <w:vAlign w:val="center"/>
          </w:tcPr>
          <w:p w14:paraId="3FA165FF">
            <w:pPr>
              <w:keepNext w:val="0"/>
              <w:keepLines w:val="0"/>
              <w:widowControl/>
              <w:suppressLineNumbers w:val="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SS</w:t>
            </w:r>
          </w:p>
        </w:tc>
        <w:tc>
          <w:tcPr>
            <w:tcW w:w="1544" w:type="dxa"/>
            <w:noWrap w:val="0"/>
            <w:vAlign w:val="center"/>
          </w:tcPr>
          <w:p w14:paraId="69B04C36">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0.12t/a</w:t>
            </w:r>
          </w:p>
        </w:tc>
        <w:tc>
          <w:tcPr>
            <w:tcW w:w="1544" w:type="dxa"/>
            <w:noWrap w:val="0"/>
            <w:vAlign w:val="center"/>
          </w:tcPr>
          <w:p w14:paraId="212AC8C3">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2E4C51F1">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7F0E01CA">
            <w:pPr>
              <w:spacing w:before="125" w:line="201" w:lineRule="auto"/>
              <w:ind w:left="0" w:leftChars="0"/>
              <w:jc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2DD81336">
            <w:pPr>
              <w:spacing w:before="125" w:line="201" w:lineRule="auto"/>
              <w:ind w:left="0" w:left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noWrap w:val="0"/>
            <w:vAlign w:val="center"/>
          </w:tcPr>
          <w:p w14:paraId="74110E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0.12t/a</w:t>
            </w:r>
          </w:p>
        </w:tc>
        <w:tc>
          <w:tcPr>
            <w:tcW w:w="1545" w:type="dxa"/>
            <w:noWrap w:val="0"/>
            <w:vAlign w:val="center"/>
          </w:tcPr>
          <w:p w14:paraId="4E16C0D8">
            <w:pPr>
              <w:spacing w:before="125" w:line="201" w:lineRule="auto"/>
              <w:ind w:left="0" w:leftChars="0"/>
              <w:jc w:val="center"/>
              <w:rPr>
                <w:rFonts w:hint="default" w:ascii="Times New Roman" w:hAnsi="Times New Roman" w:cs="Times New Roman"/>
                <w:snapToGrid w:val="0"/>
                <w:color w:val="auto"/>
                <w:spacing w:val="4"/>
                <w:sz w:val="21"/>
                <w:szCs w:val="21"/>
                <w:highlight w:val="none"/>
                <w:lang w:val="en-US" w:eastAsia="zh-CN"/>
              </w:rPr>
            </w:pPr>
            <w:r>
              <w:rPr>
                <w:rFonts w:hint="default" w:ascii="Times New Roman" w:hAnsi="Times New Roman" w:cs="Times New Roman"/>
                <w:snapToGrid w:val="0"/>
                <w:color w:val="auto"/>
                <w:spacing w:val="4"/>
                <w:sz w:val="21"/>
                <w:szCs w:val="21"/>
                <w:highlight w:val="none"/>
                <w:lang w:val="en-US" w:eastAsia="zh-CN"/>
              </w:rPr>
              <w:t>0</w:t>
            </w:r>
          </w:p>
        </w:tc>
      </w:tr>
      <w:tr w14:paraId="07E076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2517F8C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292D68A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p>
        </w:tc>
        <w:tc>
          <w:tcPr>
            <w:tcW w:w="918" w:type="dxa"/>
            <w:shd w:val="clear" w:color="auto" w:fill="auto"/>
            <w:noWrap w:val="0"/>
            <w:vAlign w:val="center"/>
          </w:tcPr>
          <w:p w14:paraId="2B823D0A">
            <w:pPr>
              <w:keepNext w:val="0"/>
              <w:keepLines w:val="0"/>
              <w:widowControl/>
              <w:suppressLineNumbers w:val="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NH</w:t>
            </w:r>
            <w:r>
              <w:rPr>
                <w:rFonts w:hint="default" w:ascii="Times New Roman" w:hAnsi="Times New Roman" w:eastAsia="宋体" w:cs="Times New Roman"/>
                <w:i w:val="0"/>
                <w:iCs w:val="0"/>
                <w:color w:val="auto"/>
                <w:kern w:val="0"/>
                <w:sz w:val="22"/>
                <w:szCs w:val="22"/>
                <w:u w:val="none"/>
                <w:vertAlign w:val="subscript"/>
                <w:lang w:val="en-US" w:eastAsia="zh-CN" w:bidi="ar"/>
              </w:rPr>
              <w:t>3</w:t>
            </w:r>
            <w:r>
              <w:rPr>
                <w:rFonts w:hint="default" w:ascii="Times New Roman" w:hAnsi="Times New Roman" w:eastAsia="宋体" w:cs="Times New Roman"/>
                <w:i w:val="0"/>
                <w:iCs w:val="0"/>
                <w:color w:val="auto"/>
                <w:kern w:val="0"/>
                <w:sz w:val="22"/>
                <w:szCs w:val="22"/>
                <w:u w:val="none"/>
                <w:lang w:val="en-US" w:eastAsia="zh-CN" w:bidi="ar"/>
              </w:rPr>
              <w:t>-N</w:t>
            </w:r>
          </w:p>
        </w:tc>
        <w:tc>
          <w:tcPr>
            <w:tcW w:w="1544" w:type="dxa"/>
            <w:noWrap w:val="0"/>
            <w:vAlign w:val="center"/>
          </w:tcPr>
          <w:p w14:paraId="08D9B1B4">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0.031t/a</w:t>
            </w:r>
          </w:p>
        </w:tc>
        <w:tc>
          <w:tcPr>
            <w:tcW w:w="1544" w:type="dxa"/>
            <w:noWrap w:val="0"/>
            <w:vAlign w:val="center"/>
          </w:tcPr>
          <w:p w14:paraId="33ABC1E6">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5F26B520">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52B2A25B">
            <w:pPr>
              <w:spacing w:before="125" w:line="201" w:lineRule="auto"/>
              <w:ind w:left="0" w:leftChars="0"/>
              <w:jc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08A3E298">
            <w:pPr>
              <w:spacing w:before="125" w:line="201" w:lineRule="auto"/>
              <w:ind w:left="0" w:left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noWrap w:val="0"/>
            <w:vAlign w:val="center"/>
          </w:tcPr>
          <w:p w14:paraId="09E033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0.031t/a</w:t>
            </w:r>
          </w:p>
        </w:tc>
        <w:tc>
          <w:tcPr>
            <w:tcW w:w="1545" w:type="dxa"/>
            <w:noWrap w:val="0"/>
            <w:vAlign w:val="center"/>
          </w:tcPr>
          <w:p w14:paraId="0ED96AD8">
            <w:pPr>
              <w:spacing w:before="125" w:line="201" w:lineRule="auto"/>
              <w:ind w:left="0" w:leftChars="0"/>
              <w:jc w:val="center"/>
              <w:rPr>
                <w:rFonts w:hint="default" w:ascii="Times New Roman" w:hAnsi="Times New Roman" w:cs="Times New Roman"/>
                <w:snapToGrid w:val="0"/>
                <w:color w:val="auto"/>
                <w:spacing w:val="4"/>
                <w:sz w:val="21"/>
                <w:szCs w:val="21"/>
                <w:highlight w:val="none"/>
                <w:lang w:val="en-US" w:eastAsia="zh-CN"/>
              </w:rPr>
            </w:pPr>
            <w:r>
              <w:rPr>
                <w:rFonts w:hint="default" w:ascii="Times New Roman" w:hAnsi="Times New Roman" w:cs="Times New Roman"/>
                <w:snapToGrid w:val="0"/>
                <w:color w:val="auto"/>
                <w:spacing w:val="4"/>
                <w:sz w:val="21"/>
                <w:szCs w:val="21"/>
                <w:highlight w:val="none"/>
                <w:lang w:val="en-US" w:eastAsia="zh-CN"/>
              </w:rPr>
              <w:t>0</w:t>
            </w:r>
          </w:p>
        </w:tc>
      </w:tr>
      <w:tr w14:paraId="3CD53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2B703DC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5ED84D4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p>
        </w:tc>
        <w:tc>
          <w:tcPr>
            <w:tcW w:w="918" w:type="dxa"/>
            <w:shd w:val="clear" w:color="auto" w:fill="auto"/>
            <w:noWrap w:val="0"/>
            <w:vAlign w:val="center"/>
          </w:tcPr>
          <w:p w14:paraId="19F05B3D">
            <w:pPr>
              <w:keepNext w:val="0"/>
              <w:keepLines w:val="0"/>
              <w:widowControl/>
              <w:suppressLineNumbers w:val="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TN</w:t>
            </w:r>
          </w:p>
        </w:tc>
        <w:tc>
          <w:tcPr>
            <w:tcW w:w="1544" w:type="dxa"/>
            <w:noWrap w:val="0"/>
            <w:vAlign w:val="center"/>
          </w:tcPr>
          <w:p w14:paraId="72D8D319">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0.043t/a</w:t>
            </w:r>
          </w:p>
        </w:tc>
        <w:tc>
          <w:tcPr>
            <w:tcW w:w="1544" w:type="dxa"/>
            <w:noWrap w:val="0"/>
            <w:vAlign w:val="center"/>
          </w:tcPr>
          <w:p w14:paraId="08044E82">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3171743A">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3DB4E86E">
            <w:pPr>
              <w:spacing w:before="125" w:line="201" w:lineRule="auto"/>
              <w:ind w:left="0" w:leftChars="0"/>
              <w:jc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3EF74B2C">
            <w:pPr>
              <w:spacing w:before="125" w:line="201" w:lineRule="auto"/>
              <w:ind w:left="0" w:left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noWrap w:val="0"/>
            <w:vAlign w:val="center"/>
          </w:tcPr>
          <w:p w14:paraId="480E77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0.043t/a</w:t>
            </w:r>
          </w:p>
        </w:tc>
        <w:tc>
          <w:tcPr>
            <w:tcW w:w="1545" w:type="dxa"/>
            <w:noWrap w:val="0"/>
            <w:vAlign w:val="center"/>
          </w:tcPr>
          <w:p w14:paraId="23E6586C">
            <w:pPr>
              <w:spacing w:before="125" w:line="201" w:lineRule="auto"/>
              <w:ind w:left="0" w:leftChars="0"/>
              <w:jc w:val="center"/>
              <w:rPr>
                <w:rFonts w:hint="default" w:ascii="Times New Roman" w:hAnsi="Times New Roman" w:cs="Times New Roman"/>
                <w:snapToGrid w:val="0"/>
                <w:color w:val="auto"/>
                <w:spacing w:val="4"/>
                <w:sz w:val="21"/>
                <w:szCs w:val="21"/>
                <w:highlight w:val="none"/>
                <w:lang w:val="en-US" w:eastAsia="zh-CN"/>
              </w:rPr>
            </w:pPr>
            <w:r>
              <w:rPr>
                <w:rFonts w:hint="default" w:ascii="Times New Roman" w:hAnsi="Times New Roman" w:cs="Times New Roman"/>
                <w:snapToGrid w:val="0"/>
                <w:color w:val="auto"/>
                <w:spacing w:val="4"/>
                <w:sz w:val="21"/>
                <w:szCs w:val="21"/>
                <w:highlight w:val="none"/>
                <w:lang w:val="en-US" w:eastAsia="zh-CN"/>
              </w:rPr>
              <w:t>0</w:t>
            </w:r>
          </w:p>
        </w:tc>
      </w:tr>
      <w:tr w14:paraId="0A9DF0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1252" w:type="dxa"/>
            <w:vMerge w:val="continue"/>
            <w:noWrap w:val="0"/>
            <w:vAlign w:val="center"/>
          </w:tcPr>
          <w:p w14:paraId="38E9E5B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918" w:type="dxa"/>
            <w:vMerge w:val="continue"/>
            <w:noWrap w:val="0"/>
            <w:vAlign w:val="center"/>
          </w:tcPr>
          <w:p w14:paraId="0B275C9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p>
        </w:tc>
        <w:tc>
          <w:tcPr>
            <w:tcW w:w="918" w:type="dxa"/>
            <w:shd w:val="clear" w:color="auto" w:fill="auto"/>
            <w:noWrap w:val="0"/>
            <w:vAlign w:val="center"/>
          </w:tcPr>
          <w:p w14:paraId="6ED4458A">
            <w:pPr>
              <w:keepNext w:val="0"/>
              <w:keepLines w:val="0"/>
              <w:widowControl/>
              <w:suppressLineNumbers w:val="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TP</w:t>
            </w:r>
          </w:p>
        </w:tc>
        <w:tc>
          <w:tcPr>
            <w:tcW w:w="1544" w:type="dxa"/>
            <w:noWrap w:val="0"/>
            <w:vAlign w:val="center"/>
          </w:tcPr>
          <w:p w14:paraId="53990B65">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0.0031t/a</w:t>
            </w:r>
          </w:p>
        </w:tc>
        <w:tc>
          <w:tcPr>
            <w:tcW w:w="1544" w:type="dxa"/>
            <w:noWrap w:val="0"/>
            <w:vAlign w:val="center"/>
          </w:tcPr>
          <w:p w14:paraId="5BF6A145">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46ADAE4E">
            <w:pPr>
              <w:spacing w:before="125" w:line="201" w:lineRule="auto"/>
              <w:ind w:left="482" w:leftChars="0"/>
              <w:rPr>
                <w:rFonts w:hint="default" w:ascii="Times New Roman" w:hAnsi="Times New Roman" w:eastAsia="宋体" w:cs="Times New Roman"/>
                <w:snapToGrid w:val="0"/>
                <w:color w:val="auto"/>
                <w:spacing w:val="4"/>
                <w:sz w:val="21"/>
                <w:szCs w:val="21"/>
                <w:highlight w:val="none"/>
                <w:lang w:val="en-US" w:eastAsia="zh-CN"/>
              </w:rPr>
            </w:pPr>
          </w:p>
        </w:tc>
        <w:tc>
          <w:tcPr>
            <w:tcW w:w="1544" w:type="dxa"/>
            <w:noWrap w:val="0"/>
            <w:vAlign w:val="center"/>
          </w:tcPr>
          <w:p w14:paraId="038C4463">
            <w:pPr>
              <w:spacing w:before="125" w:line="201" w:lineRule="auto"/>
              <w:ind w:left="0" w:leftChars="0"/>
              <w:jc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2191AAB4">
            <w:pPr>
              <w:spacing w:before="125" w:line="201" w:lineRule="auto"/>
              <w:ind w:left="0" w:left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w:t>
            </w:r>
          </w:p>
        </w:tc>
        <w:tc>
          <w:tcPr>
            <w:tcW w:w="1545" w:type="dxa"/>
            <w:noWrap w:val="0"/>
            <w:vAlign w:val="center"/>
          </w:tcPr>
          <w:p w14:paraId="4B1C64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0.0031t/a</w:t>
            </w:r>
          </w:p>
        </w:tc>
        <w:tc>
          <w:tcPr>
            <w:tcW w:w="1545" w:type="dxa"/>
            <w:noWrap w:val="0"/>
            <w:vAlign w:val="center"/>
          </w:tcPr>
          <w:p w14:paraId="3BBF0AE4">
            <w:pPr>
              <w:spacing w:before="125" w:line="201" w:lineRule="auto"/>
              <w:ind w:left="0" w:leftChars="0"/>
              <w:jc w:val="center"/>
              <w:rPr>
                <w:rFonts w:hint="default" w:ascii="Times New Roman" w:hAnsi="Times New Roman" w:cs="Times New Roman"/>
                <w:snapToGrid w:val="0"/>
                <w:color w:val="auto"/>
                <w:spacing w:val="4"/>
                <w:sz w:val="21"/>
                <w:szCs w:val="21"/>
                <w:highlight w:val="none"/>
                <w:lang w:val="en-US" w:eastAsia="zh-CN"/>
              </w:rPr>
            </w:pPr>
            <w:r>
              <w:rPr>
                <w:rFonts w:hint="default" w:ascii="Times New Roman" w:hAnsi="Times New Roman" w:cs="Times New Roman"/>
                <w:snapToGrid w:val="0"/>
                <w:color w:val="auto"/>
                <w:spacing w:val="4"/>
                <w:sz w:val="21"/>
                <w:szCs w:val="21"/>
                <w:highlight w:val="none"/>
                <w:lang w:val="en-US" w:eastAsia="zh-CN"/>
              </w:rPr>
              <w:t>0</w:t>
            </w:r>
          </w:p>
        </w:tc>
      </w:tr>
      <w:tr w14:paraId="73E752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2" w:type="dxa"/>
            <w:noWrap w:val="0"/>
            <w:vAlign w:val="center"/>
          </w:tcPr>
          <w:p w14:paraId="0CD7C528">
            <w:pPr>
              <w:keepNext w:val="0"/>
              <w:keepLines w:val="0"/>
              <w:pageBreakBefore w:val="0"/>
              <w:widowControl w:val="0"/>
              <w:kinsoku/>
              <w:wordWrap/>
              <w:overflowPunct/>
              <w:topLinePunct w:val="0"/>
              <w:autoSpaceDE/>
              <w:autoSpaceDN/>
              <w:bidi w:val="0"/>
              <w:adjustRightInd/>
              <w:snapToGrid/>
              <w:spacing w:before="157" w:beforeLines="50" w:line="260" w:lineRule="exact"/>
              <w:jc w:val="both"/>
              <w:textAlignment w:val="auto"/>
              <w:rPr>
                <w:rFonts w:hint="default"/>
                <w:color w:val="auto"/>
                <w:highlight w:val="none"/>
                <w:lang w:val="en-US" w:eastAsia="zh-CN"/>
              </w:rPr>
            </w:pPr>
            <w:r>
              <w:rPr>
                <w:rFonts w:hint="default"/>
                <w:color w:val="auto"/>
                <w:highlight w:val="none"/>
                <w:lang w:val="en-US" w:eastAsia="zh-CN"/>
              </w:rPr>
              <w:t>一般固废</w:t>
            </w:r>
          </w:p>
        </w:tc>
        <w:tc>
          <w:tcPr>
            <w:tcW w:w="1836" w:type="dxa"/>
            <w:gridSpan w:val="2"/>
            <w:noWrap w:val="0"/>
            <w:vAlign w:val="center"/>
          </w:tcPr>
          <w:p w14:paraId="3AB190E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废包装材料</w:t>
            </w:r>
          </w:p>
        </w:tc>
        <w:tc>
          <w:tcPr>
            <w:tcW w:w="1544" w:type="dxa"/>
            <w:noWrap w:val="0"/>
            <w:vAlign w:val="center"/>
          </w:tcPr>
          <w:p w14:paraId="176C205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0.5t/a</w:t>
            </w:r>
          </w:p>
        </w:tc>
        <w:tc>
          <w:tcPr>
            <w:tcW w:w="1544" w:type="dxa"/>
            <w:noWrap w:val="0"/>
            <w:vAlign w:val="center"/>
          </w:tcPr>
          <w:p w14:paraId="72C6225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rPr>
            </w:pPr>
            <w:r>
              <w:rPr>
                <w:rFonts w:hint="default"/>
                <w:color w:val="auto"/>
                <w:sz w:val="21"/>
                <w:szCs w:val="21"/>
                <w:highlight w:val="none"/>
              </w:rPr>
              <w:t>/</w:t>
            </w:r>
          </w:p>
        </w:tc>
        <w:tc>
          <w:tcPr>
            <w:tcW w:w="1544" w:type="dxa"/>
            <w:noWrap w:val="0"/>
            <w:vAlign w:val="center"/>
          </w:tcPr>
          <w:p w14:paraId="10796B8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rPr>
            </w:pPr>
            <w:r>
              <w:rPr>
                <w:rFonts w:hint="default"/>
                <w:color w:val="auto"/>
                <w:sz w:val="21"/>
                <w:szCs w:val="21"/>
                <w:highlight w:val="none"/>
              </w:rPr>
              <w:t>/</w:t>
            </w:r>
          </w:p>
        </w:tc>
        <w:tc>
          <w:tcPr>
            <w:tcW w:w="1544" w:type="dxa"/>
            <w:noWrap w:val="0"/>
            <w:vAlign w:val="center"/>
          </w:tcPr>
          <w:p w14:paraId="774D39A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0.5t/a</w:t>
            </w:r>
          </w:p>
        </w:tc>
        <w:tc>
          <w:tcPr>
            <w:tcW w:w="1545" w:type="dxa"/>
            <w:shd w:val="clear" w:color="auto" w:fill="auto"/>
            <w:noWrap w:val="0"/>
            <w:vAlign w:val="center"/>
          </w:tcPr>
          <w:p w14:paraId="2AB34902">
            <w:pPr>
              <w:spacing w:before="125" w:line="201" w:lineRule="auto"/>
              <w:ind w:left="0" w:leftChars="0"/>
              <w:jc w:val="center"/>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0</w:t>
            </w:r>
          </w:p>
        </w:tc>
        <w:tc>
          <w:tcPr>
            <w:tcW w:w="1545" w:type="dxa"/>
            <w:noWrap w:val="0"/>
            <w:vAlign w:val="center"/>
          </w:tcPr>
          <w:p w14:paraId="7DF6BD0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1t/a</w:t>
            </w:r>
          </w:p>
        </w:tc>
        <w:tc>
          <w:tcPr>
            <w:tcW w:w="1545" w:type="dxa"/>
            <w:noWrap w:val="0"/>
            <w:vAlign w:val="center"/>
          </w:tcPr>
          <w:p w14:paraId="0C4197E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rPr>
            </w:pPr>
            <w:r>
              <w:rPr>
                <w:rFonts w:hint="eastAsia"/>
                <w:color w:val="auto"/>
                <w:sz w:val="21"/>
                <w:szCs w:val="21"/>
                <w:highlight w:val="none"/>
                <w:lang w:val="en-US" w:eastAsia="zh-CN"/>
              </w:rPr>
              <w:t>+</w:t>
            </w:r>
            <w:r>
              <w:rPr>
                <w:rFonts w:hint="default"/>
                <w:color w:val="auto"/>
                <w:sz w:val="21"/>
                <w:szCs w:val="21"/>
                <w:highlight w:val="none"/>
                <w:lang w:val="en-US" w:eastAsia="zh-CN"/>
              </w:rPr>
              <w:t>0.</w:t>
            </w:r>
            <w:r>
              <w:rPr>
                <w:rFonts w:hint="eastAsia"/>
                <w:color w:val="auto"/>
                <w:sz w:val="21"/>
                <w:szCs w:val="21"/>
                <w:highlight w:val="none"/>
                <w:lang w:val="en-US" w:eastAsia="zh-CN"/>
              </w:rPr>
              <w:t>5</w:t>
            </w:r>
            <w:r>
              <w:rPr>
                <w:rFonts w:hint="default"/>
                <w:color w:val="auto"/>
                <w:sz w:val="21"/>
                <w:szCs w:val="21"/>
                <w:highlight w:val="none"/>
                <w:lang w:val="en-US" w:eastAsia="zh-CN"/>
              </w:rPr>
              <w:t>t/a</w:t>
            </w:r>
          </w:p>
        </w:tc>
      </w:tr>
      <w:tr w14:paraId="38BA2D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1252" w:type="dxa"/>
            <w:vMerge w:val="restart"/>
            <w:noWrap w:val="0"/>
            <w:vAlign w:val="center"/>
          </w:tcPr>
          <w:p w14:paraId="02F4A94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r>
              <w:rPr>
                <w:rFonts w:hint="eastAsia"/>
                <w:color w:val="auto"/>
                <w:highlight w:val="none"/>
                <w:lang w:val="en-US" w:eastAsia="zh-CN"/>
              </w:rPr>
              <w:t>危险</w:t>
            </w:r>
          </w:p>
          <w:p w14:paraId="35ED9F9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废物</w:t>
            </w:r>
          </w:p>
        </w:tc>
        <w:tc>
          <w:tcPr>
            <w:tcW w:w="1836" w:type="dxa"/>
            <w:gridSpan w:val="2"/>
            <w:noWrap w:val="0"/>
            <w:vAlign w:val="center"/>
          </w:tcPr>
          <w:p w14:paraId="758E68A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实验室废液</w:t>
            </w:r>
          </w:p>
        </w:tc>
        <w:tc>
          <w:tcPr>
            <w:tcW w:w="1544" w:type="dxa"/>
            <w:noWrap w:val="0"/>
            <w:vAlign w:val="center"/>
          </w:tcPr>
          <w:p w14:paraId="49D29C6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33.83t/a</w:t>
            </w:r>
          </w:p>
        </w:tc>
        <w:tc>
          <w:tcPr>
            <w:tcW w:w="1544" w:type="dxa"/>
            <w:noWrap w:val="0"/>
            <w:vAlign w:val="center"/>
          </w:tcPr>
          <w:p w14:paraId="342576C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rPr>
            </w:pPr>
            <w:r>
              <w:rPr>
                <w:rFonts w:hint="eastAsia"/>
                <w:color w:val="auto"/>
                <w:sz w:val="21"/>
                <w:szCs w:val="21"/>
                <w:highlight w:val="none"/>
                <w:lang w:val="en-US" w:eastAsia="zh-CN"/>
              </w:rPr>
              <w:t>/</w:t>
            </w:r>
          </w:p>
        </w:tc>
        <w:tc>
          <w:tcPr>
            <w:tcW w:w="1544" w:type="dxa"/>
            <w:noWrap w:val="0"/>
            <w:vAlign w:val="center"/>
          </w:tcPr>
          <w:p w14:paraId="7350083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rPr>
            </w:pPr>
            <w:r>
              <w:rPr>
                <w:rFonts w:hint="eastAsia"/>
                <w:color w:val="auto"/>
                <w:sz w:val="21"/>
                <w:szCs w:val="21"/>
                <w:highlight w:val="none"/>
                <w:lang w:val="en-US" w:eastAsia="zh-CN"/>
              </w:rPr>
              <w:t>/</w:t>
            </w:r>
          </w:p>
        </w:tc>
        <w:tc>
          <w:tcPr>
            <w:tcW w:w="1544" w:type="dxa"/>
            <w:noWrap w:val="0"/>
            <w:vAlign w:val="center"/>
          </w:tcPr>
          <w:p w14:paraId="087EA6F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34.6t/a</w:t>
            </w:r>
          </w:p>
        </w:tc>
        <w:tc>
          <w:tcPr>
            <w:tcW w:w="1545" w:type="dxa"/>
            <w:shd w:val="clear" w:color="auto" w:fill="auto"/>
            <w:noWrap w:val="0"/>
            <w:vAlign w:val="center"/>
          </w:tcPr>
          <w:p w14:paraId="0506CC03">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0</w:t>
            </w:r>
          </w:p>
        </w:tc>
        <w:tc>
          <w:tcPr>
            <w:tcW w:w="1545" w:type="dxa"/>
            <w:noWrap w:val="0"/>
            <w:vAlign w:val="center"/>
          </w:tcPr>
          <w:p w14:paraId="05CAABF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rPr>
            </w:pPr>
            <w:r>
              <w:rPr>
                <w:rFonts w:hint="eastAsia"/>
                <w:color w:val="auto"/>
                <w:sz w:val="21"/>
                <w:szCs w:val="21"/>
                <w:highlight w:val="none"/>
                <w:lang w:val="en-US" w:eastAsia="zh-CN"/>
              </w:rPr>
              <w:t>68.43t/a</w:t>
            </w:r>
          </w:p>
        </w:tc>
        <w:tc>
          <w:tcPr>
            <w:tcW w:w="1545" w:type="dxa"/>
            <w:noWrap w:val="0"/>
            <w:vAlign w:val="center"/>
          </w:tcPr>
          <w:p w14:paraId="43A8DE0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+34.6tt/a</w:t>
            </w:r>
          </w:p>
        </w:tc>
      </w:tr>
      <w:tr w14:paraId="6A333E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2" w:type="dxa"/>
            <w:vMerge w:val="continue"/>
            <w:noWrap w:val="0"/>
            <w:vAlign w:val="center"/>
          </w:tcPr>
          <w:p w14:paraId="7FA876E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color w:val="auto"/>
                <w:highlight w:val="none"/>
              </w:rPr>
            </w:pPr>
          </w:p>
        </w:tc>
        <w:tc>
          <w:tcPr>
            <w:tcW w:w="1836" w:type="dxa"/>
            <w:gridSpan w:val="2"/>
            <w:noWrap w:val="0"/>
            <w:vAlign w:val="center"/>
          </w:tcPr>
          <w:p w14:paraId="415350C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沾染化学试剂的一次性实验用品等</w:t>
            </w:r>
          </w:p>
        </w:tc>
        <w:tc>
          <w:tcPr>
            <w:tcW w:w="1544" w:type="dxa"/>
            <w:noWrap w:val="0"/>
            <w:vAlign w:val="center"/>
          </w:tcPr>
          <w:p w14:paraId="6A249C9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1.5t/a</w:t>
            </w:r>
          </w:p>
        </w:tc>
        <w:tc>
          <w:tcPr>
            <w:tcW w:w="1544" w:type="dxa"/>
            <w:noWrap w:val="0"/>
            <w:vAlign w:val="center"/>
          </w:tcPr>
          <w:p w14:paraId="4F08294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6157342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6806457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1.5t/a</w:t>
            </w:r>
          </w:p>
        </w:tc>
        <w:tc>
          <w:tcPr>
            <w:tcW w:w="1545" w:type="dxa"/>
            <w:shd w:val="clear" w:color="auto" w:fill="auto"/>
            <w:noWrap w:val="0"/>
            <w:vAlign w:val="center"/>
          </w:tcPr>
          <w:p w14:paraId="3D954122">
            <w:pPr>
              <w:spacing w:before="125" w:line="201" w:lineRule="auto"/>
              <w:ind w:left="0" w:leftChars="0"/>
              <w:jc w:val="center"/>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0</w:t>
            </w:r>
          </w:p>
        </w:tc>
        <w:tc>
          <w:tcPr>
            <w:tcW w:w="1545" w:type="dxa"/>
            <w:noWrap w:val="0"/>
            <w:vAlign w:val="center"/>
          </w:tcPr>
          <w:p w14:paraId="089A4E6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3.0t/a</w:t>
            </w:r>
          </w:p>
        </w:tc>
        <w:tc>
          <w:tcPr>
            <w:tcW w:w="1545" w:type="dxa"/>
            <w:noWrap w:val="0"/>
            <w:vAlign w:val="center"/>
          </w:tcPr>
          <w:p w14:paraId="35FFD68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+1.5t/a</w:t>
            </w:r>
          </w:p>
        </w:tc>
      </w:tr>
      <w:tr w14:paraId="708344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2" w:type="dxa"/>
            <w:vMerge w:val="continue"/>
            <w:noWrap w:val="0"/>
            <w:vAlign w:val="center"/>
          </w:tcPr>
          <w:p w14:paraId="06E8453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color w:val="auto"/>
                <w:highlight w:val="none"/>
              </w:rPr>
            </w:pPr>
          </w:p>
        </w:tc>
        <w:tc>
          <w:tcPr>
            <w:tcW w:w="1836" w:type="dxa"/>
            <w:gridSpan w:val="2"/>
            <w:noWrap w:val="0"/>
            <w:vAlign w:val="center"/>
          </w:tcPr>
          <w:p w14:paraId="487BD70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实验废弃物</w:t>
            </w:r>
          </w:p>
        </w:tc>
        <w:tc>
          <w:tcPr>
            <w:tcW w:w="1544" w:type="dxa"/>
            <w:noWrap w:val="0"/>
            <w:vAlign w:val="center"/>
          </w:tcPr>
          <w:p w14:paraId="2B29662A">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0.01t/a</w:t>
            </w:r>
          </w:p>
        </w:tc>
        <w:tc>
          <w:tcPr>
            <w:tcW w:w="1544" w:type="dxa"/>
            <w:noWrap w:val="0"/>
            <w:vAlign w:val="center"/>
          </w:tcPr>
          <w:p w14:paraId="5A0D330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416442F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6AE1D25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1.03t/a</w:t>
            </w:r>
          </w:p>
        </w:tc>
        <w:tc>
          <w:tcPr>
            <w:tcW w:w="1545" w:type="dxa"/>
            <w:shd w:val="clear" w:color="auto" w:fill="auto"/>
            <w:noWrap w:val="0"/>
            <w:vAlign w:val="center"/>
          </w:tcPr>
          <w:p w14:paraId="23FA260E">
            <w:pPr>
              <w:spacing w:before="125" w:line="201" w:lineRule="auto"/>
              <w:ind w:left="0" w:leftChars="0"/>
              <w:jc w:val="center"/>
              <w:rPr>
                <w:rFonts w:hint="eastAsia" w:ascii="Times New Roman" w:hAnsi="Times New Roman" w:eastAsia="宋体" w:cs="Times New Roman"/>
                <w:snapToGrid w:val="0"/>
                <w:color w:val="auto"/>
                <w:spacing w:val="4"/>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w:t>
            </w:r>
          </w:p>
        </w:tc>
        <w:tc>
          <w:tcPr>
            <w:tcW w:w="1545" w:type="dxa"/>
            <w:noWrap w:val="0"/>
            <w:vAlign w:val="center"/>
          </w:tcPr>
          <w:p w14:paraId="67E2199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1.04/a</w:t>
            </w:r>
          </w:p>
        </w:tc>
        <w:tc>
          <w:tcPr>
            <w:tcW w:w="1545" w:type="dxa"/>
            <w:noWrap w:val="0"/>
            <w:vAlign w:val="center"/>
          </w:tcPr>
          <w:p w14:paraId="195E55E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+1.03t/a</w:t>
            </w:r>
          </w:p>
        </w:tc>
      </w:tr>
      <w:tr w14:paraId="064763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2" w:type="dxa"/>
            <w:vMerge w:val="continue"/>
            <w:noWrap w:val="0"/>
            <w:vAlign w:val="center"/>
          </w:tcPr>
          <w:p w14:paraId="691CC6F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color w:val="auto"/>
                <w:highlight w:val="none"/>
              </w:rPr>
            </w:pPr>
          </w:p>
        </w:tc>
        <w:tc>
          <w:tcPr>
            <w:tcW w:w="1836" w:type="dxa"/>
            <w:gridSpan w:val="2"/>
            <w:noWrap w:val="0"/>
            <w:vAlign w:val="center"/>
          </w:tcPr>
          <w:p w14:paraId="75D6166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废化学试剂</w:t>
            </w:r>
          </w:p>
        </w:tc>
        <w:tc>
          <w:tcPr>
            <w:tcW w:w="1544" w:type="dxa"/>
            <w:noWrap w:val="0"/>
            <w:vAlign w:val="center"/>
          </w:tcPr>
          <w:p w14:paraId="484DBA1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0.01t/a</w:t>
            </w:r>
          </w:p>
        </w:tc>
        <w:tc>
          <w:tcPr>
            <w:tcW w:w="1544" w:type="dxa"/>
            <w:noWrap w:val="0"/>
            <w:vAlign w:val="center"/>
          </w:tcPr>
          <w:p w14:paraId="0C58E24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285E996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405AD93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0.01</w:t>
            </w:r>
            <w:r>
              <w:rPr>
                <w:rFonts w:hint="eastAsia" w:ascii="Times New Roman" w:hAnsi="Times New Roman" w:eastAsia="宋体" w:cs="Times New Roman"/>
                <w:snapToGrid w:val="0"/>
                <w:color w:val="auto"/>
                <w:spacing w:val="4"/>
                <w:sz w:val="21"/>
                <w:szCs w:val="21"/>
                <w:highlight w:val="none"/>
                <w:lang w:val="en-US" w:eastAsia="zh-CN"/>
              </w:rPr>
              <w:t>t/a</w:t>
            </w:r>
          </w:p>
        </w:tc>
        <w:tc>
          <w:tcPr>
            <w:tcW w:w="1545" w:type="dxa"/>
            <w:shd w:val="clear" w:color="auto" w:fill="auto"/>
            <w:noWrap w:val="0"/>
            <w:vAlign w:val="center"/>
          </w:tcPr>
          <w:p w14:paraId="4F64ADAD">
            <w:pPr>
              <w:spacing w:before="125" w:line="201" w:lineRule="auto"/>
              <w:ind w:left="0" w:leftChars="0"/>
              <w:jc w:val="center"/>
              <w:rPr>
                <w:rFonts w:hint="eastAsia" w:ascii="Times New Roman" w:hAnsi="Times New Roman" w:eastAsia="宋体" w:cs="Times New Roman"/>
                <w:snapToGrid w:val="0"/>
                <w:color w:val="auto"/>
                <w:spacing w:val="4"/>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w:t>
            </w:r>
          </w:p>
        </w:tc>
        <w:tc>
          <w:tcPr>
            <w:tcW w:w="1545" w:type="dxa"/>
            <w:noWrap w:val="0"/>
            <w:vAlign w:val="center"/>
          </w:tcPr>
          <w:p w14:paraId="0FAE7ED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0.02</w:t>
            </w:r>
            <w:r>
              <w:rPr>
                <w:rFonts w:hint="eastAsia" w:ascii="Times New Roman" w:hAnsi="Times New Roman" w:eastAsia="宋体" w:cs="Times New Roman"/>
                <w:snapToGrid w:val="0"/>
                <w:color w:val="auto"/>
                <w:spacing w:val="4"/>
                <w:sz w:val="21"/>
                <w:szCs w:val="21"/>
                <w:highlight w:val="none"/>
                <w:lang w:val="en-US" w:eastAsia="zh-CN"/>
              </w:rPr>
              <w:t>t/a</w:t>
            </w:r>
          </w:p>
        </w:tc>
        <w:tc>
          <w:tcPr>
            <w:tcW w:w="1545" w:type="dxa"/>
            <w:noWrap w:val="0"/>
            <w:vAlign w:val="center"/>
          </w:tcPr>
          <w:p w14:paraId="408C9E09">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0.14</w:t>
            </w:r>
            <w:r>
              <w:rPr>
                <w:rFonts w:hint="eastAsia" w:ascii="Times New Roman" w:hAnsi="Times New Roman" w:eastAsia="宋体" w:cs="Times New Roman"/>
                <w:snapToGrid w:val="0"/>
                <w:color w:val="auto"/>
                <w:spacing w:val="4"/>
                <w:sz w:val="21"/>
                <w:szCs w:val="21"/>
                <w:highlight w:val="none"/>
                <w:lang w:val="en-US" w:eastAsia="zh-CN"/>
              </w:rPr>
              <w:t>t/a</w:t>
            </w:r>
          </w:p>
        </w:tc>
      </w:tr>
      <w:tr w14:paraId="4C3580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2" w:type="dxa"/>
            <w:vMerge w:val="continue"/>
            <w:noWrap w:val="0"/>
            <w:vAlign w:val="center"/>
          </w:tcPr>
          <w:p w14:paraId="63D687F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color w:val="auto"/>
                <w:highlight w:val="none"/>
              </w:rPr>
            </w:pPr>
          </w:p>
        </w:tc>
        <w:tc>
          <w:tcPr>
            <w:tcW w:w="1836" w:type="dxa"/>
            <w:gridSpan w:val="2"/>
            <w:shd w:val="clear" w:color="auto" w:fill="auto"/>
            <w:noWrap w:val="0"/>
            <w:vAlign w:val="center"/>
          </w:tcPr>
          <w:p w14:paraId="68FB9B0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废水处理污泥</w:t>
            </w:r>
          </w:p>
        </w:tc>
        <w:tc>
          <w:tcPr>
            <w:tcW w:w="1544" w:type="dxa"/>
            <w:shd w:val="clear" w:color="auto" w:fill="auto"/>
            <w:noWrap w:val="0"/>
            <w:vAlign w:val="center"/>
          </w:tcPr>
          <w:p w14:paraId="52CED45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0.29kg/a</w:t>
            </w:r>
          </w:p>
        </w:tc>
        <w:tc>
          <w:tcPr>
            <w:tcW w:w="1544" w:type="dxa"/>
            <w:shd w:val="clear" w:color="auto" w:fill="auto"/>
            <w:noWrap w:val="0"/>
            <w:vAlign w:val="center"/>
          </w:tcPr>
          <w:p w14:paraId="0E085C07">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w:t>
            </w:r>
          </w:p>
        </w:tc>
        <w:tc>
          <w:tcPr>
            <w:tcW w:w="1544" w:type="dxa"/>
            <w:shd w:val="clear" w:color="auto" w:fill="auto"/>
            <w:noWrap w:val="0"/>
            <w:vAlign w:val="center"/>
          </w:tcPr>
          <w:p w14:paraId="0FF7B05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w:t>
            </w:r>
          </w:p>
        </w:tc>
        <w:tc>
          <w:tcPr>
            <w:tcW w:w="1544" w:type="dxa"/>
            <w:shd w:val="clear" w:color="auto" w:fill="auto"/>
            <w:noWrap w:val="0"/>
            <w:vAlign w:val="center"/>
          </w:tcPr>
          <w:p w14:paraId="25B119C3">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1.21kg/a</w:t>
            </w:r>
          </w:p>
        </w:tc>
        <w:tc>
          <w:tcPr>
            <w:tcW w:w="1545" w:type="dxa"/>
            <w:shd w:val="clear" w:color="auto" w:fill="auto"/>
            <w:noWrap w:val="0"/>
            <w:vAlign w:val="center"/>
          </w:tcPr>
          <w:p w14:paraId="64C1EDB7">
            <w:pPr>
              <w:spacing w:before="125" w:line="201" w:lineRule="auto"/>
              <w:ind w:left="0" w:leftChars="0"/>
              <w:jc w:val="center"/>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2C2F6FA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1.5kg/a</w:t>
            </w:r>
          </w:p>
        </w:tc>
        <w:tc>
          <w:tcPr>
            <w:tcW w:w="1545" w:type="dxa"/>
            <w:shd w:val="clear" w:color="auto" w:fill="auto"/>
            <w:noWrap w:val="0"/>
            <w:vAlign w:val="center"/>
          </w:tcPr>
          <w:p w14:paraId="57CCF26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+1.21kg/a</w:t>
            </w:r>
          </w:p>
        </w:tc>
      </w:tr>
      <w:tr w14:paraId="0417FB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2" w:type="dxa"/>
            <w:vMerge w:val="continue"/>
            <w:noWrap w:val="0"/>
            <w:vAlign w:val="center"/>
          </w:tcPr>
          <w:p w14:paraId="2475306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color w:val="auto"/>
                <w:highlight w:val="none"/>
              </w:rPr>
            </w:pPr>
          </w:p>
        </w:tc>
        <w:tc>
          <w:tcPr>
            <w:tcW w:w="1836" w:type="dxa"/>
            <w:gridSpan w:val="2"/>
            <w:shd w:val="clear" w:color="auto" w:fill="auto"/>
            <w:noWrap w:val="0"/>
            <w:vAlign w:val="center"/>
          </w:tcPr>
          <w:p w14:paraId="239EE41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废SDG</w:t>
            </w:r>
          </w:p>
        </w:tc>
        <w:tc>
          <w:tcPr>
            <w:tcW w:w="1544" w:type="dxa"/>
            <w:shd w:val="clear" w:color="auto" w:fill="auto"/>
            <w:noWrap w:val="0"/>
            <w:vAlign w:val="center"/>
          </w:tcPr>
          <w:p w14:paraId="14FC860C">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1544" w:type="dxa"/>
            <w:shd w:val="clear" w:color="auto" w:fill="auto"/>
            <w:noWrap w:val="0"/>
            <w:vAlign w:val="center"/>
          </w:tcPr>
          <w:p w14:paraId="50E47C84">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shd w:val="clear" w:color="auto" w:fill="auto"/>
            <w:noWrap w:val="0"/>
            <w:vAlign w:val="center"/>
          </w:tcPr>
          <w:p w14:paraId="6241089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shd w:val="clear" w:color="auto" w:fill="auto"/>
            <w:noWrap w:val="0"/>
            <w:vAlign w:val="center"/>
          </w:tcPr>
          <w:p w14:paraId="1F3B73D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0.72t/a</w:t>
            </w:r>
          </w:p>
        </w:tc>
        <w:tc>
          <w:tcPr>
            <w:tcW w:w="1545" w:type="dxa"/>
            <w:shd w:val="clear" w:color="auto" w:fill="auto"/>
            <w:noWrap w:val="0"/>
            <w:vAlign w:val="center"/>
          </w:tcPr>
          <w:p w14:paraId="298B0B4B">
            <w:pPr>
              <w:spacing w:before="125" w:line="201" w:lineRule="auto"/>
              <w:ind w:left="0" w:leftChars="0"/>
              <w:jc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w:t>
            </w:r>
          </w:p>
        </w:tc>
        <w:tc>
          <w:tcPr>
            <w:tcW w:w="1545" w:type="dxa"/>
            <w:shd w:val="clear" w:color="auto" w:fill="auto"/>
            <w:noWrap w:val="0"/>
            <w:vAlign w:val="center"/>
          </w:tcPr>
          <w:p w14:paraId="3334722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0.72t/a</w:t>
            </w:r>
          </w:p>
        </w:tc>
        <w:tc>
          <w:tcPr>
            <w:tcW w:w="1545" w:type="dxa"/>
            <w:shd w:val="clear" w:color="auto" w:fill="auto"/>
            <w:noWrap w:val="0"/>
            <w:vAlign w:val="center"/>
          </w:tcPr>
          <w:p w14:paraId="4823F1D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+0.72t/a</w:t>
            </w:r>
          </w:p>
        </w:tc>
      </w:tr>
      <w:tr w14:paraId="412BD5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1252" w:type="dxa"/>
            <w:vMerge w:val="continue"/>
            <w:noWrap w:val="0"/>
            <w:vAlign w:val="center"/>
          </w:tcPr>
          <w:p w14:paraId="05F6177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p>
        </w:tc>
        <w:tc>
          <w:tcPr>
            <w:tcW w:w="1836" w:type="dxa"/>
            <w:gridSpan w:val="2"/>
            <w:noWrap w:val="0"/>
            <w:vAlign w:val="center"/>
          </w:tcPr>
          <w:p w14:paraId="6FAD557B">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废活性炭</w:t>
            </w:r>
          </w:p>
        </w:tc>
        <w:tc>
          <w:tcPr>
            <w:tcW w:w="1544" w:type="dxa"/>
            <w:noWrap w:val="0"/>
            <w:vAlign w:val="center"/>
          </w:tcPr>
          <w:p w14:paraId="5A238776">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0.65</w:t>
            </w:r>
            <w:r>
              <w:rPr>
                <w:rFonts w:hint="eastAsia" w:cs="Times New Roman"/>
                <w:snapToGrid w:val="0"/>
                <w:color w:val="auto"/>
                <w:spacing w:val="4"/>
                <w:sz w:val="21"/>
                <w:szCs w:val="21"/>
                <w:highlight w:val="none"/>
                <w:lang w:val="en-US" w:eastAsia="zh-CN"/>
              </w:rPr>
              <w:t>t/a</w:t>
            </w:r>
          </w:p>
        </w:tc>
        <w:tc>
          <w:tcPr>
            <w:tcW w:w="1544" w:type="dxa"/>
            <w:noWrap w:val="0"/>
            <w:vAlign w:val="center"/>
          </w:tcPr>
          <w:p w14:paraId="6910D7CE">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41EBFCE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544" w:type="dxa"/>
            <w:noWrap w:val="0"/>
            <w:vAlign w:val="center"/>
          </w:tcPr>
          <w:p w14:paraId="44D7DDF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0.61t/a</w:t>
            </w:r>
          </w:p>
        </w:tc>
        <w:tc>
          <w:tcPr>
            <w:tcW w:w="1545" w:type="dxa"/>
            <w:shd w:val="clear" w:color="auto" w:fill="auto"/>
            <w:noWrap w:val="0"/>
            <w:vAlign w:val="center"/>
          </w:tcPr>
          <w:p w14:paraId="19AD861F">
            <w:pPr>
              <w:spacing w:before="125" w:line="201" w:lineRule="auto"/>
              <w:jc w:val="center"/>
              <w:rPr>
                <w:rFonts w:hint="default" w:ascii="Times New Roman" w:hAnsi="Times New Roman" w:eastAsia="宋体" w:cs="Times New Roman"/>
                <w:snapToGrid w:val="0"/>
                <w:color w:val="auto"/>
                <w:spacing w:val="4"/>
                <w:kern w:val="2"/>
                <w:sz w:val="21"/>
                <w:szCs w:val="21"/>
                <w:highlight w:val="none"/>
                <w:lang w:val="en-US" w:eastAsia="zh-CN" w:bidi="ar-SA"/>
              </w:rPr>
            </w:pPr>
            <w:r>
              <w:rPr>
                <w:rFonts w:hint="eastAsia" w:ascii="Times New Roman" w:hAnsi="Times New Roman" w:eastAsia="宋体" w:cs="Times New Roman"/>
                <w:snapToGrid w:val="0"/>
                <w:color w:val="auto"/>
                <w:spacing w:val="4"/>
                <w:sz w:val="21"/>
                <w:szCs w:val="21"/>
                <w:highlight w:val="none"/>
                <w:lang w:val="en-US" w:eastAsia="zh-CN"/>
              </w:rPr>
              <w:t>0</w:t>
            </w:r>
          </w:p>
        </w:tc>
        <w:tc>
          <w:tcPr>
            <w:tcW w:w="1545" w:type="dxa"/>
            <w:noWrap w:val="0"/>
            <w:vAlign w:val="center"/>
          </w:tcPr>
          <w:p w14:paraId="71EADE95">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1.26t/a</w:t>
            </w:r>
          </w:p>
        </w:tc>
        <w:tc>
          <w:tcPr>
            <w:tcW w:w="1545" w:type="dxa"/>
            <w:noWrap w:val="0"/>
            <w:vAlign w:val="center"/>
          </w:tcPr>
          <w:p w14:paraId="096E079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+0.61t/a</w:t>
            </w:r>
          </w:p>
        </w:tc>
      </w:tr>
      <w:tr w14:paraId="6D44E8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2" w:type="dxa"/>
            <w:noWrap w:val="0"/>
            <w:vAlign w:val="center"/>
          </w:tcPr>
          <w:p w14:paraId="208F896F">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生活垃圾</w:t>
            </w:r>
          </w:p>
        </w:tc>
        <w:tc>
          <w:tcPr>
            <w:tcW w:w="1836" w:type="dxa"/>
            <w:gridSpan w:val="2"/>
            <w:noWrap w:val="0"/>
            <w:vAlign w:val="center"/>
          </w:tcPr>
          <w:p w14:paraId="191357B0">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生活垃圾</w:t>
            </w:r>
          </w:p>
        </w:tc>
        <w:tc>
          <w:tcPr>
            <w:tcW w:w="1544" w:type="dxa"/>
            <w:noWrap w:val="0"/>
            <w:vAlign w:val="center"/>
          </w:tcPr>
          <w:p w14:paraId="5244119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3.7t/a</w:t>
            </w:r>
          </w:p>
        </w:tc>
        <w:tc>
          <w:tcPr>
            <w:tcW w:w="1544" w:type="dxa"/>
            <w:noWrap w:val="0"/>
            <w:vAlign w:val="center"/>
          </w:tcPr>
          <w:p w14:paraId="70BF56BD">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r>
              <w:rPr>
                <w:rFonts w:hint="eastAsia"/>
                <w:color w:val="auto"/>
                <w:highlight w:val="none"/>
                <w:lang w:val="en-US" w:eastAsia="zh-CN"/>
              </w:rPr>
              <w:t>/</w:t>
            </w:r>
          </w:p>
        </w:tc>
        <w:tc>
          <w:tcPr>
            <w:tcW w:w="1544" w:type="dxa"/>
            <w:noWrap w:val="0"/>
            <w:vAlign w:val="center"/>
          </w:tcPr>
          <w:p w14:paraId="0E81984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r>
              <w:rPr>
                <w:rFonts w:hint="eastAsia"/>
                <w:color w:val="auto"/>
                <w:highlight w:val="none"/>
                <w:lang w:val="en-US" w:eastAsia="zh-CN"/>
              </w:rPr>
              <w:t>/</w:t>
            </w:r>
          </w:p>
        </w:tc>
        <w:tc>
          <w:tcPr>
            <w:tcW w:w="1544" w:type="dxa"/>
            <w:noWrap w:val="0"/>
            <w:vAlign w:val="center"/>
          </w:tcPr>
          <w:p w14:paraId="758BB802">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lang w:val="en-US" w:eastAsia="zh-CN"/>
              </w:rPr>
            </w:pPr>
            <w:r>
              <w:rPr>
                <w:rFonts w:hint="eastAsia"/>
                <w:color w:val="auto"/>
                <w:highlight w:val="none"/>
                <w:lang w:val="en-US" w:eastAsia="zh-CN"/>
              </w:rPr>
              <w:t>0</w:t>
            </w:r>
          </w:p>
        </w:tc>
        <w:tc>
          <w:tcPr>
            <w:tcW w:w="1545" w:type="dxa"/>
            <w:shd w:val="clear" w:color="auto" w:fill="auto"/>
            <w:noWrap w:val="0"/>
            <w:vAlign w:val="center"/>
          </w:tcPr>
          <w:p w14:paraId="1A54B1D6">
            <w:pPr>
              <w:spacing w:before="125" w:line="201" w:lineRule="auto"/>
              <w:ind w:left="482" w:leftChars="0"/>
              <w:jc w:val="both"/>
              <w:rPr>
                <w:rFonts w:hint="eastAsia" w:ascii="Times New Roman" w:hAnsi="Times New Roman" w:eastAsia="宋体" w:cs="Times New Roman"/>
                <w:snapToGrid w:val="0"/>
                <w:color w:val="auto"/>
                <w:spacing w:val="4"/>
                <w:kern w:val="2"/>
                <w:sz w:val="21"/>
                <w:szCs w:val="21"/>
                <w:highlight w:val="none"/>
                <w:lang w:val="en-US" w:eastAsia="zh-CN" w:bidi="ar-SA"/>
              </w:rPr>
            </w:pPr>
            <w:r>
              <w:rPr>
                <w:rFonts w:hint="eastAsia" w:ascii="Times New Roman" w:hAnsi="Times New Roman" w:eastAsia="宋体" w:cs="Times New Roman"/>
                <w:snapToGrid w:val="0"/>
                <w:color w:val="auto"/>
                <w:spacing w:val="4"/>
                <w:sz w:val="21"/>
                <w:szCs w:val="21"/>
                <w:highlight w:val="none"/>
                <w:lang w:val="en-US" w:eastAsia="zh-CN"/>
              </w:rPr>
              <w:t>0</w:t>
            </w:r>
          </w:p>
        </w:tc>
        <w:tc>
          <w:tcPr>
            <w:tcW w:w="1545" w:type="dxa"/>
            <w:noWrap w:val="0"/>
            <w:vAlign w:val="center"/>
          </w:tcPr>
          <w:p w14:paraId="5BB6A8D1">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default"/>
                <w:color w:val="auto"/>
                <w:highlight w:val="none"/>
              </w:rPr>
            </w:pPr>
            <w:r>
              <w:rPr>
                <w:rFonts w:hint="eastAsia"/>
                <w:color w:val="auto"/>
                <w:highlight w:val="none"/>
                <w:lang w:val="en-US" w:eastAsia="zh-CN"/>
              </w:rPr>
              <w:t>3.7t/a</w:t>
            </w:r>
          </w:p>
        </w:tc>
        <w:tc>
          <w:tcPr>
            <w:tcW w:w="1545" w:type="dxa"/>
            <w:noWrap w:val="0"/>
            <w:vAlign w:val="center"/>
          </w:tcPr>
          <w:p w14:paraId="264FEB38">
            <w:pPr>
              <w:keepNext w:val="0"/>
              <w:keepLines w:val="0"/>
              <w:pageBreakBefore w:val="0"/>
              <w:widowControl w:val="0"/>
              <w:kinsoku/>
              <w:wordWrap/>
              <w:overflowPunct/>
              <w:topLinePunct w:val="0"/>
              <w:autoSpaceDE/>
              <w:autoSpaceDN/>
              <w:bidi w:val="0"/>
              <w:adjustRightInd/>
              <w:snapToGrid/>
              <w:spacing w:before="157" w:beforeLines="50" w:line="260" w:lineRule="exact"/>
              <w:jc w:val="center"/>
              <w:textAlignment w:val="auto"/>
              <w:rPr>
                <w:rFonts w:hint="eastAsia"/>
                <w:color w:val="auto"/>
                <w:highlight w:val="none"/>
                <w:lang w:val="en-US" w:eastAsia="zh-CN"/>
              </w:rPr>
            </w:pPr>
            <w:r>
              <w:rPr>
                <w:rFonts w:hint="eastAsia"/>
                <w:color w:val="auto"/>
                <w:highlight w:val="none"/>
                <w:lang w:val="en-US" w:eastAsia="zh-CN"/>
              </w:rPr>
              <w:t>+0t/a</w:t>
            </w:r>
          </w:p>
        </w:tc>
      </w:tr>
    </w:tbl>
    <w:p w14:paraId="3FF2361A">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color w:val="auto"/>
          <w:highlight w:val="none"/>
          <w:lang w:eastAsia="zh-CN"/>
        </w:rPr>
      </w:pPr>
      <w:r>
        <w:rPr>
          <w:color w:val="auto"/>
          <w:highlight w:val="none"/>
        </w:rPr>
        <w:t>注：</w:t>
      </w:r>
      <w:r>
        <w:rPr>
          <w:color w:val="auto"/>
          <w:highlight w:val="none"/>
        </w:rPr>
        <w:fldChar w:fldCharType="begin"/>
      </w:r>
      <w:r>
        <w:rPr>
          <w:color w:val="auto"/>
          <w:highlight w:val="none"/>
        </w:rPr>
        <w:instrText xml:space="preserve"> = 6 \* GB3 \* MERGEFORMAT </w:instrText>
      </w:r>
      <w:r>
        <w:rPr>
          <w:color w:val="auto"/>
          <w:highlight w:val="none"/>
        </w:rPr>
        <w:fldChar w:fldCharType="separate"/>
      </w:r>
      <w:r>
        <w:rPr>
          <w:rFonts w:hint="eastAsia"/>
          <w:color w:val="auto"/>
          <w:highlight w:val="none"/>
        </w:rPr>
        <w:t>⑥</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1 \* GB3 \* MERGEFORMAT </w:instrText>
      </w:r>
      <w:r>
        <w:rPr>
          <w:color w:val="auto"/>
          <w:highlight w:val="none"/>
        </w:rPr>
        <w:fldChar w:fldCharType="separate"/>
      </w:r>
      <w:r>
        <w:rPr>
          <w:rFonts w:hint="eastAsia"/>
          <w:color w:val="auto"/>
          <w:highlight w:val="none"/>
        </w:rPr>
        <w:t>①</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3 \* GB3 \* MERGEFORMAT </w:instrText>
      </w:r>
      <w:r>
        <w:rPr>
          <w:color w:val="auto"/>
          <w:highlight w:val="none"/>
        </w:rPr>
        <w:fldChar w:fldCharType="separate"/>
      </w:r>
      <w:r>
        <w:rPr>
          <w:rFonts w:hint="eastAsia"/>
          <w:color w:val="auto"/>
          <w:highlight w:val="none"/>
        </w:rPr>
        <w:t>③</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4 \* GB3 \* MERGEFORMAT </w:instrText>
      </w:r>
      <w:r>
        <w:rPr>
          <w:color w:val="auto"/>
          <w:highlight w:val="none"/>
        </w:rPr>
        <w:fldChar w:fldCharType="separate"/>
      </w:r>
      <w:r>
        <w:rPr>
          <w:rFonts w:hint="eastAsia"/>
          <w:color w:val="auto"/>
          <w:highlight w:val="none"/>
        </w:rPr>
        <w:t>④</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5 \* GB3 \* MERGEFORMAT </w:instrText>
      </w:r>
      <w:r>
        <w:rPr>
          <w:color w:val="auto"/>
          <w:highlight w:val="none"/>
        </w:rPr>
        <w:fldChar w:fldCharType="separate"/>
      </w:r>
      <w:r>
        <w:rPr>
          <w:rFonts w:hint="eastAsia"/>
          <w:color w:val="auto"/>
          <w:highlight w:val="none"/>
        </w:rPr>
        <w:t>⑤</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7 \* GB3 \* MERGEFORMAT </w:instrText>
      </w:r>
      <w:r>
        <w:rPr>
          <w:color w:val="auto"/>
          <w:highlight w:val="none"/>
        </w:rPr>
        <w:fldChar w:fldCharType="separate"/>
      </w:r>
      <w:r>
        <w:rPr>
          <w:rFonts w:hint="eastAsia"/>
          <w:color w:val="auto"/>
          <w:highlight w:val="none"/>
        </w:rPr>
        <w:t>⑦</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6 \* GB3 \* MERGEFORMAT </w:instrText>
      </w:r>
      <w:r>
        <w:rPr>
          <w:color w:val="auto"/>
          <w:highlight w:val="none"/>
        </w:rPr>
        <w:fldChar w:fldCharType="separate"/>
      </w:r>
      <w:r>
        <w:rPr>
          <w:rFonts w:hint="eastAsia"/>
          <w:color w:val="auto"/>
          <w:highlight w:val="none"/>
        </w:rPr>
        <w:t>⑥</w:t>
      </w:r>
      <w:r>
        <w:rPr>
          <w:color w:val="auto"/>
          <w:highlight w:val="none"/>
        </w:rPr>
        <w:fldChar w:fldCharType="end"/>
      </w:r>
      <w:r>
        <w:rPr>
          <w:color w:val="auto"/>
          <w:highlight w:val="none"/>
        </w:rPr>
        <w:t>-</w:t>
      </w:r>
      <w:r>
        <w:rPr>
          <w:color w:val="auto"/>
          <w:highlight w:val="none"/>
        </w:rPr>
        <w:fldChar w:fldCharType="begin"/>
      </w:r>
      <w:r>
        <w:rPr>
          <w:color w:val="auto"/>
          <w:highlight w:val="none"/>
        </w:rPr>
        <w:instrText xml:space="preserve"> = 1 \* GB3 \* MERGEFORMAT </w:instrText>
      </w:r>
      <w:r>
        <w:rPr>
          <w:color w:val="auto"/>
          <w:highlight w:val="none"/>
        </w:rPr>
        <w:fldChar w:fldCharType="separate"/>
      </w:r>
      <w:r>
        <w:rPr>
          <w:rFonts w:hint="eastAsia"/>
          <w:color w:val="auto"/>
          <w:highlight w:val="none"/>
        </w:rPr>
        <w:t>①</w:t>
      </w:r>
      <w:r>
        <w:rPr>
          <w:color w:val="auto"/>
          <w:highlight w:val="none"/>
        </w:rPr>
        <w:fldChar w:fldCharType="end"/>
      </w:r>
    </w:p>
    <w:sectPr>
      <w:footerReference r:id="rId7" w:type="default"/>
      <w:pgSz w:w="16838" w:h="11906" w:orient="landscape"/>
      <w:pgMar w:top="1531" w:right="1531" w:bottom="1531" w:left="1531" w:header="851" w:footer="851" w:gutter="0"/>
      <w:pgBorders>
        <w:top w:val="none" w:sz="0" w:space="0"/>
        <w:left w:val="none" w:sz="0" w:space="0"/>
        <w:bottom w:val="none" w:sz="0" w:space="0"/>
        <w:right w:val="none"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embedRegular r:id="rId1" w:fontKey="{5903DC1F-D1B2-445D-96DC-3408E1E07DC8}"/>
  </w:font>
  <w:font w:name="黑体">
    <w:panose1 w:val="02010609060101010101"/>
    <w:charset w:val="86"/>
    <w:family w:val="auto"/>
    <w:pitch w:val="default"/>
    <w:sig w:usb0="800002BF" w:usb1="38CF7CFA" w:usb2="00000016" w:usb3="00000000" w:csb0="00040001" w:csb1="00000000"/>
    <w:embedRegular r:id="rId2" w:fontKey="{66C20B91-1557-4706-801F-C4BE1D4E22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3" w:fontKey="{7D83D4C8-DF90-4285-8AB5-5C937218FD3E}"/>
  </w:font>
  <w:font w:name="仿宋_GB2312">
    <w:panose1 w:val="02010609030101010101"/>
    <w:charset w:val="86"/>
    <w:family w:val="auto"/>
    <w:pitch w:val="default"/>
    <w:sig w:usb0="00000001" w:usb1="080E0000" w:usb2="00000000" w:usb3="00000000" w:csb0="00040000" w:csb1="00000000"/>
    <w:embedRegular r:id="rId4" w:fontKey="{B36D2B98-0BBD-4979-9010-17629AE32576}"/>
  </w:font>
  <w:font w:name="方正小标宋_GBK">
    <w:panose1 w:val="02000000000000000000"/>
    <w:charset w:val="86"/>
    <w:family w:val="script"/>
    <w:pitch w:val="default"/>
    <w:sig w:usb0="A00002BF" w:usb1="38CF7CFA" w:usb2="00082016" w:usb3="00000000" w:csb0="00040001" w:csb1="00000000"/>
    <w:embedRegular r:id="rId5" w:fontKey="{89E940A9-E885-4980-8AB5-6995759E14B9}"/>
  </w:font>
  <w:font w:name="楷体_GB2312">
    <w:panose1 w:val="02010609030101010101"/>
    <w:charset w:val="86"/>
    <w:family w:val="modern"/>
    <w:pitch w:val="default"/>
    <w:sig w:usb0="00000001" w:usb1="080E0000" w:usb2="00000000" w:usb3="00000000" w:csb0="00040000" w:csb1="00000000"/>
    <w:embedRegular r:id="rId6" w:fontKey="{4179A4F0-A5B5-418E-AA0C-0C5A6617E34A}"/>
  </w:font>
  <w:font w:name="华文仿宋">
    <w:panose1 w:val="02010600040101010101"/>
    <w:charset w:val="86"/>
    <w:family w:val="auto"/>
    <w:pitch w:val="default"/>
    <w:sig w:usb0="00000287" w:usb1="080F0000" w:usb2="00000000" w:usb3="00000000" w:csb0="0004009F" w:csb1="DFD70000"/>
    <w:embedRegular r:id="rId7" w:fontKey="{1A2FCE14-6004-4B70-AEFA-7BDBF3A08C56}"/>
  </w:font>
  <w:font w:name="仿宋">
    <w:panose1 w:val="02010609060101010101"/>
    <w:charset w:val="86"/>
    <w:family w:val="modern"/>
    <w:pitch w:val="default"/>
    <w:sig w:usb0="800002BF" w:usb1="38CF7CFA" w:usb2="00000016" w:usb3="00000000" w:csb0="00040001" w:csb1="00000000"/>
    <w:embedRegular r:id="rId8" w:fontKey="{2BDE2753-8DB4-4F87-AE0A-EDAE07CCA1B4}"/>
  </w:font>
  <w:font w:name="方正小标宋简体">
    <w:panose1 w:val="03000509000000000000"/>
    <w:charset w:val="86"/>
    <w:family w:val="auto"/>
    <w:pitch w:val="default"/>
    <w:sig w:usb0="00000001" w:usb1="080E0000" w:usb2="00000000" w:usb3="00000000" w:csb0="00040000" w:csb1="00000000"/>
    <w:embedRegular r:id="rId9" w:fontKey="{DBBDFACA-87C4-43EC-843A-75AD30FF6E7D}"/>
  </w:font>
  <w:font w:name="Wingdings 2">
    <w:panose1 w:val="05020102010507070707"/>
    <w:charset w:val="02"/>
    <w:family w:val="auto"/>
    <w:pitch w:val="default"/>
    <w:sig w:usb0="00000000" w:usb1="00000000" w:usb2="00000000" w:usb3="00000000" w:csb0="80000000" w:csb1="00000000"/>
    <w:embedRegular r:id="rId10" w:fontKey="{E18F8E3D-DAD2-41C9-8462-F942A062843C}"/>
  </w:font>
  <w:font w:name="Helvetica">
    <w:altName w:val="Arial"/>
    <w:panose1 w:val="00000000000000000000"/>
    <w:charset w:val="00"/>
    <w:family w:val="auto"/>
    <w:pitch w:val="default"/>
    <w:sig w:usb0="00000000" w:usb1="00000000" w:usb2="00000000" w:usb3="00000000" w:csb0="00040001" w:csb1="00000000"/>
    <w:embedRegular r:id="rId11" w:fontKey="{CB94AB4E-57CD-43F1-9A3C-442C91B10A96}"/>
  </w:font>
  <w:font w:name="微软雅黑">
    <w:panose1 w:val="020B0503020204020204"/>
    <w:charset w:val="86"/>
    <w:family w:val="auto"/>
    <w:pitch w:val="default"/>
    <w:sig w:usb0="80000287" w:usb1="2ACF3C50" w:usb2="00000016" w:usb3="00000000" w:csb0="0004001F" w:csb1="00000000"/>
    <w:embedRegular r:id="rId12" w:fontKey="{416ACDBB-84C5-4569-B17B-FAE17DE00888}"/>
  </w:font>
  <w:font w:name="Segoe UI">
    <w:panose1 w:val="020B0502040204020203"/>
    <w:charset w:val="00"/>
    <w:family w:val="auto"/>
    <w:pitch w:val="default"/>
    <w:sig w:usb0="E4002EFF" w:usb1="C000E47F" w:usb2="00000009" w:usb3="00000000" w:csb0="200001FF" w:csb1="00000000"/>
    <w:embedRegular r:id="rId13" w:fontKey="{0373E40B-16B7-43FD-843F-ED81D883B169}"/>
  </w:font>
  <w:font w:name="Cambria Math">
    <w:panose1 w:val="02040503050406030204"/>
    <w:charset w:val="00"/>
    <w:family w:val="auto"/>
    <w:pitch w:val="default"/>
    <w:sig w:usb0="E00006FF" w:usb1="420024FF" w:usb2="02000000" w:usb3="00000000" w:csb0="2000019F" w:csb1="00000000"/>
    <w:embedRegular r:id="rId14" w:fontKey="{9CC8DFEA-F8AF-423E-AD14-2802EE6A7DEA}"/>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4B4C8">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789DB">
    <w:pPr>
      <w:pStyle w:val="19"/>
      <w:framePr w:wrap="around" w:vAnchor="text" w:hAnchor="margin" w:xAlign="center" w:y="1"/>
      <w:rPr>
        <w:rStyle w:val="34"/>
      </w:rPr>
    </w:pPr>
    <w:r>
      <w:fldChar w:fldCharType="begin"/>
    </w:r>
    <w:r>
      <w:rPr>
        <w:rStyle w:val="34"/>
      </w:rPr>
      <w:instrText xml:space="preserve">PAGE  </w:instrText>
    </w:r>
    <w:r>
      <w:fldChar w:fldCharType="separate"/>
    </w:r>
    <w:r>
      <w:rPr>
        <w:rStyle w:val="34"/>
      </w:rPr>
      <w:t>1</w:t>
    </w:r>
    <w:r>
      <w:fldChar w:fldCharType="end"/>
    </w:r>
  </w:p>
  <w:p w14:paraId="44C22B62">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E360">
    <w:pPr>
      <w:pStyle w:val="19"/>
      <w:ind w:right="360" w:firstLine="36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29CF66">
                          <w:pPr>
                            <w:pStyle w:val="19"/>
                          </w:pPr>
                          <w:r>
                            <w:fldChar w:fldCharType="begin"/>
                          </w:r>
                          <w:r>
                            <w:instrText xml:space="preserve"> PAGE  \* MERGEFORMAT </w:instrText>
                          </w:r>
                          <w:r>
                            <w:fldChar w:fldCharType="separate"/>
                          </w:r>
                          <w:r>
                            <w:t>１</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OED90BAAC+AwAADgAAAGRycy9lMm9Eb2MueG1srVPNjtMwEL4j8Q6W&#10;7zTZHlA3aroCqkVICJCWfQDXcRpL/tOM26Q8ALwBJy7cea4+B2Mn6cJy2QOXZDwz/ma+b8brm8Ea&#10;dlSA2ruaXy1KzpSTvtFuX/P7z7cvVpxhFK4RxjtV85NCfrN5/mzdh0otfedNo4ARiMOqDzXvYgxV&#10;UaDslBW48EE5CrYerIh0hH3RgOgJ3ZpiWZYvi95DE8BLhUje7RjkEyI8BdC3rZZq6+XBKhdHVFBG&#10;RKKEnQ7IN7nbtlUyfmxbVJGZmhPTmL9UhOxd+habtaj2IEKn5dSCeEoLjzhZoR0VvUBtRRTsAPof&#10;KKslePRtXEhvi5FIVoRYXJWPtLnrRFCZC0mN4SI6/j9Y+eH4CZhuan7NmROWBn7+/u3849f551d2&#10;n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GDhA/dAQAAvgMAAA4AAAAAAAAA&#10;AQAgAAAAHgEAAGRycy9lMm9Eb2MueG1sUEsFBgAAAAAGAAYAWQEAAG0FAAAAAA==&#10;">
              <v:fill on="f" focussize="0,0"/>
              <v:stroke on="f"/>
              <v:imagedata o:title=""/>
              <o:lock v:ext="edit" aspectratio="f"/>
              <v:textbox inset="0mm,0mm,0mm,0mm" style="mso-fit-shape-to-text:t;">
                <w:txbxContent>
                  <w:p w14:paraId="4229CF66">
                    <w:pPr>
                      <w:pStyle w:val="19"/>
                    </w:pPr>
                    <w:r>
                      <w:fldChar w:fldCharType="begin"/>
                    </w:r>
                    <w:r>
                      <w:instrText xml:space="preserve"> PAGE  \* MERGEFORMAT </w:instrText>
                    </w:r>
                    <w:r>
                      <w:fldChar w:fldCharType="separate"/>
                    </w:r>
                    <w:r>
                      <w:t>１</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9D1F54">
                          <w:pPr>
                            <w:pStyle w:val="19"/>
                            <w:rPr>
                              <w:rStyle w:val="34"/>
                              <w:rFonts w:ascii="宋体" w:hAnsi="宋体"/>
                              <w:sz w:val="28"/>
                              <w:szCs w:val="28"/>
                            </w:rPr>
                          </w:pPr>
                          <w:r>
                            <w:rPr>
                              <w:rStyle w:val="34"/>
                              <w:rFonts w:hint="eastAsia" w:ascii="宋体" w:hAnsi="宋体"/>
                              <w:sz w:val="20"/>
                            </w:rPr>
                            <w:t xml:space="preserve"> </w:t>
                          </w:r>
                          <w:r>
                            <w:rPr>
                              <w:rStyle w:val="34"/>
                              <w:rFonts w:hint="default" w:ascii="Times New Roman" w:hAnsi="Times New Roman" w:cs="Times New Roman"/>
                              <w:sz w:val="20"/>
                            </w:rPr>
                            <w:t xml:space="preserve"> </w:t>
                          </w:r>
                          <w:r>
                            <w:rPr>
                              <w:rStyle w:val="34"/>
                              <w:rFonts w:hint="eastAsia" w:ascii="宋体" w:hAnsi="宋体"/>
                              <w:sz w:val="20"/>
                            </w:rP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a2OMd0BAAC+AwAADgAAAGRycy9lMm9Eb2MueG1srVPNjtMwEL4j8Q6W&#10;7zTZaoWqqOkKtlqEhABp4QFcx2ks+U/jaZPyAPAGnLhw57n6HIydpAvLZQ9ckvHM+Jv5vhmvbwZr&#10;2FFB1N7V/GpRcqac9I12+5p//nT3YsVZROEaYbxTNT+pyG82z5+t+1Cppe+8aRQwAnGx6kPNO8RQ&#10;FUWUnbIiLnxQjoKtByuQjrAvGhA9oVtTLMvyZdF7aAJ4qWIk73YM8gkRngLo21ZLtfXyYJXDERWU&#10;EUiUYqdD5JvcbdsqiR/aNipkpubEFPOXipC9S99isxbVHkTotJxaEE9p4REnK7SjoheorUDBDqD/&#10;gbJago++xYX0thiJZEWIxVX5SJv7TgSVuZDUMVxEj/8PVr4/fgSmm5rT2J2wNPDz92/nH7/OP7+y&#10;6yRPH2JFWfeB8nB47QdamtkfyZlYDy3Y9Cc+jOIk7ukirhqQyXRptVytSgpJis0Hwi8ergeI+EZ5&#10;y5JRc6DpZVHF8V3EMXVOSdWcv9PG5Aka95eDMJOnSL2PPSYLh90wEdr55kR86BlQnc7DF856WoKa&#10;O9p5zsxbRxqnfZkNmI3dbAgn6WLNkbPRvMVxrw4B9L7Lm5aaiuHVAanTTCC1MdaeuqOxZgmmFUx7&#10;8+c5Zz08u8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FGtjjHdAQAAvgMAAA4AAAAAAAAA&#10;AQAgAAAAHgEAAGRycy9lMm9Eb2MueG1sUEsFBgAAAAAGAAYAWQEAAG0FAAAAAA==&#10;">
              <v:fill on="f" focussize="0,0"/>
              <v:stroke on="f"/>
              <v:imagedata o:title=""/>
              <o:lock v:ext="edit" aspectratio="f"/>
              <v:textbox inset="0mm,0mm,0mm,0mm" style="mso-fit-shape-to-text:t;">
                <w:txbxContent>
                  <w:p w14:paraId="149D1F54">
                    <w:pPr>
                      <w:pStyle w:val="19"/>
                      <w:rPr>
                        <w:rStyle w:val="34"/>
                        <w:rFonts w:ascii="宋体" w:hAnsi="宋体"/>
                        <w:sz w:val="28"/>
                        <w:szCs w:val="28"/>
                      </w:rPr>
                    </w:pPr>
                    <w:r>
                      <w:rPr>
                        <w:rStyle w:val="34"/>
                        <w:rFonts w:hint="eastAsia" w:ascii="宋体" w:hAnsi="宋体"/>
                        <w:sz w:val="20"/>
                      </w:rPr>
                      <w:t xml:space="preserve"> </w:t>
                    </w:r>
                    <w:r>
                      <w:rPr>
                        <w:rStyle w:val="34"/>
                        <w:rFonts w:hint="default" w:ascii="Times New Roman" w:hAnsi="Times New Roman" w:cs="Times New Roman"/>
                        <w:sz w:val="20"/>
                      </w:rPr>
                      <w:t xml:space="preserve"> </w:t>
                    </w:r>
                    <w:r>
                      <w:rPr>
                        <w:rStyle w:val="34"/>
                        <w:rFonts w:hint="eastAsia" w:ascii="宋体" w:hAnsi="宋体"/>
                        <w:sz w:val="20"/>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D4D42">
    <w:pPr>
      <w:pStyle w:val="19"/>
      <w:ind w:right="360"/>
      <w:jc w:val="both"/>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18EECB">
                          <w:pPr>
                            <w:pStyle w:val="19"/>
                          </w:pPr>
                          <w:r>
                            <w:fldChar w:fldCharType="begin"/>
                          </w:r>
                          <w:r>
                            <w:instrText xml:space="preserve"> PAGE  \* MERGEFORMAT </w:instrText>
                          </w:r>
                          <w:r>
                            <w:fldChar w:fldCharType="separate"/>
                          </w:r>
                          <w:r>
                            <w:t>２</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YfNsd0BAADAAwAADgAAAGRycy9lMm9Eb2MueG1srVPNjtMwEL4j8Q6W&#10;7zTZHlAVNV0tVIuQECAtPIDrOI0l/8kzbVIeAN6AExfuPFefg7GTdJflsoe9JOPx+Jvv+zxeXw/W&#10;sKOKoL2r+dWi5Ew56Rvt9jX/+uX21YozQOEaYbxTNT8p4Nebly/WfajU0nfeNCoyAnFQ9aHmHWKo&#10;igJkp6yAhQ/K0WbroxVIy7gvmih6QremWJbl66L3sQnRSwVA2e24ySfE+BRA37Zaqq2XB6scjqhR&#10;GYEkCTodgG8y27ZVEj+1LShkpuakFPOXmlC8S99isxbVPorQaTlREE+h8EiTFdpR0wvUVqBgh6j/&#10;g7JaRg++xYX0thiFZEdIxVX5yJu7TgSVtZDVEC6mw/PByo/Hz5HphiaBLHHC0o2ff/44//pz/v2d&#10;UY4M6gNUVHcXqBKHN36g4jkPlEy6hzba9CdFjPYJ63SxVw3IZDq0Wq5WJW1J2psXhF/cHw8R8J3y&#10;lqWg5pHuL9sqjh8Ax9K5JHVz/lYbk+/QuH8ShJkyReI+ckwRDrthErTzzYn00EOgPp2P3zjraQxq&#10;7mjqOTPvHblMXHEO4hzs5kA4SQdrjpyN4VscJ+sQot53edYSKQg3BySmWUCiMfae2NHFZgumIUyT&#10;83Cdq+4f3uY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mHzbHdAQAAwAMAAA4AAAAAAAAA&#10;AQAgAAAAHgEAAGRycy9lMm9Eb2MueG1sUEsFBgAAAAAGAAYAWQEAAG0FAAAAAA==&#10;">
              <v:fill on="f" focussize="0,0"/>
              <v:stroke on="f"/>
              <v:imagedata o:title=""/>
              <o:lock v:ext="edit" aspectratio="f"/>
              <v:textbox inset="0mm,0mm,0mm,0mm" style="mso-fit-shape-to-text:t;">
                <w:txbxContent>
                  <w:p w14:paraId="0D18EECB">
                    <w:pPr>
                      <w:pStyle w:val="19"/>
                    </w:pPr>
                    <w:r>
                      <w:fldChar w:fldCharType="begin"/>
                    </w:r>
                    <w:r>
                      <w:instrText xml:space="preserve"> PAGE  \* MERGEFORMAT </w:instrText>
                    </w:r>
                    <w:r>
                      <w:fldChar w:fldCharType="separate"/>
                    </w:r>
                    <w:r>
                      <w:t>２</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2757170</wp:posOffset>
              </wp:positionH>
              <wp:positionV relativeFrom="paragraph">
                <wp:posOffset>-133350</wp:posOffset>
              </wp:positionV>
              <wp:extent cx="1828800" cy="288290"/>
              <wp:effectExtent l="0" t="0" r="0" b="0"/>
              <wp:wrapNone/>
              <wp:docPr id="7" name="文本框 2051"/>
              <wp:cNvGraphicFramePr/>
              <a:graphic xmlns:a="http://schemas.openxmlformats.org/drawingml/2006/main">
                <a:graphicData uri="http://schemas.microsoft.com/office/word/2010/wordprocessingShape">
                  <wps:wsp>
                    <wps:cNvSpPr txBox="1"/>
                    <wps:spPr>
                      <a:xfrm>
                        <a:off x="0" y="0"/>
                        <a:ext cx="1828800" cy="288290"/>
                      </a:xfrm>
                      <a:prstGeom prst="rect">
                        <a:avLst/>
                      </a:prstGeom>
                      <a:noFill/>
                      <a:ln>
                        <a:noFill/>
                      </a:ln>
                    </wps:spPr>
                    <wps:txbx>
                      <w:txbxContent>
                        <w:p w14:paraId="6D11F2A6">
                          <w:pPr>
                            <w:pStyle w:val="19"/>
                            <w:rPr>
                              <w:rStyle w:val="34"/>
                              <w:rFonts w:ascii="宋体" w:hAnsi="宋体"/>
                              <w:sz w:val="28"/>
                              <w:szCs w:val="28"/>
                            </w:rPr>
                          </w:pPr>
                        </w:p>
                      </w:txbxContent>
                    </wps:txbx>
                    <wps:bodyPr vert="horz" wrap="none" lIns="0" tIns="0" rIns="0" bIns="0" anchor="t" anchorCtr="0" upright="0"/>
                  </wps:wsp>
                </a:graphicData>
              </a:graphic>
            </wp:anchor>
          </w:drawing>
        </mc:Choice>
        <mc:Fallback>
          <w:pict>
            <v:shape id="文本框 2051" o:spid="_x0000_s1026" o:spt="202" type="#_x0000_t202" style="position:absolute;left:0pt;margin-left:217.1pt;margin-top:-10.5pt;height:22.7pt;width:144pt;mso-position-horizontal-relative:margin;mso-wrap-style:none;z-index:251659264;mso-width-relative:page;mso-height-relative:page;" filled="f" stroked="f" coordsize="21600,21600" o:gfxdata="UEsDBAoAAAAAAIdO4kAAAAAAAAAAAAAAAAAEAAAAZHJzL1BLAwQUAAAACACHTuJArAcyb9cAAAAK&#10;AQAADwAAAGRycy9kb3ducmV2LnhtbE2PPU/DMBCGdyT+g3VIbK0/iKAKcTogGKnUwsLmxNckbWxH&#10;ttOGf88xwXh3j9573mq7uJFdMKYheA1yLYChb4MdfKfh8+NttQGWsvHWjMGjhm9MsK1vbypT2nD1&#10;e7wccscoxKfSaOhznkrOU9ujM2kdJvR0O4boTKYxdtxGc6VwN3IlxCN3ZvD0oTcTvvTYng+z03B8&#10;351Pr/NenDqxwS8ZcWnkTuv7OymegWVc8h8Mv/qkDjU5NWH2NrFRQ/FQKEI1rJSkUkQ8KUWbRoMq&#10;CuB1xf9XqH8AUEsDBBQAAAAIAIdO4kAtWfKk2QEAAKYDAAAOAAAAZHJzL2Uyb0RvYy54bWytU8GO&#10;0zAQvSPxD5bvNGkkoERNV4JqERICpIUPcB2nsWR7rLHbpHwA/AEnLtz5rn7Hjp22C7uXPewlGc+M&#10;Z+a9eV5ejdawvcKgwTV8Pis5U05Cq9224d++Xr9YcBaicK0w4FTDDyrwq9XzZ8vB16qCHkyrkFER&#10;F+rBN7yP0ddFEWSvrAgz8MpRsAO0ItIRt0WLYqDq1hRVWb4qBsDWI0gVAnnXU5CfKuJjCkLXaanW&#10;IHdWuThVRWVEJEih1z7wVZ6265SMn7suqMhMwwlpzF9qQvYmfYvVUtRbFL7X8jSCeMwI9zBZoR01&#10;vZRaiyjYDvWDUlZLhABdnEmwxQQkM0Io5uU9bm564VXGQlQHfyE9PF1Z+Wn/BZluG/6aMycsLfz4&#10;6+fx99/jnx+sKl/OE0ODDzUl3nhKjeNbGEk3Z38gZwI+dmjTnyAxihO/hwu/aoxMpkuLarEoKSQp&#10;Rmb1Ji+guLvtMcT3CixLRsOR9pdpFfuPIdIklHpOSc0cXGtj8g6N+89BiclTpNGnEZMVx814wrOB&#10;9kBw6CFQnx7wO2cDyaDhjlTPmfngiOWkmLOBZ2NzNoSTdLHhkbPJfBcnZe086m2ftZZmTp1pfXn6&#10;k9SSPv4956y757W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wHMm/XAAAACgEAAA8AAAAAAAAA&#10;AQAgAAAAIgAAAGRycy9kb3ducmV2LnhtbFBLAQIUABQAAAAIAIdO4kAtWfKk2QEAAKYDAAAOAAAA&#10;AAAAAAEAIAAAACYBAABkcnMvZTJvRG9jLnhtbFBLBQYAAAAABgAGAFkBAABxBQAAAAA=&#10;">
              <v:fill on="f" focussize="0,0"/>
              <v:stroke on="f"/>
              <v:imagedata o:title=""/>
              <o:lock v:ext="edit" aspectratio="f"/>
              <v:textbox inset="0mm,0mm,0mm,0mm">
                <w:txbxContent>
                  <w:p w14:paraId="6D11F2A6">
                    <w:pPr>
                      <w:pStyle w:val="19"/>
                      <w:rPr>
                        <w:rStyle w:val="34"/>
                        <w:rFonts w:ascii="宋体" w:hAnsi="宋体"/>
                        <w:sz w:val="28"/>
                        <w:szCs w:val="2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4E278">
    <w:pPr>
      <w:pStyle w:val="19"/>
      <w:ind w:right="360"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FD52CC">
                          <w:pPr>
                            <w:pStyle w:val="19"/>
                          </w:pPr>
                          <w:r>
                            <w:fldChar w:fldCharType="begin"/>
                          </w:r>
                          <w:r>
                            <w:instrText xml:space="preserve"> PAGE  \* MERGEFORMAT </w:instrText>
                          </w:r>
                          <w:r>
                            <w:fldChar w:fldCharType="separate"/>
                          </w:r>
                          <w:r>
                            <w:t>５４</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tgXkN0BAADAAwAADgAAAGRycy9lMm9Eb2MueG1srVPNjtMwEL4j8Q6W&#10;7zRpD6iKmq6AahESAqSFB3Adp7HkP824TcoDwBtw4sKd5+pzMHaS7rJc9sAlGc+Mv5nvm/HmZrCG&#10;nRSg9q7my0XJmXLSN9odav7l8+2LNWcYhWuE8U7V/KyQ32yfP9v0oVIr33nTKGAE4rDqQ827GENV&#10;FCg7ZQUufFCOgq0HKyId4VA0IHpCt6ZYleXLovfQBPBSIZJ3Nwb5hAhPAfRtq6XaeXm0ysURFZQR&#10;kShhpwPybe62bZWMH9sWVWSm5sQ05i8VIXufvsV2I6oDiNBpObUgntLCI05WaEdFr1A7EQU7gv4H&#10;ymoJHn0bF9LbYiSSFSEWy/KRNnedCCpzIakxXEXH/wcrP5w+AdMNbcKSMycsTfzy4/vl5+/Lr2+M&#10;fCRQH7CivLtAmXF47QdKnv1IzsR7aMGmPzFiFCd5z1d51RCZTJfWq/W6pJCk2Hwg/OL+egCMb5W3&#10;LBk1B5pfllWc3mMcU+eUVM35W21MnqFxfzkIM3mK1PvYY7LisB8mQnvfnIkPPQSq03n4yllPa1Bz&#10;R1vPmXnnSOW0MbMBs7GfDeEkXax55Gw038Rxs44B9KHLu5aawvDqGKnTTCC1MdaeuqPBZgmmJUyb&#10;8/Ccs+4f3v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K7YF5DdAQAAwAMAAA4AAAAAAAAA&#10;AQAgAAAAHgEAAGRycy9lMm9Eb2MueG1sUEsFBgAAAAAGAAYAWQEAAG0FAAAAAA==&#10;">
              <v:fill on="f" focussize="0,0"/>
              <v:stroke on="f"/>
              <v:imagedata o:title=""/>
              <o:lock v:ext="edit" aspectratio="f"/>
              <v:textbox inset="0mm,0mm,0mm,0mm" style="mso-fit-shape-to-text:t;">
                <w:txbxContent>
                  <w:p w14:paraId="6DFD52CC">
                    <w:pPr>
                      <w:pStyle w:val="19"/>
                    </w:pPr>
                    <w:r>
                      <w:fldChar w:fldCharType="begin"/>
                    </w:r>
                    <w:r>
                      <w:instrText xml:space="preserve"> PAGE  \* MERGEFORMAT </w:instrText>
                    </w:r>
                    <w:r>
                      <w:fldChar w:fldCharType="separate"/>
                    </w:r>
                    <w:r>
                      <w:t>５４</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480A1C"/>
    <w:multiLevelType w:val="singleLevel"/>
    <w:tmpl w:val="B3480A1C"/>
    <w:lvl w:ilvl="0" w:tentative="0">
      <w:start w:val="1"/>
      <w:numFmt w:val="decimal"/>
      <w:suff w:val="nothing"/>
      <w:lvlText w:val="（%1）"/>
      <w:lvlJc w:val="left"/>
      <w:pPr>
        <w:ind w:left="-62"/>
      </w:pPr>
    </w:lvl>
  </w:abstractNum>
  <w:abstractNum w:abstractNumId="1">
    <w:nsid w:val="C6016385"/>
    <w:multiLevelType w:val="singleLevel"/>
    <w:tmpl w:val="C6016385"/>
    <w:lvl w:ilvl="0" w:tentative="0">
      <w:start w:val="2"/>
      <w:numFmt w:val="decimal"/>
      <w:suff w:val="nothing"/>
      <w:lvlText w:val="（%1）"/>
      <w:lvlJc w:val="left"/>
    </w:lvl>
  </w:abstractNum>
  <w:abstractNum w:abstractNumId="2">
    <w:nsid w:val="CDE9F7A8"/>
    <w:multiLevelType w:val="singleLevel"/>
    <w:tmpl w:val="CDE9F7A8"/>
    <w:lvl w:ilvl="0" w:tentative="0">
      <w:start w:val="3"/>
      <w:numFmt w:val="decimal"/>
      <w:suff w:val="nothing"/>
      <w:lvlText w:val="（%1）"/>
      <w:lvlJc w:val="left"/>
      <w:pPr>
        <w:tabs>
          <w:tab w:val="left" w:pos="0"/>
        </w:tabs>
      </w:pPr>
      <w:rPr>
        <w:rFonts w:hint="default"/>
      </w:rPr>
    </w:lvl>
  </w:abstractNum>
  <w:abstractNum w:abstractNumId="3">
    <w:nsid w:val="F2730299"/>
    <w:multiLevelType w:val="singleLevel"/>
    <w:tmpl w:val="F2730299"/>
    <w:lvl w:ilvl="0" w:tentative="0">
      <w:start w:val="1"/>
      <w:numFmt w:val="chineseCounting"/>
      <w:suff w:val="nothing"/>
      <w:lvlText w:val="%1、"/>
      <w:lvlJc w:val="left"/>
      <w:pPr>
        <w:ind w:left="0"/>
      </w:pPr>
      <w:rPr>
        <w:rFonts w:hint="eastAsia"/>
      </w:rPr>
    </w:lvl>
  </w:abstractNum>
  <w:abstractNum w:abstractNumId="4">
    <w:nsid w:val="4579A117"/>
    <w:multiLevelType w:val="singleLevel"/>
    <w:tmpl w:val="4579A117"/>
    <w:lvl w:ilvl="0" w:tentative="0">
      <w:start w:val="1"/>
      <w:numFmt w:val="decimal"/>
      <w:suff w:val="nothing"/>
      <w:lvlText w:val="（%1）"/>
      <w:lvlJc w:val="left"/>
    </w:lvl>
  </w:abstractNum>
  <w:abstractNum w:abstractNumId="5">
    <w:nsid w:val="5BBB9D07"/>
    <w:multiLevelType w:val="singleLevel"/>
    <w:tmpl w:val="5BBB9D07"/>
    <w:lvl w:ilvl="0" w:tentative="0">
      <w:start w:val="1"/>
      <w:numFmt w:val="decimal"/>
      <w:suff w:val="space"/>
      <w:lvlText w:val="%1."/>
      <w:lvlJc w:val="left"/>
    </w:lvl>
  </w:abstractNum>
  <w:abstractNum w:abstractNumId="6">
    <w:nsid w:val="6C6D10F6"/>
    <w:multiLevelType w:val="singleLevel"/>
    <w:tmpl w:val="6C6D10F6"/>
    <w:lvl w:ilvl="0" w:tentative="0">
      <w:start w:val="1"/>
      <w:numFmt w:val="bullet"/>
      <w:pStyle w:val="15"/>
      <w:lvlText w:val=""/>
      <w:lvlJc w:val="left"/>
      <w:pPr>
        <w:tabs>
          <w:tab w:val="left" w:pos="2040"/>
        </w:tabs>
        <w:ind w:left="2040" w:hanging="360"/>
      </w:pPr>
      <w:rPr>
        <w:rFonts w:hint="default" w:ascii="Wingdings" w:hAnsi="Wingdings"/>
      </w:rPr>
    </w:lvl>
  </w:abstractNum>
  <w:num w:numId="1">
    <w:abstractNumId w:val="6"/>
  </w:num>
  <w:num w:numId="2">
    <w:abstractNumId w:val="5"/>
  </w:num>
  <w:num w:numId="3">
    <w:abstractNumId w:val="0"/>
  </w:num>
  <w:num w:numId="4">
    <w:abstractNumId w:val="2"/>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5ZWRlYmQxZWVkMWZiZGVmYjNkMzNhMjQyYzc1NDIifQ=="/>
  </w:docVars>
  <w:rsids>
    <w:rsidRoot w:val="00172A27"/>
    <w:rsid w:val="00002948"/>
    <w:rsid w:val="000054F0"/>
    <w:rsid w:val="0000594B"/>
    <w:rsid w:val="000060B3"/>
    <w:rsid w:val="000114DA"/>
    <w:rsid w:val="000123A1"/>
    <w:rsid w:val="000124BB"/>
    <w:rsid w:val="000136A1"/>
    <w:rsid w:val="000277B5"/>
    <w:rsid w:val="00035901"/>
    <w:rsid w:val="00035B6E"/>
    <w:rsid w:val="0003620F"/>
    <w:rsid w:val="0004364B"/>
    <w:rsid w:val="00045CDD"/>
    <w:rsid w:val="000538D9"/>
    <w:rsid w:val="00061004"/>
    <w:rsid w:val="000610A7"/>
    <w:rsid w:val="00061B1F"/>
    <w:rsid w:val="00066EF4"/>
    <w:rsid w:val="00071ADA"/>
    <w:rsid w:val="000733C4"/>
    <w:rsid w:val="00074783"/>
    <w:rsid w:val="000763B5"/>
    <w:rsid w:val="00076C86"/>
    <w:rsid w:val="000770A1"/>
    <w:rsid w:val="0008070B"/>
    <w:rsid w:val="000810AC"/>
    <w:rsid w:val="00081A02"/>
    <w:rsid w:val="00082231"/>
    <w:rsid w:val="00083369"/>
    <w:rsid w:val="0009005F"/>
    <w:rsid w:val="00092D38"/>
    <w:rsid w:val="0009377B"/>
    <w:rsid w:val="000959E7"/>
    <w:rsid w:val="000A1176"/>
    <w:rsid w:val="000A20C9"/>
    <w:rsid w:val="000A2148"/>
    <w:rsid w:val="000B058F"/>
    <w:rsid w:val="000B4467"/>
    <w:rsid w:val="000B4DB9"/>
    <w:rsid w:val="000C09AC"/>
    <w:rsid w:val="000C44FE"/>
    <w:rsid w:val="000C6B78"/>
    <w:rsid w:val="000C767F"/>
    <w:rsid w:val="000D317B"/>
    <w:rsid w:val="000D5A44"/>
    <w:rsid w:val="000D713F"/>
    <w:rsid w:val="000E18E5"/>
    <w:rsid w:val="000E3ED2"/>
    <w:rsid w:val="000F0721"/>
    <w:rsid w:val="000F2A6D"/>
    <w:rsid w:val="00106D3D"/>
    <w:rsid w:val="00111970"/>
    <w:rsid w:val="0011338D"/>
    <w:rsid w:val="00113956"/>
    <w:rsid w:val="00117B25"/>
    <w:rsid w:val="00121481"/>
    <w:rsid w:val="001319CF"/>
    <w:rsid w:val="00131F42"/>
    <w:rsid w:val="001357F1"/>
    <w:rsid w:val="00140FA8"/>
    <w:rsid w:val="00141C66"/>
    <w:rsid w:val="00142F53"/>
    <w:rsid w:val="00142FEB"/>
    <w:rsid w:val="00143A2D"/>
    <w:rsid w:val="0014415D"/>
    <w:rsid w:val="00144BF8"/>
    <w:rsid w:val="00144E96"/>
    <w:rsid w:val="0014565F"/>
    <w:rsid w:val="00145A41"/>
    <w:rsid w:val="00145F14"/>
    <w:rsid w:val="001473F9"/>
    <w:rsid w:val="001504B8"/>
    <w:rsid w:val="00151675"/>
    <w:rsid w:val="00153293"/>
    <w:rsid w:val="001556E2"/>
    <w:rsid w:val="00157435"/>
    <w:rsid w:val="00172E6E"/>
    <w:rsid w:val="00173724"/>
    <w:rsid w:val="00173BF8"/>
    <w:rsid w:val="0017504D"/>
    <w:rsid w:val="00176579"/>
    <w:rsid w:val="0017671A"/>
    <w:rsid w:val="00177422"/>
    <w:rsid w:val="00180367"/>
    <w:rsid w:val="00184590"/>
    <w:rsid w:val="00184D5A"/>
    <w:rsid w:val="00186D67"/>
    <w:rsid w:val="001870D1"/>
    <w:rsid w:val="0018781E"/>
    <w:rsid w:val="001900C4"/>
    <w:rsid w:val="00190978"/>
    <w:rsid w:val="0019262D"/>
    <w:rsid w:val="0019266C"/>
    <w:rsid w:val="00194932"/>
    <w:rsid w:val="00197780"/>
    <w:rsid w:val="001A1B35"/>
    <w:rsid w:val="001A48A2"/>
    <w:rsid w:val="001A5268"/>
    <w:rsid w:val="001A5976"/>
    <w:rsid w:val="001A6F61"/>
    <w:rsid w:val="001B1150"/>
    <w:rsid w:val="001B2C43"/>
    <w:rsid w:val="001B50AE"/>
    <w:rsid w:val="001B5B85"/>
    <w:rsid w:val="001B72B8"/>
    <w:rsid w:val="001C0204"/>
    <w:rsid w:val="001C2B35"/>
    <w:rsid w:val="001C69B3"/>
    <w:rsid w:val="001D1615"/>
    <w:rsid w:val="001D5595"/>
    <w:rsid w:val="001D5C1F"/>
    <w:rsid w:val="001D7874"/>
    <w:rsid w:val="001D7F22"/>
    <w:rsid w:val="001E0B09"/>
    <w:rsid w:val="001E2198"/>
    <w:rsid w:val="001E4598"/>
    <w:rsid w:val="001F0F17"/>
    <w:rsid w:val="001F3347"/>
    <w:rsid w:val="001F386B"/>
    <w:rsid w:val="001F69E4"/>
    <w:rsid w:val="001F7194"/>
    <w:rsid w:val="00200C1D"/>
    <w:rsid w:val="00202637"/>
    <w:rsid w:val="002060CA"/>
    <w:rsid w:val="002125B4"/>
    <w:rsid w:val="00212ACF"/>
    <w:rsid w:val="002155B8"/>
    <w:rsid w:val="002226EE"/>
    <w:rsid w:val="00224839"/>
    <w:rsid w:val="002249B2"/>
    <w:rsid w:val="00224A22"/>
    <w:rsid w:val="00226574"/>
    <w:rsid w:val="002278EC"/>
    <w:rsid w:val="00230591"/>
    <w:rsid w:val="0023280E"/>
    <w:rsid w:val="002376E6"/>
    <w:rsid w:val="002377D1"/>
    <w:rsid w:val="002403D2"/>
    <w:rsid w:val="00240B95"/>
    <w:rsid w:val="0024147C"/>
    <w:rsid w:val="0024204A"/>
    <w:rsid w:val="002506BC"/>
    <w:rsid w:val="00254345"/>
    <w:rsid w:val="0025438B"/>
    <w:rsid w:val="00255265"/>
    <w:rsid w:val="00260ACC"/>
    <w:rsid w:val="00264557"/>
    <w:rsid w:val="00264FD8"/>
    <w:rsid w:val="0027265B"/>
    <w:rsid w:val="002753C1"/>
    <w:rsid w:val="002805AB"/>
    <w:rsid w:val="002831FC"/>
    <w:rsid w:val="00284204"/>
    <w:rsid w:val="0028698F"/>
    <w:rsid w:val="00291773"/>
    <w:rsid w:val="0029343F"/>
    <w:rsid w:val="00293694"/>
    <w:rsid w:val="00294891"/>
    <w:rsid w:val="002A168C"/>
    <w:rsid w:val="002A3DC7"/>
    <w:rsid w:val="002A54FE"/>
    <w:rsid w:val="002B49E2"/>
    <w:rsid w:val="002B4CED"/>
    <w:rsid w:val="002B7B00"/>
    <w:rsid w:val="002B7C44"/>
    <w:rsid w:val="002C2521"/>
    <w:rsid w:val="002C2B17"/>
    <w:rsid w:val="002C7859"/>
    <w:rsid w:val="002D2ADA"/>
    <w:rsid w:val="002D3DD0"/>
    <w:rsid w:val="002D78CC"/>
    <w:rsid w:val="002E1900"/>
    <w:rsid w:val="002E1F3A"/>
    <w:rsid w:val="002E282A"/>
    <w:rsid w:val="002E298A"/>
    <w:rsid w:val="002E72DD"/>
    <w:rsid w:val="002F16B0"/>
    <w:rsid w:val="002F19A5"/>
    <w:rsid w:val="002F3628"/>
    <w:rsid w:val="002F755B"/>
    <w:rsid w:val="002F767A"/>
    <w:rsid w:val="00301978"/>
    <w:rsid w:val="00301E87"/>
    <w:rsid w:val="0030332C"/>
    <w:rsid w:val="003051C2"/>
    <w:rsid w:val="00312296"/>
    <w:rsid w:val="00314F0E"/>
    <w:rsid w:val="00316BCD"/>
    <w:rsid w:val="00320A89"/>
    <w:rsid w:val="00321D8E"/>
    <w:rsid w:val="00324107"/>
    <w:rsid w:val="003249EC"/>
    <w:rsid w:val="00325928"/>
    <w:rsid w:val="00326F65"/>
    <w:rsid w:val="00331AC2"/>
    <w:rsid w:val="00332863"/>
    <w:rsid w:val="0033684D"/>
    <w:rsid w:val="00337B42"/>
    <w:rsid w:val="00341B42"/>
    <w:rsid w:val="0034348F"/>
    <w:rsid w:val="00344A73"/>
    <w:rsid w:val="00346D2E"/>
    <w:rsid w:val="00347C3B"/>
    <w:rsid w:val="00347ECB"/>
    <w:rsid w:val="00351E7F"/>
    <w:rsid w:val="00356653"/>
    <w:rsid w:val="0035743F"/>
    <w:rsid w:val="00357BE2"/>
    <w:rsid w:val="0036170C"/>
    <w:rsid w:val="00362727"/>
    <w:rsid w:val="003627CB"/>
    <w:rsid w:val="00362D72"/>
    <w:rsid w:val="00363706"/>
    <w:rsid w:val="003648BF"/>
    <w:rsid w:val="0036500A"/>
    <w:rsid w:val="0036571D"/>
    <w:rsid w:val="00366E0F"/>
    <w:rsid w:val="003676FB"/>
    <w:rsid w:val="00370E4F"/>
    <w:rsid w:val="00372892"/>
    <w:rsid w:val="00373E7A"/>
    <w:rsid w:val="003740DC"/>
    <w:rsid w:val="003766A4"/>
    <w:rsid w:val="003774BA"/>
    <w:rsid w:val="00381A72"/>
    <w:rsid w:val="00384676"/>
    <w:rsid w:val="00390857"/>
    <w:rsid w:val="003926DB"/>
    <w:rsid w:val="00397BAD"/>
    <w:rsid w:val="003A24F8"/>
    <w:rsid w:val="003A4BF3"/>
    <w:rsid w:val="003A6661"/>
    <w:rsid w:val="003B3C0E"/>
    <w:rsid w:val="003B420D"/>
    <w:rsid w:val="003B52F1"/>
    <w:rsid w:val="003C6C16"/>
    <w:rsid w:val="003D794D"/>
    <w:rsid w:val="003E0D4D"/>
    <w:rsid w:val="003E15C9"/>
    <w:rsid w:val="003E3058"/>
    <w:rsid w:val="003E4B68"/>
    <w:rsid w:val="003E76A9"/>
    <w:rsid w:val="003F0809"/>
    <w:rsid w:val="003F5309"/>
    <w:rsid w:val="003F5707"/>
    <w:rsid w:val="003F6A8C"/>
    <w:rsid w:val="003F755C"/>
    <w:rsid w:val="004029AA"/>
    <w:rsid w:val="00406F01"/>
    <w:rsid w:val="00407018"/>
    <w:rsid w:val="00416D50"/>
    <w:rsid w:val="00416FD5"/>
    <w:rsid w:val="00417203"/>
    <w:rsid w:val="00417772"/>
    <w:rsid w:val="00420E6A"/>
    <w:rsid w:val="0042216D"/>
    <w:rsid w:val="00425A9E"/>
    <w:rsid w:val="00426B94"/>
    <w:rsid w:val="00426D6B"/>
    <w:rsid w:val="00426F76"/>
    <w:rsid w:val="00431392"/>
    <w:rsid w:val="00431E6C"/>
    <w:rsid w:val="00433CE7"/>
    <w:rsid w:val="00435F04"/>
    <w:rsid w:val="00436900"/>
    <w:rsid w:val="004465B4"/>
    <w:rsid w:val="00447F39"/>
    <w:rsid w:val="00450150"/>
    <w:rsid w:val="00452738"/>
    <w:rsid w:val="00456091"/>
    <w:rsid w:val="00457743"/>
    <w:rsid w:val="00460E42"/>
    <w:rsid w:val="00466321"/>
    <w:rsid w:val="004715B5"/>
    <w:rsid w:val="0047198E"/>
    <w:rsid w:val="004762C2"/>
    <w:rsid w:val="00476DA4"/>
    <w:rsid w:val="00476EFE"/>
    <w:rsid w:val="004807AE"/>
    <w:rsid w:val="00484B9B"/>
    <w:rsid w:val="004855F6"/>
    <w:rsid w:val="0048661E"/>
    <w:rsid w:val="00494670"/>
    <w:rsid w:val="004A3823"/>
    <w:rsid w:val="004A5F78"/>
    <w:rsid w:val="004B0030"/>
    <w:rsid w:val="004B1B5C"/>
    <w:rsid w:val="004C1007"/>
    <w:rsid w:val="004C23F6"/>
    <w:rsid w:val="004D4F50"/>
    <w:rsid w:val="004E047D"/>
    <w:rsid w:val="004E6946"/>
    <w:rsid w:val="004E7E47"/>
    <w:rsid w:val="004F1AD8"/>
    <w:rsid w:val="004F23AB"/>
    <w:rsid w:val="004F398B"/>
    <w:rsid w:val="004F41D4"/>
    <w:rsid w:val="004F4E6A"/>
    <w:rsid w:val="00501673"/>
    <w:rsid w:val="005039CB"/>
    <w:rsid w:val="0050558F"/>
    <w:rsid w:val="0050575F"/>
    <w:rsid w:val="00506286"/>
    <w:rsid w:val="00510813"/>
    <w:rsid w:val="00510B79"/>
    <w:rsid w:val="00511990"/>
    <w:rsid w:val="00511DE0"/>
    <w:rsid w:val="00514870"/>
    <w:rsid w:val="00514B9B"/>
    <w:rsid w:val="00517F02"/>
    <w:rsid w:val="00520FE3"/>
    <w:rsid w:val="00521D99"/>
    <w:rsid w:val="00523310"/>
    <w:rsid w:val="00524303"/>
    <w:rsid w:val="005253FE"/>
    <w:rsid w:val="005258A2"/>
    <w:rsid w:val="00531C35"/>
    <w:rsid w:val="005401AE"/>
    <w:rsid w:val="00542E07"/>
    <w:rsid w:val="00545424"/>
    <w:rsid w:val="00546A06"/>
    <w:rsid w:val="005528FA"/>
    <w:rsid w:val="00554A7B"/>
    <w:rsid w:val="00555411"/>
    <w:rsid w:val="0055572C"/>
    <w:rsid w:val="00556020"/>
    <w:rsid w:val="0056106A"/>
    <w:rsid w:val="00561CBC"/>
    <w:rsid w:val="00564AD7"/>
    <w:rsid w:val="00567E68"/>
    <w:rsid w:val="005720AE"/>
    <w:rsid w:val="00594D77"/>
    <w:rsid w:val="00596142"/>
    <w:rsid w:val="005969E4"/>
    <w:rsid w:val="005A06B7"/>
    <w:rsid w:val="005A0793"/>
    <w:rsid w:val="005A1759"/>
    <w:rsid w:val="005A2009"/>
    <w:rsid w:val="005A68A7"/>
    <w:rsid w:val="005B11F6"/>
    <w:rsid w:val="005B14CA"/>
    <w:rsid w:val="005B6D99"/>
    <w:rsid w:val="005C4794"/>
    <w:rsid w:val="005C6F8B"/>
    <w:rsid w:val="005D149F"/>
    <w:rsid w:val="005D36AB"/>
    <w:rsid w:val="005D3757"/>
    <w:rsid w:val="005D3DF6"/>
    <w:rsid w:val="005D5AD7"/>
    <w:rsid w:val="005D6431"/>
    <w:rsid w:val="005D756A"/>
    <w:rsid w:val="005D7A6C"/>
    <w:rsid w:val="005E1D81"/>
    <w:rsid w:val="005E54ED"/>
    <w:rsid w:val="005F2004"/>
    <w:rsid w:val="005F3B06"/>
    <w:rsid w:val="005F6FE4"/>
    <w:rsid w:val="006001FB"/>
    <w:rsid w:val="00600AD6"/>
    <w:rsid w:val="006036E6"/>
    <w:rsid w:val="00603FDC"/>
    <w:rsid w:val="00610DF4"/>
    <w:rsid w:val="006117BF"/>
    <w:rsid w:val="006140D1"/>
    <w:rsid w:val="00614676"/>
    <w:rsid w:val="0061765B"/>
    <w:rsid w:val="00617A70"/>
    <w:rsid w:val="00617CC3"/>
    <w:rsid w:val="00625389"/>
    <w:rsid w:val="00625736"/>
    <w:rsid w:val="00630090"/>
    <w:rsid w:val="00630289"/>
    <w:rsid w:val="006348FE"/>
    <w:rsid w:val="00634DFC"/>
    <w:rsid w:val="00635FB2"/>
    <w:rsid w:val="006377A6"/>
    <w:rsid w:val="00637A3D"/>
    <w:rsid w:val="00637BDF"/>
    <w:rsid w:val="00640892"/>
    <w:rsid w:val="006411EF"/>
    <w:rsid w:val="00645DBC"/>
    <w:rsid w:val="006500C7"/>
    <w:rsid w:val="006560B5"/>
    <w:rsid w:val="00663D39"/>
    <w:rsid w:val="0066624D"/>
    <w:rsid w:val="006748B8"/>
    <w:rsid w:val="006760D4"/>
    <w:rsid w:val="006775C3"/>
    <w:rsid w:val="0069290A"/>
    <w:rsid w:val="00693D3E"/>
    <w:rsid w:val="0069407B"/>
    <w:rsid w:val="0069775A"/>
    <w:rsid w:val="00697813"/>
    <w:rsid w:val="006A15AA"/>
    <w:rsid w:val="006A353A"/>
    <w:rsid w:val="006A3A7D"/>
    <w:rsid w:val="006A3EE8"/>
    <w:rsid w:val="006A7253"/>
    <w:rsid w:val="006A72BF"/>
    <w:rsid w:val="006B03F2"/>
    <w:rsid w:val="006B07DE"/>
    <w:rsid w:val="006B2E8F"/>
    <w:rsid w:val="006B3201"/>
    <w:rsid w:val="006B37DC"/>
    <w:rsid w:val="006B4F68"/>
    <w:rsid w:val="006C0592"/>
    <w:rsid w:val="006C1719"/>
    <w:rsid w:val="006C2594"/>
    <w:rsid w:val="006C272E"/>
    <w:rsid w:val="006C3146"/>
    <w:rsid w:val="006C5091"/>
    <w:rsid w:val="006C5479"/>
    <w:rsid w:val="006C62F7"/>
    <w:rsid w:val="006C7396"/>
    <w:rsid w:val="006D13B5"/>
    <w:rsid w:val="006D4102"/>
    <w:rsid w:val="006E12FF"/>
    <w:rsid w:val="006E2650"/>
    <w:rsid w:val="006E607E"/>
    <w:rsid w:val="006E7B2C"/>
    <w:rsid w:val="006F1D29"/>
    <w:rsid w:val="006F73C0"/>
    <w:rsid w:val="00701306"/>
    <w:rsid w:val="007030AC"/>
    <w:rsid w:val="007032AB"/>
    <w:rsid w:val="00706C5D"/>
    <w:rsid w:val="00713AFA"/>
    <w:rsid w:val="00715ACF"/>
    <w:rsid w:val="00721ABA"/>
    <w:rsid w:val="00721FA2"/>
    <w:rsid w:val="00722928"/>
    <w:rsid w:val="0072787F"/>
    <w:rsid w:val="00731C9B"/>
    <w:rsid w:val="00732922"/>
    <w:rsid w:val="0073588F"/>
    <w:rsid w:val="00736D54"/>
    <w:rsid w:val="00741439"/>
    <w:rsid w:val="00746B60"/>
    <w:rsid w:val="0075162E"/>
    <w:rsid w:val="00752012"/>
    <w:rsid w:val="00752C18"/>
    <w:rsid w:val="00754034"/>
    <w:rsid w:val="00756556"/>
    <w:rsid w:val="007574EA"/>
    <w:rsid w:val="00760690"/>
    <w:rsid w:val="007618C4"/>
    <w:rsid w:val="00762DA7"/>
    <w:rsid w:val="00764206"/>
    <w:rsid w:val="00764253"/>
    <w:rsid w:val="00767980"/>
    <w:rsid w:val="00770B19"/>
    <w:rsid w:val="007725A7"/>
    <w:rsid w:val="0077463F"/>
    <w:rsid w:val="00774C2B"/>
    <w:rsid w:val="00775556"/>
    <w:rsid w:val="00775C9C"/>
    <w:rsid w:val="0077631B"/>
    <w:rsid w:val="007776A5"/>
    <w:rsid w:val="007836EA"/>
    <w:rsid w:val="00783FD0"/>
    <w:rsid w:val="00784CDA"/>
    <w:rsid w:val="00785A25"/>
    <w:rsid w:val="00787157"/>
    <w:rsid w:val="007906C4"/>
    <w:rsid w:val="0079301F"/>
    <w:rsid w:val="007940EA"/>
    <w:rsid w:val="007967E8"/>
    <w:rsid w:val="00797A83"/>
    <w:rsid w:val="007A1CB4"/>
    <w:rsid w:val="007A2170"/>
    <w:rsid w:val="007A22BF"/>
    <w:rsid w:val="007A2581"/>
    <w:rsid w:val="007A3323"/>
    <w:rsid w:val="007A6005"/>
    <w:rsid w:val="007B1E17"/>
    <w:rsid w:val="007B49EA"/>
    <w:rsid w:val="007B72B8"/>
    <w:rsid w:val="007B7A58"/>
    <w:rsid w:val="007C0330"/>
    <w:rsid w:val="007C1C20"/>
    <w:rsid w:val="007C1E68"/>
    <w:rsid w:val="007C21B5"/>
    <w:rsid w:val="007C584A"/>
    <w:rsid w:val="007C7895"/>
    <w:rsid w:val="007D65F1"/>
    <w:rsid w:val="007E1F67"/>
    <w:rsid w:val="007E29A7"/>
    <w:rsid w:val="007E4BD2"/>
    <w:rsid w:val="007E5F43"/>
    <w:rsid w:val="007F45F7"/>
    <w:rsid w:val="007F61E3"/>
    <w:rsid w:val="00800F34"/>
    <w:rsid w:val="00801393"/>
    <w:rsid w:val="00802F88"/>
    <w:rsid w:val="00806809"/>
    <w:rsid w:val="0081293E"/>
    <w:rsid w:val="00815465"/>
    <w:rsid w:val="00815709"/>
    <w:rsid w:val="0081781B"/>
    <w:rsid w:val="00817E9A"/>
    <w:rsid w:val="0082336D"/>
    <w:rsid w:val="0082637A"/>
    <w:rsid w:val="008266CC"/>
    <w:rsid w:val="00827876"/>
    <w:rsid w:val="00827FC1"/>
    <w:rsid w:val="008306BD"/>
    <w:rsid w:val="00831648"/>
    <w:rsid w:val="00831A80"/>
    <w:rsid w:val="00833743"/>
    <w:rsid w:val="00833B0C"/>
    <w:rsid w:val="008340A4"/>
    <w:rsid w:val="00841236"/>
    <w:rsid w:val="00842864"/>
    <w:rsid w:val="00843DBA"/>
    <w:rsid w:val="00851804"/>
    <w:rsid w:val="00852510"/>
    <w:rsid w:val="008532EB"/>
    <w:rsid w:val="00855855"/>
    <w:rsid w:val="0086029B"/>
    <w:rsid w:val="00870CD9"/>
    <w:rsid w:val="0087135F"/>
    <w:rsid w:val="00871618"/>
    <w:rsid w:val="00872D94"/>
    <w:rsid w:val="00872E7A"/>
    <w:rsid w:val="008730C9"/>
    <w:rsid w:val="0087311B"/>
    <w:rsid w:val="00873F3F"/>
    <w:rsid w:val="008756B8"/>
    <w:rsid w:val="00880364"/>
    <w:rsid w:val="00891592"/>
    <w:rsid w:val="00891E9E"/>
    <w:rsid w:val="00892F8E"/>
    <w:rsid w:val="008A2F68"/>
    <w:rsid w:val="008A69C9"/>
    <w:rsid w:val="008A6E54"/>
    <w:rsid w:val="008A7F5B"/>
    <w:rsid w:val="008B0752"/>
    <w:rsid w:val="008B4FA6"/>
    <w:rsid w:val="008B5282"/>
    <w:rsid w:val="008B7C17"/>
    <w:rsid w:val="008C2230"/>
    <w:rsid w:val="008C2D01"/>
    <w:rsid w:val="008C3D46"/>
    <w:rsid w:val="008C3D80"/>
    <w:rsid w:val="008C40E6"/>
    <w:rsid w:val="008C4526"/>
    <w:rsid w:val="008D0F7A"/>
    <w:rsid w:val="008D5B54"/>
    <w:rsid w:val="008D68E4"/>
    <w:rsid w:val="008D6FB6"/>
    <w:rsid w:val="008E0506"/>
    <w:rsid w:val="008E0CFF"/>
    <w:rsid w:val="008E23C3"/>
    <w:rsid w:val="008E3799"/>
    <w:rsid w:val="008E5D6B"/>
    <w:rsid w:val="008E6D26"/>
    <w:rsid w:val="008E76F0"/>
    <w:rsid w:val="008F15FE"/>
    <w:rsid w:val="008F2D29"/>
    <w:rsid w:val="008F5187"/>
    <w:rsid w:val="008F60D8"/>
    <w:rsid w:val="008F7273"/>
    <w:rsid w:val="009016FE"/>
    <w:rsid w:val="00902727"/>
    <w:rsid w:val="0090312B"/>
    <w:rsid w:val="0091279B"/>
    <w:rsid w:val="009156EB"/>
    <w:rsid w:val="009157EA"/>
    <w:rsid w:val="009169EA"/>
    <w:rsid w:val="0091736D"/>
    <w:rsid w:val="009262FD"/>
    <w:rsid w:val="0093037A"/>
    <w:rsid w:val="00930C3B"/>
    <w:rsid w:val="00931619"/>
    <w:rsid w:val="00932ABE"/>
    <w:rsid w:val="00932B62"/>
    <w:rsid w:val="009356F5"/>
    <w:rsid w:val="00937FF6"/>
    <w:rsid w:val="0094154D"/>
    <w:rsid w:val="00944877"/>
    <w:rsid w:val="0094747E"/>
    <w:rsid w:val="009509F9"/>
    <w:rsid w:val="0095155F"/>
    <w:rsid w:val="009529F0"/>
    <w:rsid w:val="00954429"/>
    <w:rsid w:val="009563CE"/>
    <w:rsid w:val="00957320"/>
    <w:rsid w:val="00960577"/>
    <w:rsid w:val="009623C9"/>
    <w:rsid w:val="00965638"/>
    <w:rsid w:val="009662F3"/>
    <w:rsid w:val="009701A7"/>
    <w:rsid w:val="009723D1"/>
    <w:rsid w:val="00975991"/>
    <w:rsid w:val="0097607F"/>
    <w:rsid w:val="00976328"/>
    <w:rsid w:val="0097680D"/>
    <w:rsid w:val="00980C3A"/>
    <w:rsid w:val="00980D2A"/>
    <w:rsid w:val="00982438"/>
    <w:rsid w:val="00982700"/>
    <w:rsid w:val="0098404C"/>
    <w:rsid w:val="00985283"/>
    <w:rsid w:val="00985C52"/>
    <w:rsid w:val="009901A7"/>
    <w:rsid w:val="00990DA0"/>
    <w:rsid w:val="00995992"/>
    <w:rsid w:val="00996D05"/>
    <w:rsid w:val="00996EE1"/>
    <w:rsid w:val="009A03E5"/>
    <w:rsid w:val="009A0F3B"/>
    <w:rsid w:val="009A1BB4"/>
    <w:rsid w:val="009A2628"/>
    <w:rsid w:val="009A3200"/>
    <w:rsid w:val="009A66A5"/>
    <w:rsid w:val="009A6B4B"/>
    <w:rsid w:val="009B0897"/>
    <w:rsid w:val="009B0C9A"/>
    <w:rsid w:val="009B1679"/>
    <w:rsid w:val="009B4319"/>
    <w:rsid w:val="009B7BD9"/>
    <w:rsid w:val="009C342A"/>
    <w:rsid w:val="009C4BB5"/>
    <w:rsid w:val="009C7A6D"/>
    <w:rsid w:val="009C7DD5"/>
    <w:rsid w:val="009C7F56"/>
    <w:rsid w:val="009D1360"/>
    <w:rsid w:val="009D259A"/>
    <w:rsid w:val="009D5444"/>
    <w:rsid w:val="009D5746"/>
    <w:rsid w:val="009E227D"/>
    <w:rsid w:val="009E4BB1"/>
    <w:rsid w:val="009E5019"/>
    <w:rsid w:val="009F1441"/>
    <w:rsid w:val="00A0270A"/>
    <w:rsid w:val="00A043AE"/>
    <w:rsid w:val="00A04F1B"/>
    <w:rsid w:val="00A0501B"/>
    <w:rsid w:val="00A14947"/>
    <w:rsid w:val="00A15C38"/>
    <w:rsid w:val="00A21AC1"/>
    <w:rsid w:val="00A32A83"/>
    <w:rsid w:val="00A33DA1"/>
    <w:rsid w:val="00A368DB"/>
    <w:rsid w:val="00A368DF"/>
    <w:rsid w:val="00A404A4"/>
    <w:rsid w:val="00A423AA"/>
    <w:rsid w:val="00A4313A"/>
    <w:rsid w:val="00A510ED"/>
    <w:rsid w:val="00A53EC6"/>
    <w:rsid w:val="00A55C0F"/>
    <w:rsid w:val="00A63D9D"/>
    <w:rsid w:val="00A71873"/>
    <w:rsid w:val="00A71E2E"/>
    <w:rsid w:val="00A764F2"/>
    <w:rsid w:val="00A81C5C"/>
    <w:rsid w:val="00A8713F"/>
    <w:rsid w:val="00A90BA1"/>
    <w:rsid w:val="00A939E6"/>
    <w:rsid w:val="00A968ED"/>
    <w:rsid w:val="00A97A9A"/>
    <w:rsid w:val="00A97E3F"/>
    <w:rsid w:val="00AA0671"/>
    <w:rsid w:val="00AA1164"/>
    <w:rsid w:val="00AA2531"/>
    <w:rsid w:val="00AA28B1"/>
    <w:rsid w:val="00AB1E09"/>
    <w:rsid w:val="00AB5190"/>
    <w:rsid w:val="00AB5330"/>
    <w:rsid w:val="00AB7747"/>
    <w:rsid w:val="00AC0DE8"/>
    <w:rsid w:val="00AC14CE"/>
    <w:rsid w:val="00AC2A56"/>
    <w:rsid w:val="00AC47E7"/>
    <w:rsid w:val="00AC68BF"/>
    <w:rsid w:val="00AD055E"/>
    <w:rsid w:val="00AD1F5E"/>
    <w:rsid w:val="00AD2196"/>
    <w:rsid w:val="00AD2441"/>
    <w:rsid w:val="00AD47A7"/>
    <w:rsid w:val="00AD68A4"/>
    <w:rsid w:val="00AD7114"/>
    <w:rsid w:val="00AE49D0"/>
    <w:rsid w:val="00AE7A9E"/>
    <w:rsid w:val="00AF0CBF"/>
    <w:rsid w:val="00AF257F"/>
    <w:rsid w:val="00AF33CF"/>
    <w:rsid w:val="00AF4D50"/>
    <w:rsid w:val="00AF6179"/>
    <w:rsid w:val="00B02CE6"/>
    <w:rsid w:val="00B067A1"/>
    <w:rsid w:val="00B07400"/>
    <w:rsid w:val="00B07B9C"/>
    <w:rsid w:val="00B1295A"/>
    <w:rsid w:val="00B158B1"/>
    <w:rsid w:val="00B15EDC"/>
    <w:rsid w:val="00B16BA8"/>
    <w:rsid w:val="00B175E8"/>
    <w:rsid w:val="00B20A45"/>
    <w:rsid w:val="00B21DE3"/>
    <w:rsid w:val="00B22C5C"/>
    <w:rsid w:val="00B23D7A"/>
    <w:rsid w:val="00B24F30"/>
    <w:rsid w:val="00B306B5"/>
    <w:rsid w:val="00B31ABF"/>
    <w:rsid w:val="00B33BE3"/>
    <w:rsid w:val="00B35413"/>
    <w:rsid w:val="00B46176"/>
    <w:rsid w:val="00B50322"/>
    <w:rsid w:val="00B53541"/>
    <w:rsid w:val="00B53B5D"/>
    <w:rsid w:val="00B53C1D"/>
    <w:rsid w:val="00B54088"/>
    <w:rsid w:val="00B549F0"/>
    <w:rsid w:val="00B6055E"/>
    <w:rsid w:val="00B60E99"/>
    <w:rsid w:val="00B62ECA"/>
    <w:rsid w:val="00B6317D"/>
    <w:rsid w:val="00B70A9C"/>
    <w:rsid w:val="00B76F0D"/>
    <w:rsid w:val="00B7723F"/>
    <w:rsid w:val="00B77EB0"/>
    <w:rsid w:val="00B80534"/>
    <w:rsid w:val="00B8088D"/>
    <w:rsid w:val="00B8433C"/>
    <w:rsid w:val="00B84657"/>
    <w:rsid w:val="00B87491"/>
    <w:rsid w:val="00B946D9"/>
    <w:rsid w:val="00B96A81"/>
    <w:rsid w:val="00BA29E9"/>
    <w:rsid w:val="00BA7142"/>
    <w:rsid w:val="00BB1E8A"/>
    <w:rsid w:val="00BB237C"/>
    <w:rsid w:val="00BB3DEC"/>
    <w:rsid w:val="00BB41A3"/>
    <w:rsid w:val="00BC08E3"/>
    <w:rsid w:val="00BC2155"/>
    <w:rsid w:val="00BC2816"/>
    <w:rsid w:val="00BC32DC"/>
    <w:rsid w:val="00BC35B6"/>
    <w:rsid w:val="00BC5E0F"/>
    <w:rsid w:val="00BC72BA"/>
    <w:rsid w:val="00BD1B51"/>
    <w:rsid w:val="00BD1DE8"/>
    <w:rsid w:val="00BD2E83"/>
    <w:rsid w:val="00BD4596"/>
    <w:rsid w:val="00BD787C"/>
    <w:rsid w:val="00BD7A8B"/>
    <w:rsid w:val="00BE1405"/>
    <w:rsid w:val="00BE1B4C"/>
    <w:rsid w:val="00BE312D"/>
    <w:rsid w:val="00BE64F7"/>
    <w:rsid w:val="00BE79AE"/>
    <w:rsid w:val="00BF1C20"/>
    <w:rsid w:val="00BF1C9B"/>
    <w:rsid w:val="00C03F49"/>
    <w:rsid w:val="00C06998"/>
    <w:rsid w:val="00C0706D"/>
    <w:rsid w:val="00C075C9"/>
    <w:rsid w:val="00C10578"/>
    <w:rsid w:val="00C11F0C"/>
    <w:rsid w:val="00C135BC"/>
    <w:rsid w:val="00C15C95"/>
    <w:rsid w:val="00C1687E"/>
    <w:rsid w:val="00C2596A"/>
    <w:rsid w:val="00C25C28"/>
    <w:rsid w:val="00C27537"/>
    <w:rsid w:val="00C308DF"/>
    <w:rsid w:val="00C328DF"/>
    <w:rsid w:val="00C328FE"/>
    <w:rsid w:val="00C33507"/>
    <w:rsid w:val="00C33F3B"/>
    <w:rsid w:val="00C376A8"/>
    <w:rsid w:val="00C37BB8"/>
    <w:rsid w:val="00C40B0E"/>
    <w:rsid w:val="00C4409D"/>
    <w:rsid w:val="00C44E72"/>
    <w:rsid w:val="00C45A06"/>
    <w:rsid w:val="00C47E5B"/>
    <w:rsid w:val="00C505CB"/>
    <w:rsid w:val="00C50B26"/>
    <w:rsid w:val="00C56AC1"/>
    <w:rsid w:val="00C61E4B"/>
    <w:rsid w:val="00C63059"/>
    <w:rsid w:val="00C636AF"/>
    <w:rsid w:val="00C63D56"/>
    <w:rsid w:val="00C63F05"/>
    <w:rsid w:val="00C64BFF"/>
    <w:rsid w:val="00C704E9"/>
    <w:rsid w:val="00C73D76"/>
    <w:rsid w:val="00C763C9"/>
    <w:rsid w:val="00C80057"/>
    <w:rsid w:val="00C817DF"/>
    <w:rsid w:val="00C82232"/>
    <w:rsid w:val="00C82913"/>
    <w:rsid w:val="00C834FD"/>
    <w:rsid w:val="00C87FBF"/>
    <w:rsid w:val="00C90150"/>
    <w:rsid w:val="00C901D1"/>
    <w:rsid w:val="00C969DE"/>
    <w:rsid w:val="00C972B1"/>
    <w:rsid w:val="00CA049B"/>
    <w:rsid w:val="00CA1472"/>
    <w:rsid w:val="00CA2CCE"/>
    <w:rsid w:val="00CA40E9"/>
    <w:rsid w:val="00CA43F0"/>
    <w:rsid w:val="00CA43FD"/>
    <w:rsid w:val="00CA57BA"/>
    <w:rsid w:val="00CA607B"/>
    <w:rsid w:val="00CA7EF8"/>
    <w:rsid w:val="00CB15D9"/>
    <w:rsid w:val="00CB2E8B"/>
    <w:rsid w:val="00CC489B"/>
    <w:rsid w:val="00CC4F1B"/>
    <w:rsid w:val="00CC7486"/>
    <w:rsid w:val="00CC791C"/>
    <w:rsid w:val="00CC7B38"/>
    <w:rsid w:val="00CD0B5F"/>
    <w:rsid w:val="00CD2BCD"/>
    <w:rsid w:val="00CD2D67"/>
    <w:rsid w:val="00CD3087"/>
    <w:rsid w:val="00CD347A"/>
    <w:rsid w:val="00CD3A4C"/>
    <w:rsid w:val="00CD53B1"/>
    <w:rsid w:val="00CE10E9"/>
    <w:rsid w:val="00CE19EB"/>
    <w:rsid w:val="00CE2910"/>
    <w:rsid w:val="00CE5393"/>
    <w:rsid w:val="00CE6547"/>
    <w:rsid w:val="00CE7846"/>
    <w:rsid w:val="00CF0DD8"/>
    <w:rsid w:val="00CF3534"/>
    <w:rsid w:val="00CF36BE"/>
    <w:rsid w:val="00CF6000"/>
    <w:rsid w:val="00CF7009"/>
    <w:rsid w:val="00CF7946"/>
    <w:rsid w:val="00D003F3"/>
    <w:rsid w:val="00D0364F"/>
    <w:rsid w:val="00D06834"/>
    <w:rsid w:val="00D157DC"/>
    <w:rsid w:val="00D22BE4"/>
    <w:rsid w:val="00D22EC7"/>
    <w:rsid w:val="00D270D7"/>
    <w:rsid w:val="00D308ED"/>
    <w:rsid w:val="00D36D86"/>
    <w:rsid w:val="00D428AA"/>
    <w:rsid w:val="00D463A7"/>
    <w:rsid w:val="00D50A34"/>
    <w:rsid w:val="00D52ECA"/>
    <w:rsid w:val="00D53EFA"/>
    <w:rsid w:val="00D6074B"/>
    <w:rsid w:val="00D64AE1"/>
    <w:rsid w:val="00D671A2"/>
    <w:rsid w:val="00D733D2"/>
    <w:rsid w:val="00D77C09"/>
    <w:rsid w:val="00D85C98"/>
    <w:rsid w:val="00D91124"/>
    <w:rsid w:val="00D946C9"/>
    <w:rsid w:val="00D94A7C"/>
    <w:rsid w:val="00D95896"/>
    <w:rsid w:val="00D97F33"/>
    <w:rsid w:val="00DB2983"/>
    <w:rsid w:val="00DB623A"/>
    <w:rsid w:val="00DC1257"/>
    <w:rsid w:val="00DC3DC0"/>
    <w:rsid w:val="00DC3F13"/>
    <w:rsid w:val="00DC50A6"/>
    <w:rsid w:val="00DC5B2B"/>
    <w:rsid w:val="00DC747C"/>
    <w:rsid w:val="00DD0F9C"/>
    <w:rsid w:val="00DD1396"/>
    <w:rsid w:val="00DD1C6F"/>
    <w:rsid w:val="00DD308A"/>
    <w:rsid w:val="00DD318D"/>
    <w:rsid w:val="00DD3C0D"/>
    <w:rsid w:val="00DE2AED"/>
    <w:rsid w:val="00DE446B"/>
    <w:rsid w:val="00DF2617"/>
    <w:rsid w:val="00DF2E12"/>
    <w:rsid w:val="00DF2E91"/>
    <w:rsid w:val="00DF511A"/>
    <w:rsid w:val="00DF514A"/>
    <w:rsid w:val="00DF6690"/>
    <w:rsid w:val="00DF6804"/>
    <w:rsid w:val="00E020FE"/>
    <w:rsid w:val="00E02B9A"/>
    <w:rsid w:val="00E0358D"/>
    <w:rsid w:val="00E04323"/>
    <w:rsid w:val="00E04EE5"/>
    <w:rsid w:val="00E070A2"/>
    <w:rsid w:val="00E10EED"/>
    <w:rsid w:val="00E118F8"/>
    <w:rsid w:val="00E2037E"/>
    <w:rsid w:val="00E204A7"/>
    <w:rsid w:val="00E2146B"/>
    <w:rsid w:val="00E23D43"/>
    <w:rsid w:val="00E2656A"/>
    <w:rsid w:val="00E2704E"/>
    <w:rsid w:val="00E27AC9"/>
    <w:rsid w:val="00E317D2"/>
    <w:rsid w:val="00E32FCC"/>
    <w:rsid w:val="00E35398"/>
    <w:rsid w:val="00E412D0"/>
    <w:rsid w:val="00E45B95"/>
    <w:rsid w:val="00E47761"/>
    <w:rsid w:val="00E50815"/>
    <w:rsid w:val="00E56322"/>
    <w:rsid w:val="00E60982"/>
    <w:rsid w:val="00E62C62"/>
    <w:rsid w:val="00E63B09"/>
    <w:rsid w:val="00E654C1"/>
    <w:rsid w:val="00E65D97"/>
    <w:rsid w:val="00E664CB"/>
    <w:rsid w:val="00E72A5A"/>
    <w:rsid w:val="00E73354"/>
    <w:rsid w:val="00E7603E"/>
    <w:rsid w:val="00E773F8"/>
    <w:rsid w:val="00E87F71"/>
    <w:rsid w:val="00E9242D"/>
    <w:rsid w:val="00E93350"/>
    <w:rsid w:val="00E93688"/>
    <w:rsid w:val="00E949D4"/>
    <w:rsid w:val="00EA22F5"/>
    <w:rsid w:val="00EA268D"/>
    <w:rsid w:val="00EA42EB"/>
    <w:rsid w:val="00EB0966"/>
    <w:rsid w:val="00EB434E"/>
    <w:rsid w:val="00EB5255"/>
    <w:rsid w:val="00EB5C47"/>
    <w:rsid w:val="00EC3078"/>
    <w:rsid w:val="00ED0639"/>
    <w:rsid w:val="00ED127D"/>
    <w:rsid w:val="00ED7CC9"/>
    <w:rsid w:val="00EE0536"/>
    <w:rsid w:val="00EE0795"/>
    <w:rsid w:val="00EE1134"/>
    <w:rsid w:val="00EE4ADB"/>
    <w:rsid w:val="00EE66E9"/>
    <w:rsid w:val="00EF4755"/>
    <w:rsid w:val="00EF559E"/>
    <w:rsid w:val="00EF7135"/>
    <w:rsid w:val="00EF7B4F"/>
    <w:rsid w:val="00F003AA"/>
    <w:rsid w:val="00F01ADF"/>
    <w:rsid w:val="00F025BD"/>
    <w:rsid w:val="00F027DB"/>
    <w:rsid w:val="00F04041"/>
    <w:rsid w:val="00F10FAE"/>
    <w:rsid w:val="00F11319"/>
    <w:rsid w:val="00F139C7"/>
    <w:rsid w:val="00F1428E"/>
    <w:rsid w:val="00F14A7A"/>
    <w:rsid w:val="00F22140"/>
    <w:rsid w:val="00F22985"/>
    <w:rsid w:val="00F235B4"/>
    <w:rsid w:val="00F27B67"/>
    <w:rsid w:val="00F3383E"/>
    <w:rsid w:val="00F34901"/>
    <w:rsid w:val="00F35238"/>
    <w:rsid w:val="00F35A52"/>
    <w:rsid w:val="00F37AA3"/>
    <w:rsid w:val="00F41491"/>
    <w:rsid w:val="00F465A7"/>
    <w:rsid w:val="00F50B7C"/>
    <w:rsid w:val="00F5465C"/>
    <w:rsid w:val="00F550E6"/>
    <w:rsid w:val="00F57E22"/>
    <w:rsid w:val="00F615BF"/>
    <w:rsid w:val="00F61B6B"/>
    <w:rsid w:val="00F65A08"/>
    <w:rsid w:val="00F6664A"/>
    <w:rsid w:val="00F66BE1"/>
    <w:rsid w:val="00F74345"/>
    <w:rsid w:val="00F80A0A"/>
    <w:rsid w:val="00F827C6"/>
    <w:rsid w:val="00F82B19"/>
    <w:rsid w:val="00F8630E"/>
    <w:rsid w:val="00F8652C"/>
    <w:rsid w:val="00F878B1"/>
    <w:rsid w:val="00F9212D"/>
    <w:rsid w:val="00F965DA"/>
    <w:rsid w:val="00FA1C94"/>
    <w:rsid w:val="00FA39C6"/>
    <w:rsid w:val="00FA406A"/>
    <w:rsid w:val="00FA7ACE"/>
    <w:rsid w:val="00FB1FE3"/>
    <w:rsid w:val="00FB503A"/>
    <w:rsid w:val="00FB516C"/>
    <w:rsid w:val="00FB6BDC"/>
    <w:rsid w:val="00FB6FF7"/>
    <w:rsid w:val="00FC02BF"/>
    <w:rsid w:val="00FC1944"/>
    <w:rsid w:val="00FC5A22"/>
    <w:rsid w:val="00FC612C"/>
    <w:rsid w:val="00FD0236"/>
    <w:rsid w:val="00FD09E6"/>
    <w:rsid w:val="00FD18F4"/>
    <w:rsid w:val="00FD227C"/>
    <w:rsid w:val="00FD33EE"/>
    <w:rsid w:val="00FD3A5C"/>
    <w:rsid w:val="00FD44FC"/>
    <w:rsid w:val="00FD4A7B"/>
    <w:rsid w:val="00FD54DB"/>
    <w:rsid w:val="00FD619F"/>
    <w:rsid w:val="00FD62AA"/>
    <w:rsid w:val="00FE3017"/>
    <w:rsid w:val="00FE4565"/>
    <w:rsid w:val="00FE7FDF"/>
    <w:rsid w:val="00FF138B"/>
    <w:rsid w:val="01024FFA"/>
    <w:rsid w:val="01071EBF"/>
    <w:rsid w:val="01264354"/>
    <w:rsid w:val="01290F7E"/>
    <w:rsid w:val="013435B5"/>
    <w:rsid w:val="015D1E09"/>
    <w:rsid w:val="01633E9B"/>
    <w:rsid w:val="01721D06"/>
    <w:rsid w:val="01A00C4B"/>
    <w:rsid w:val="01B01053"/>
    <w:rsid w:val="01B61553"/>
    <w:rsid w:val="01B9395D"/>
    <w:rsid w:val="01C847F2"/>
    <w:rsid w:val="01CB72EC"/>
    <w:rsid w:val="01E41154"/>
    <w:rsid w:val="01E70628"/>
    <w:rsid w:val="01E74ACC"/>
    <w:rsid w:val="020E3E06"/>
    <w:rsid w:val="02304E24"/>
    <w:rsid w:val="0234711E"/>
    <w:rsid w:val="024B6E08"/>
    <w:rsid w:val="02697903"/>
    <w:rsid w:val="02922C89"/>
    <w:rsid w:val="02D64A70"/>
    <w:rsid w:val="02F96569"/>
    <w:rsid w:val="02FE37B9"/>
    <w:rsid w:val="030F42DA"/>
    <w:rsid w:val="032D29B2"/>
    <w:rsid w:val="0359655B"/>
    <w:rsid w:val="035D51F7"/>
    <w:rsid w:val="035F496A"/>
    <w:rsid w:val="03600692"/>
    <w:rsid w:val="036B7036"/>
    <w:rsid w:val="03913766"/>
    <w:rsid w:val="03956D7D"/>
    <w:rsid w:val="03A53155"/>
    <w:rsid w:val="03B10CF2"/>
    <w:rsid w:val="03B61509"/>
    <w:rsid w:val="03B65FF1"/>
    <w:rsid w:val="03BD5AE4"/>
    <w:rsid w:val="03C75BCB"/>
    <w:rsid w:val="03D35307"/>
    <w:rsid w:val="03EA7B21"/>
    <w:rsid w:val="03F34A17"/>
    <w:rsid w:val="045C354F"/>
    <w:rsid w:val="04652B34"/>
    <w:rsid w:val="0472627E"/>
    <w:rsid w:val="04947BE7"/>
    <w:rsid w:val="04AA4E41"/>
    <w:rsid w:val="04E76AA2"/>
    <w:rsid w:val="04F17C1F"/>
    <w:rsid w:val="04FC500A"/>
    <w:rsid w:val="05076F99"/>
    <w:rsid w:val="05222FC2"/>
    <w:rsid w:val="054A15F9"/>
    <w:rsid w:val="05575AC4"/>
    <w:rsid w:val="055E6E53"/>
    <w:rsid w:val="05737E86"/>
    <w:rsid w:val="0591604C"/>
    <w:rsid w:val="05A505E5"/>
    <w:rsid w:val="05A81EAC"/>
    <w:rsid w:val="05AC4062"/>
    <w:rsid w:val="05B02541"/>
    <w:rsid w:val="05CD5D86"/>
    <w:rsid w:val="05D215EF"/>
    <w:rsid w:val="05F717E5"/>
    <w:rsid w:val="05F83EAE"/>
    <w:rsid w:val="06286BDC"/>
    <w:rsid w:val="062C75F8"/>
    <w:rsid w:val="06316315"/>
    <w:rsid w:val="063E7D85"/>
    <w:rsid w:val="064C75F3"/>
    <w:rsid w:val="067F4A0F"/>
    <w:rsid w:val="068E19BA"/>
    <w:rsid w:val="06913674"/>
    <w:rsid w:val="06C30F70"/>
    <w:rsid w:val="06C4362D"/>
    <w:rsid w:val="06D54B11"/>
    <w:rsid w:val="06DF3FC3"/>
    <w:rsid w:val="06FA1FDB"/>
    <w:rsid w:val="07117EF5"/>
    <w:rsid w:val="0721282E"/>
    <w:rsid w:val="07293586"/>
    <w:rsid w:val="07295285"/>
    <w:rsid w:val="072D4D2F"/>
    <w:rsid w:val="073C69AF"/>
    <w:rsid w:val="074A2511"/>
    <w:rsid w:val="07636392"/>
    <w:rsid w:val="07770C56"/>
    <w:rsid w:val="0785391B"/>
    <w:rsid w:val="07911761"/>
    <w:rsid w:val="07911B34"/>
    <w:rsid w:val="07A11279"/>
    <w:rsid w:val="07B2792A"/>
    <w:rsid w:val="07B46CF9"/>
    <w:rsid w:val="07B47950"/>
    <w:rsid w:val="07B94814"/>
    <w:rsid w:val="07EF395F"/>
    <w:rsid w:val="07F00C8F"/>
    <w:rsid w:val="07FF71B9"/>
    <w:rsid w:val="08277B7B"/>
    <w:rsid w:val="082857CB"/>
    <w:rsid w:val="082A74C0"/>
    <w:rsid w:val="084C21AB"/>
    <w:rsid w:val="085914C1"/>
    <w:rsid w:val="088B45CB"/>
    <w:rsid w:val="089E3A0A"/>
    <w:rsid w:val="08AF5C17"/>
    <w:rsid w:val="08B12665"/>
    <w:rsid w:val="08C72F61"/>
    <w:rsid w:val="090F2FC7"/>
    <w:rsid w:val="09151C03"/>
    <w:rsid w:val="092217DD"/>
    <w:rsid w:val="092D54BA"/>
    <w:rsid w:val="09303E88"/>
    <w:rsid w:val="0935611C"/>
    <w:rsid w:val="093A7294"/>
    <w:rsid w:val="09510CB4"/>
    <w:rsid w:val="09734E97"/>
    <w:rsid w:val="09857FB8"/>
    <w:rsid w:val="098A290C"/>
    <w:rsid w:val="09AF2373"/>
    <w:rsid w:val="09B1706F"/>
    <w:rsid w:val="09C474A0"/>
    <w:rsid w:val="09CC6365"/>
    <w:rsid w:val="09D43B87"/>
    <w:rsid w:val="09DA6CC4"/>
    <w:rsid w:val="09FD02C8"/>
    <w:rsid w:val="0A0501E5"/>
    <w:rsid w:val="0A1641A0"/>
    <w:rsid w:val="0A1C3226"/>
    <w:rsid w:val="0A263993"/>
    <w:rsid w:val="0A2D3AC2"/>
    <w:rsid w:val="0A334D52"/>
    <w:rsid w:val="0A560A40"/>
    <w:rsid w:val="0A596750"/>
    <w:rsid w:val="0A7B2255"/>
    <w:rsid w:val="0A823C26"/>
    <w:rsid w:val="0A892BC4"/>
    <w:rsid w:val="0A951569"/>
    <w:rsid w:val="0AA7304A"/>
    <w:rsid w:val="0AA755DF"/>
    <w:rsid w:val="0AAC0660"/>
    <w:rsid w:val="0AAE7989"/>
    <w:rsid w:val="0AB67731"/>
    <w:rsid w:val="0AC0235E"/>
    <w:rsid w:val="0AC55324"/>
    <w:rsid w:val="0AE54A0C"/>
    <w:rsid w:val="0AE75B3C"/>
    <w:rsid w:val="0B120D44"/>
    <w:rsid w:val="0B833242"/>
    <w:rsid w:val="0B955D32"/>
    <w:rsid w:val="0B9F3D21"/>
    <w:rsid w:val="0BA209FC"/>
    <w:rsid w:val="0BD27BF6"/>
    <w:rsid w:val="0BE856C8"/>
    <w:rsid w:val="0BF422BF"/>
    <w:rsid w:val="0BF43324"/>
    <w:rsid w:val="0C047A4E"/>
    <w:rsid w:val="0C09094D"/>
    <w:rsid w:val="0C3B3C7D"/>
    <w:rsid w:val="0C4D5E73"/>
    <w:rsid w:val="0C5B215F"/>
    <w:rsid w:val="0C6C454B"/>
    <w:rsid w:val="0C6D3E1F"/>
    <w:rsid w:val="0C7156BE"/>
    <w:rsid w:val="0C803B53"/>
    <w:rsid w:val="0C872BCD"/>
    <w:rsid w:val="0CA43CE5"/>
    <w:rsid w:val="0CAB2EAE"/>
    <w:rsid w:val="0CB258E3"/>
    <w:rsid w:val="0CBA524C"/>
    <w:rsid w:val="0CDD71F7"/>
    <w:rsid w:val="0D0429D6"/>
    <w:rsid w:val="0D0C279B"/>
    <w:rsid w:val="0D144DED"/>
    <w:rsid w:val="0D1644B7"/>
    <w:rsid w:val="0D391A28"/>
    <w:rsid w:val="0D5D3E94"/>
    <w:rsid w:val="0D621C7D"/>
    <w:rsid w:val="0D675ECD"/>
    <w:rsid w:val="0D840642"/>
    <w:rsid w:val="0D855F26"/>
    <w:rsid w:val="0DA10224"/>
    <w:rsid w:val="0DAB4BFF"/>
    <w:rsid w:val="0DAE0B43"/>
    <w:rsid w:val="0DC21959"/>
    <w:rsid w:val="0DE325EB"/>
    <w:rsid w:val="0DEB5824"/>
    <w:rsid w:val="0DFF6192"/>
    <w:rsid w:val="0E214835"/>
    <w:rsid w:val="0E323E7E"/>
    <w:rsid w:val="0E383039"/>
    <w:rsid w:val="0E39045D"/>
    <w:rsid w:val="0E5D1AC1"/>
    <w:rsid w:val="0E73034D"/>
    <w:rsid w:val="0E835B7C"/>
    <w:rsid w:val="0EA16576"/>
    <w:rsid w:val="0EA40291"/>
    <w:rsid w:val="0EC8358F"/>
    <w:rsid w:val="0EE44AF3"/>
    <w:rsid w:val="0EEB3C6F"/>
    <w:rsid w:val="0EF34AB0"/>
    <w:rsid w:val="0F13775A"/>
    <w:rsid w:val="0F3020DD"/>
    <w:rsid w:val="0F59068B"/>
    <w:rsid w:val="0F5F45FE"/>
    <w:rsid w:val="0F6862D5"/>
    <w:rsid w:val="0F9A112B"/>
    <w:rsid w:val="100920B1"/>
    <w:rsid w:val="106D2F64"/>
    <w:rsid w:val="107B2FAF"/>
    <w:rsid w:val="107C63BF"/>
    <w:rsid w:val="10AB3168"/>
    <w:rsid w:val="10B63710"/>
    <w:rsid w:val="10B72A0C"/>
    <w:rsid w:val="10DE0BC3"/>
    <w:rsid w:val="10E8616A"/>
    <w:rsid w:val="10F10820"/>
    <w:rsid w:val="10FB1553"/>
    <w:rsid w:val="110C607D"/>
    <w:rsid w:val="111C2F7A"/>
    <w:rsid w:val="112B56F1"/>
    <w:rsid w:val="112B7445"/>
    <w:rsid w:val="112D56E8"/>
    <w:rsid w:val="11513D10"/>
    <w:rsid w:val="11665CA1"/>
    <w:rsid w:val="117F087D"/>
    <w:rsid w:val="11807745"/>
    <w:rsid w:val="118E716B"/>
    <w:rsid w:val="119C2CD8"/>
    <w:rsid w:val="11A007F3"/>
    <w:rsid w:val="11A227BD"/>
    <w:rsid w:val="11C40985"/>
    <w:rsid w:val="11C72075"/>
    <w:rsid w:val="11D02E86"/>
    <w:rsid w:val="11DB3201"/>
    <w:rsid w:val="11F554F9"/>
    <w:rsid w:val="120166C3"/>
    <w:rsid w:val="120A29B8"/>
    <w:rsid w:val="12107D36"/>
    <w:rsid w:val="122F5FE4"/>
    <w:rsid w:val="1230756E"/>
    <w:rsid w:val="12352FB8"/>
    <w:rsid w:val="123A16CD"/>
    <w:rsid w:val="123A65CE"/>
    <w:rsid w:val="123C051C"/>
    <w:rsid w:val="12435D4E"/>
    <w:rsid w:val="12535865"/>
    <w:rsid w:val="12597320"/>
    <w:rsid w:val="127F157C"/>
    <w:rsid w:val="129E2F84"/>
    <w:rsid w:val="12BC16CB"/>
    <w:rsid w:val="12C624DB"/>
    <w:rsid w:val="12CB18A0"/>
    <w:rsid w:val="12D316BB"/>
    <w:rsid w:val="12DA0538"/>
    <w:rsid w:val="12DE7825"/>
    <w:rsid w:val="133E02C4"/>
    <w:rsid w:val="13450A63"/>
    <w:rsid w:val="13645F7C"/>
    <w:rsid w:val="136F4921"/>
    <w:rsid w:val="13854383"/>
    <w:rsid w:val="13951726"/>
    <w:rsid w:val="13987F9F"/>
    <w:rsid w:val="139C6788"/>
    <w:rsid w:val="13A203E6"/>
    <w:rsid w:val="13A93A38"/>
    <w:rsid w:val="13B32A60"/>
    <w:rsid w:val="13CB5FFB"/>
    <w:rsid w:val="13D245FC"/>
    <w:rsid w:val="13D529D6"/>
    <w:rsid w:val="13DA4490"/>
    <w:rsid w:val="14067033"/>
    <w:rsid w:val="14396509"/>
    <w:rsid w:val="145A6BFB"/>
    <w:rsid w:val="14624815"/>
    <w:rsid w:val="14922675"/>
    <w:rsid w:val="1494463F"/>
    <w:rsid w:val="1497412F"/>
    <w:rsid w:val="149C7998"/>
    <w:rsid w:val="149D322B"/>
    <w:rsid w:val="14DB5D91"/>
    <w:rsid w:val="14DC7D94"/>
    <w:rsid w:val="14DD2C3C"/>
    <w:rsid w:val="14E7430D"/>
    <w:rsid w:val="14F41582"/>
    <w:rsid w:val="15193F7F"/>
    <w:rsid w:val="153951E6"/>
    <w:rsid w:val="155D7127"/>
    <w:rsid w:val="157867A3"/>
    <w:rsid w:val="159834E2"/>
    <w:rsid w:val="15B8435D"/>
    <w:rsid w:val="15D66ED9"/>
    <w:rsid w:val="15ED1553"/>
    <w:rsid w:val="15F80BFE"/>
    <w:rsid w:val="16087E1D"/>
    <w:rsid w:val="160C56E7"/>
    <w:rsid w:val="16117F2D"/>
    <w:rsid w:val="161B4543"/>
    <w:rsid w:val="16331C36"/>
    <w:rsid w:val="165247B2"/>
    <w:rsid w:val="166801BC"/>
    <w:rsid w:val="169F376F"/>
    <w:rsid w:val="16B128C9"/>
    <w:rsid w:val="16C5397D"/>
    <w:rsid w:val="170576D4"/>
    <w:rsid w:val="1706559C"/>
    <w:rsid w:val="174C7453"/>
    <w:rsid w:val="17606D15"/>
    <w:rsid w:val="17627F3B"/>
    <w:rsid w:val="176432ED"/>
    <w:rsid w:val="1767588B"/>
    <w:rsid w:val="176B02BF"/>
    <w:rsid w:val="176F5098"/>
    <w:rsid w:val="17701D14"/>
    <w:rsid w:val="17735226"/>
    <w:rsid w:val="17795843"/>
    <w:rsid w:val="17C27715"/>
    <w:rsid w:val="17EA0A1A"/>
    <w:rsid w:val="180A4C18"/>
    <w:rsid w:val="182B350C"/>
    <w:rsid w:val="18363C5F"/>
    <w:rsid w:val="184A5AFD"/>
    <w:rsid w:val="186B4E30"/>
    <w:rsid w:val="186C142F"/>
    <w:rsid w:val="189664AC"/>
    <w:rsid w:val="189B3AC2"/>
    <w:rsid w:val="189F624C"/>
    <w:rsid w:val="18A47F3B"/>
    <w:rsid w:val="18AA68FC"/>
    <w:rsid w:val="18AD3F21"/>
    <w:rsid w:val="18BC5F12"/>
    <w:rsid w:val="18C544EF"/>
    <w:rsid w:val="18D6126C"/>
    <w:rsid w:val="18F309DB"/>
    <w:rsid w:val="18F635A6"/>
    <w:rsid w:val="19006588"/>
    <w:rsid w:val="19133050"/>
    <w:rsid w:val="191B3F8C"/>
    <w:rsid w:val="19265A82"/>
    <w:rsid w:val="19401D7B"/>
    <w:rsid w:val="19426D7A"/>
    <w:rsid w:val="19742D44"/>
    <w:rsid w:val="197C1B46"/>
    <w:rsid w:val="19B1359D"/>
    <w:rsid w:val="19C679E0"/>
    <w:rsid w:val="19D35C0A"/>
    <w:rsid w:val="19D64527"/>
    <w:rsid w:val="19EC2920"/>
    <w:rsid w:val="1A023DF9"/>
    <w:rsid w:val="1A051B3B"/>
    <w:rsid w:val="1A1C66C0"/>
    <w:rsid w:val="1A42393B"/>
    <w:rsid w:val="1A472712"/>
    <w:rsid w:val="1A616AC1"/>
    <w:rsid w:val="1A693E78"/>
    <w:rsid w:val="1A9D7FC6"/>
    <w:rsid w:val="1A9E45F5"/>
    <w:rsid w:val="1AAD45DE"/>
    <w:rsid w:val="1AD02149"/>
    <w:rsid w:val="1ADE4866"/>
    <w:rsid w:val="1AE16104"/>
    <w:rsid w:val="1AFB7651"/>
    <w:rsid w:val="1B046F80"/>
    <w:rsid w:val="1B1C713C"/>
    <w:rsid w:val="1B1F1EE0"/>
    <w:rsid w:val="1B3267B5"/>
    <w:rsid w:val="1B3E3557"/>
    <w:rsid w:val="1B40161D"/>
    <w:rsid w:val="1B4072CF"/>
    <w:rsid w:val="1B441859"/>
    <w:rsid w:val="1B4418D0"/>
    <w:rsid w:val="1B46240B"/>
    <w:rsid w:val="1B5543FC"/>
    <w:rsid w:val="1B6606B1"/>
    <w:rsid w:val="1B9227DD"/>
    <w:rsid w:val="1B982159"/>
    <w:rsid w:val="1BEA0E37"/>
    <w:rsid w:val="1C2833AF"/>
    <w:rsid w:val="1C4C57FF"/>
    <w:rsid w:val="1C5E7925"/>
    <w:rsid w:val="1C5F7C4F"/>
    <w:rsid w:val="1C666839"/>
    <w:rsid w:val="1C7B60E4"/>
    <w:rsid w:val="1C9A47BD"/>
    <w:rsid w:val="1CB820E4"/>
    <w:rsid w:val="1CCC649B"/>
    <w:rsid w:val="1CDC55FD"/>
    <w:rsid w:val="1CDF0421"/>
    <w:rsid w:val="1CFD070F"/>
    <w:rsid w:val="1D117452"/>
    <w:rsid w:val="1D436C02"/>
    <w:rsid w:val="1D4D5CD3"/>
    <w:rsid w:val="1D5F6196"/>
    <w:rsid w:val="1D6132A5"/>
    <w:rsid w:val="1D667ACB"/>
    <w:rsid w:val="1D81597C"/>
    <w:rsid w:val="1D8E56D5"/>
    <w:rsid w:val="1D901B97"/>
    <w:rsid w:val="1DAE6CD3"/>
    <w:rsid w:val="1DE52597"/>
    <w:rsid w:val="1DF779ED"/>
    <w:rsid w:val="1E0D7659"/>
    <w:rsid w:val="1E2A6014"/>
    <w:rsid w:val="1E5B7661"/>
    <w:rsid w:val="1E6037E4"/>
    <w:rsid w:val="1E64093C"/>
    <w:rsid w:val="1E64416A"/>
    <w:rsid w:val="1E7A43DA"/>
    <w:rsid w:val="1E814E22"/>
    <w:rsid w:val="1E8F0B0F"/>
    <w:rsid w:val="1EA45087"/>
    <w:rsid w:val="1EB3600A"/>
    <w:rsid w:val="1EC27FFB"/>
    <w:rsid w:val="1ED97CE5"/>
    <w:rsid w:val="1EDB2E6A"/>
    <w:rsid w:val="1EE12DE6"/>
    <w:rsid w:val="1EF776CC"/>
    <w:rsid w:val="1F0307F1"/>
    <w:rsid w:val="1F122E0F"/>
    <w:rsid w:val="1F1E202F"/>
    <w:rsid w:val="1F4A0F3B"/>
    <w:rsid w:val="1F4A633D"/>
    <w:rsid w:val="1F8C3255"/>
    <w:rsid w:val="1FA91429"/>
    <w:rsid w:val="1FB66104"/>
    <w:rsid w:val="1FBA6083"/>
    <w:rsid w:val="1FE21EC2"/>
    <w:rsid w:val="1FE70D7B"/>
    <w:rsid w:val="1FE7539E"/>
    <w:rsid w:val="202A27D1"/>
    <w:rsid w:val="20346CD6"/>
    <w:rsid w:val="203A1B1F"/>
    <w:rsid w:val="204F2E1D"/>
    <w:rsid w:val="20670E5A"/>
    <w:rsid w:val="20671BE0"/>
    <w:rsid w:val="207215AC"/>
    <w:rsid w:val="2084257A"/>
    <w:rsid w:val="20963CB8"/>
    <w:rsid w:val="20A756FA"/>
    <w:rsid w:val="20A81A1B"/>
    <w:rsid w:val="20B07FB6"/>
    <w:rsid w:val="20B646FB"/>
    <w:rsid w:val="20EE4E2F"/>
    <w:rsid w:val="21015009"/>
    <w:rsid w:val="211663DC"/>
    <w:rsid w:val="2130749E"/>
    <w:rsid w:val="213B74B1"/>
    <w:rsid w:val="21570ECE"/>
    <w:rsid w:val="215A2310"/>
    <w:rsid w:val="216B17B1"/>
    <w:rsid w:val="216E7FC6"/>
    <w:rsid w:val="217A4C89"/>
    <w:rsid w:val="2188552B"/>
    <w:rsid w:val="219246FB"/>
    <w:rsid w:val="219428FB"/>
    <w:rsid w:val="21962EF2"/>
    <w:rsid w:val="21A97686"/>
    <w:rsid w:val="21CF38C1"/>
    <w:rsid w:val="21DE318A"/>
    <w:rsid w:val="21E57941"/>
    <w:rsid w:val="21EF5B80"/>
    <w:rsid w:val="21FF008E"/>
    <w:rsid w:val="224970DB"/>
    <w:rsid w:val="224D22D1"/>
    <w:rsid w:val="22525B39"/>
    <w:rsid w:val="22576990"/>
    <w:rsid w:val="228850B7"/>
    <w:rsid w:val="229A6618"/>
    <w:rsid w:val="22AD46DA"/>
    <w:rsid w:val="22DB78DD"/>
    <w:rsid w:val="22F47480"/>
    <w:rsid w:val="231F20A0"/>
    <w:rsid w:val="233B259B"/>
    <w:rsid w:val="23735D67"/>
    <w:rsid w:val="23A423C5"/>
    <w:rsid w:val="23BA3996"/>
    <w:rsid w:val="23DE1C48"/>
    <w:rsid w:val="23EC53FD"/>
    <w:rsid w:val="240210CD"/>
    <w:rsid w:val="24246C3B"/>
    <w:rsid w:val="24307E33"/>
    <w:rsid w:val="243D2C55"/>
    <w:rsid w:val="243D5AF5"/>
    <w:rsid w:val="246D643F"/>
    <w:rsid w:val="24863878"/>
    <w:rsid w:val="249B0B09"/>
    <w:rsid w:val="24B73BCA"/>
    <w:rsid w:val="24BF09F7"/>
    <w:rsid w:val="24C50845"/>
    <w:rsid w:val="24CC1BD3"/>
    <w:rsid w:val="24D85283"/>
    <w:rsid w:val="24E3297F"/>
    <w:rsid w:val="24FB12ED"/>
    <w:rsid w:val="24FB3983"/>
    <w:rsid w:val="24FD3B3B"/>
    <w:rsid w:val="25166E03"/>
    <w:rsid w:val="252D53FE"/>
    <w:rsid w:val="25437698"/>
    <w:rsid w:val="25451FE4"/>
    <w:rsid w:val="254B6F9C"/>
    <w:rsid w:val="25506D13"/>
    <w:rsid w:val="255261D9"/>
    <w:rsid w:val="25551BC9"/>
    <w:rsid w:val="258F38AD"/>
    <w:rsid w:val="259A582D"/>
    <w:rsid w:val="25DF5936"/>
    <w:rsid w:val="25EC2D81"/>
    <w:rsid w:val="25FF1B34"/>
    <w:rsid w:val="26004F05"/>
    <w:rsid w:val="260E79FF"/>
    <w:rsid w:val="261460CA"/>
    <w:rsid w:val="26296BB1"/>
    <w:rsid w:val="263867EE"/>
    <w:rsid w:val="26404CFA"/>
    <w:rsid w:val="26542159"/>
    <w:rsid w:val="26AF2AA4"/>
    <w:rsid w:val="26BF154E"/>
    <w:rsid w:val="26C262D9"/>
    <w:rsid w:val="26F22CC2"/>
    <w:rsid w:val="26F50E4C"/>
    <w:rsid w:val="26FD33DF"/>
    <w:rsid w:val="27003DB6"/>
    <w:rsid w:val="270D1AB7"/>
    <w:rsid w:val="271551E9"/>
    <w:rsid w:val="272C1166"/>
    <w:rsid w:val="2735156F"/>
    <w:rsid w:val="27435A51"/>
    <w:rsid w:val="277057A2"/>
    <w:rsid w:val="278E34D5"/>
    <w:rsid w:val="279664C8"/>
    <w:rsid w:val="27976201"/>
    <w:rsid w:val="27AC335A"/>
    <w:rsid w:val="27D22CD4"/>
    <w:rsid w:val="27D94D34"/>
    <w:rsid w:val="27E028BF"/>
    <w:rsid w:val="27EE06E4"/>
    <w:rsid w:val="284E0B51"/>
    <w:rsid w:val="285223EF"/>
    <w:rsid w:val="28601FDB"/>
    <w:rsid w:val="288A7DDB"/>
    <w:rsid w:val="28B430AA"/>
    <w:rsid w:val="28C130D1"/>
    <w:rsid w:val="28E84B02"/>
    <w:rsid w:val="28FB4835"/>
    <w:rsid w:val="29002A9B"/>
    <w:rsid w:val="29206EB8"/>
    <w:rsid w:val="29595666"/>
    <w:rsid w:val="296E1A34"/>
    <w:rsid w:val="296F567F"/>
    <w:rsid w:val="29874881"/>
    <w:rsid w:val="29881E2F"/>
    <w:rsid w:val="29C0782D"/>
    <w:rsid w:val="29C9048F"/>
    <w:rsid w:val="29E325E0"/>
    <w:rsid w:val="29FB2613"/>
    <w:rsid w:val="2A337FFE"/>
    <w:rsid w:val="2A452503"/>
    <w:rsid w:val="2A5E151F"/>
    <w:rsid w:val="2A813C4A"/>
    <w:rsid w:val="2A8253FB"/>
    <w:rsid w:val="2A84085A"/>
    <w:rsid w:val="2A8A2271"/>
    <w:rsid w:val="2A8E045D"/>
    <w:rsid w:val="2A9E191C"/>
    <w:rsid w:val="2A9F38E6"/>
    <w:rsid w:val="2AA809EC"/>
    <w:rsid w:val="2ADE7F6A"/>
    <w:rsid w:val="2AE61515"/>
    <w:rsid w:val="2AFC6C0C"/>
    <w:rsid w:val="2B2D0E67"/>
    <w:rsid w:val="2B687200"/>
    <w:rsid w:val="2B6C5721"/>
    <w:rsid w:val="2B8A6344"/>
    <w:rsid w:val="2B936FA7"/>
    <w:rsid w:val="2BA51DE4"/>
    <w:rsid w:val="2BA56CDA"/>
    <w:rsid w:val="2BA936A8"/>
    <w:rsid w:val="2BB331A5"/>
    <w:rsid w:val="2BDF4019"/>
    <w:rsid w:val="2BE23A8A"/>
    <w:rsid w:val="2BE64835"/>
    <w:rsid w:val="2C1B3211"/>
    <w:rsid w:val="2C251BC9"/>
    <w:rsid w:val="2C315A5A"/>
    <w:rsid w:val="2C4B1C25"/>
    <w:rsid w:val="2C550700"/>
    <w:rsid w:val="2C5C49F7"/>
    <w:rsid w:val="2C6620B8"/>
    <w:rsid w:val="2CAD22EA"/>
    <w:rsid w:val="2CC3566A"/>
    <w:rsid w:val="2CC85EEB"/>
    <w:rsid w:val="2CD94E8D"/>
    <w:rsid w:val="2CDE24A4"/>
    <w:rsid w:val="2CE05ADE"/>
    <w:rsid w:val="2CE90E48"/>
    <w:rsid w:val="2D171A03"/>
    <w:rsid w:val="2D4E5E92"/>
    <w:rsid w:val="2D567816"/>
    <w:rsid w:val="2D687FBF"/>
    <w:rsid w:val="2D9E56F5"/>
    <w:rsid w:val="2DAF0501"/>
    <w:rsid w:val="2DBC0D30"/>
    <w:rsid w:val="2DC25921"/>
    <w:rsid w:val="2DD674E5"/>
    <w:rsid w:val="2DDF3E62"/>
    <w:rsid w:val="2DF6233C"/>
    <w:rsid w:val="2E0777D8"/>
    <w:rsid w:val="2E667F96"/>
    <w:rsid w:val="2E8226AB"/>
    <w:rsid w:val="2E9B7830"/>
    <w:rsid w:val="2E9E57C5"/>
    <w:rsid w:val="2EAA6AC3"/>
    <w:rsid w:val="2EAB31C5"/>
    <w:rsid w:val="2EB23804"/>
    <w:rsid w:val="2F2148C9"/>
    <w:rsid w:val="2F2F1BF5"/>
    <w:rsid w:val="2F374686"/>
    <w:rsid w:val="2F3960B7"/>
    <w:rsid w:val="2F407445"/>
    <w:rsid w:val="2F4231B5"/>
    <w:rsid w:val="2F687427"/>
    <w:rsid w:val="2F864783"/>
    <w:rsid w:val="2F8D18D8"/>
    <w:rsid w:val="2FD065E6"/>
    <w:rsid w:val="2FD96870"/>
    <w:rsid w:val="30006BD5"/>
    <w:rsid w:val="3007549A"/>
    <w:rsid w:val="30092EA4"/>
    <w:rsid w:val="300A7A53"/>
    <w:rsid w:val="30204B81"/>
    <w:rsid w:val="3045283A"/>
    <w:rsid w:val="30580BC9"/>
    <w:rsid w:val="305A4537"/>
    <w:rsid w:val="306B04F2"/>
    <w:rsid w:val="308B0B94"/>
    <w:rsid w:val="30977539"/>
    <w:rsid w:val="309F63EE"/>
    <w:rsid w:val="30AC0943"/>
    <w:rsid w:val="30C16364"/>
    <w:rsid w:val="30F528E7"/>
    <w:rsid w:val="311E2ED7"/>
    <w:rsid w:val="31230DCD"/>
    <w:rsid w:val="312B1A2F"/>
    <w:rsid w:val="313C1E8F"/>
    <w:rsid w:val="314D7AEE"/>
    <w:rsid w:val="315619EE"/>
    <w:rsid w:val="315C42DF"/>
    <w:rsid w:val="315C449C"/>
    <w:rsid w:val="31684171"/>
    <w:rsid w:val="316D615C"/>
    <w:rsid w:val="317078BD"/>
    <w:rsid w:val="319C302E"/>
    <w:rsid w:val="319F5F79"/>
    <w:rsid w:val="31B82709"/>
    <w:rsid w:val="31B934DF"/>
    <w:rsid w:val="31CA1248"/>
    <w:rsid w:val="31D05482"/>
    <w:rsid w:val="31DA7298"/>
    <w:rsid w:val="31E06CBE"/>
    <w:rsid w:val="31E31073"/>
    <w:rsid w:val="31F72150"/>
    <w:rsid w:val="31F7440B"/>
    <w:rsid w:val="321E3342"/>
    <w:rsid w:val="322748ED"/>
    <w:rsid w:val="322E7A29"/>
    <w:rsid w:val="32340DB8"/>
    <w:rsid w:val="32400B34"/>
    <w:rsid w:val="324A05DB"/>
    <w:rsid w:val="32537490"/>
    <w:rsid w:val="32672243"/>
    <w:rsid w:val="326B7305"/>
    <w:rsid w:val="327410E6"/>
    <w:rsid w:val="32772446"/>
    <w:rsid w:val="328260A5"/>
    <w:rsid w:val="3297178C"/>
    <w:rsid w:val="32981E34"/>
    <w:rsid w:val="329E6876"/>
    <w:rsid w:val="329F0EAE"/>
    <w:rsid w:val="32AD2F28"/>
    <w:rsid w:val="32BB0AB8"/>
    <w:rsid w:val="32C1176B"/>
    <w:rsid w:val="32D70FEB"/>
    <w:rsid w:val="32E46617"/>
    <w:rsid w:val="32E75DEC"/>
    <w:rsid w:val="32F26FC1"/>
    <w:rsid w:val="33022C64"/>
    <w:rsid w:val="330C5891"/>
    <w:rsid w:val="3320655D"/>
    <w:rsid w:val="33226E62"/>
    <w:rsid w:val="333015F2"/>
    <w:rsid w:val="33305A23"/>
    <w:rsid w:val="3337290D"/>
    <w:rsid w:val="334B6320"/>
    <w:rsid w:val="33574D5E"/>
    <w:rsid w:val="33984BB2"/>
    <w:rsid w:val="339A10EE"/>
    <w:rsid w:val="339A341C"/>
    <w:rsid w:val="33A45AC9"/>
    <w:rsid w:val="33AA1331"/>
    <w:rsid w:val="33B4228B"/>
    <w:rsid w:val="33C0176F"/>
    <w:rsid w:val="33D934D4"/>
    <w:rsid w:val="33DA2CAA"/>
    <w:rsid w:val="33E455CD"/>
    <w:rsid w:val="33FE2F6A"/>
    <w:rsid w:val="34083C5D"/>
    <w:rsid w:val="340D366E"/>
    <w:rsid w:val="340E07E5"/>
    <w:rsid w:val="341E3ACD"/>
    <w:rsid w:val="34235BF7"/>
    <w:rsid w:val="345D45F6"/>
    <w:rsid w:val="346E06EA"/>
    <w:rsid w:val="34851243"/>
    <w:rsid w:val="348A47DC"/>
    <w:rsid w:val="348F0527"/>
    <w:rsid w:val="349252E5"/>
    <w:rsid w:val="34C46423"/>
    <w:rsid w:val="34DD5737"/>
    <w:rsid w:val="34E50E91"/>
    <w:rsid w:val="34E943B2"/>
    <w:rsid w:val="35026F4B"/>
    <w:rsid w:val="3511718E"/>
    <w:rsid w:val="351E426F"/>
    <w:rsid w:val="356C2617"/>
    <w:rsid w:val="358C5FA8"/>
    <w:rsid w:val="358D26E0"/>
    <w:rsid w:val="35BD24D8"/>
    <w:rsid w:val="35C15DF1"/>
    <w:rsid w:val="35F779DD"/>
    <w:rsid w:val="36074A7F"/>
    <w:rsid w:val="36195E29"/>
    <w:rsid w:val="36455341"/>
    <w:rsid w:val="36923549"/>
    <w:rsid w:val="36A77EA7"/>
    <w:rsid w:val="36B04559"/>
    <w:rsid w:val="36B75FBF"/>
    <w:rsid w:val="36BD0C45"/>
    <w:rsid w:val="36C30B3F"/>
    <w:rsid w:val="36FE2945"/>
    <w:rsid w:val="370C5E5F"/>
    <w:rsid w:val="372F1B4E"/>
    <w:rsid w:val="37341AA9"/>
    <w:rsid w:val="375872F6"/>
    <w:rsid w:val="37657831"/>
    <w:rsid w:val="376C4B50"/>
    <w:rsid w:val="37863E63"/>
    <w:rsid w:val="379C3687"/>
    <w:rsid w:val="379C4E4D"/>
    <w:rsid w:val="37A367C3"/>
    <w:rsid w:val="37B22EAA"/>
    <w:rsid w:val="37BB5CBA"/>
    <w:rsid w:val="37E00298"/>
    <w:rsid w:val="38034CAF"/>
    <w:rsid w:val="380A05F1"/>
    <w:rsid w:val="382721D8"/>
    <w:rsid w:val="3833314B"/>
    <w:rsid w:val="38471845"/>
    <w:rsid w:val="388365F5"/>
    <w:rsid w:val="38910D12"/>
    <w:rsid w:val="38B302F9"/>
    <w:rsid w:val="38B8140B"/>
    <w:rsid w:val="38BF587F"/>
    <w:rsid w:val="38C8225A"/>
    <w:rsid w:val="38D31AF8"/>
    <w:rsid w:val="38EC097B"/>
    <w:rsid w:val="38F12CD3"/>
    <w:rsid w:val="38F85F66"/>
    <w:rsid w:val="38F94775"/>
    <w:rsid w:val="3914242A"/>
    <w:rsid w:val="392971ED"/>
    <w:rsid w:val="39325651"/>
    <w:rsid w:val="3958538C"/>
    <w:rsid w:val="39783C80"/>
    <w:rsid w:val="39B40D32"/>
    <w:rsid w:val="39C11183"/>
    <w:rsid w:val="39CA4A9D"/>
    <w:rsid w:val="39F34A5E"/>
    <w:rsid w:val="3A11110D"/>
    <w:rsid w:val="3A4F2C33"/>
    <w:rsid w:val="3A667813"/>
    <w:rsid w:val="3A872856"/>
    <w:rsid w:val="3A8B1791"/>
    <w:rsid w:val="3AAE28F9"/>
    <w:rsid w:val="3AE93180"/>
    <w:rsid w:val="3B007A89"/>
    <w:rsid w:val="3B1B48C3"/>
    <w:rsid w:val="3B3763D1"/>
    <w:rsid w:val="3B3B4F65"/>
    <w:rsid w:val="3B427F7C"/>
    <w:rsid w:val="3B7C4DF0"/>
    <w:rsid w:val="3B854D8E"/>
    <w:rsid w:val="3B892174"/>
    <w:rsid w:val="3BD467F7"/>
    <w:rsid w:val="3BDE40A0"/>
    <w:rsid w:val="3C145EE2"/>
    <w:rsid w:val="3C2F6E1E"/>
    <w:rsid w:val="3C332B7C"/>
    <w:rsid w:val="3C3839E5"/>
    <w:rsid w:val="3C3A6FCB"/>
    <w:rsid w:val="3C487939"/>
    <w:rsid w:val="3C4F64BA"/>
    <w:rsid w:val="3C5C1637"/>
    <w:rsid w:val="3C776471"/>
    <w:rsid w:val="3C836BC3"/>
    <w:rsid w:val="3CC03974"/>
    <w:rsid w:val="3CDA245A"/>
    <w:rsid w:val="3CE522BB"/>
    <w:rsid w:val="3D143CBF"/>
    <w:rsid w:val="3D1E06B7"/>
    <w:rsid w:val="3D244FDE"/>
    <w:rsid w:val="3D346110"/>
    <w:rsid w:val="3D356214"/>
    <w:rsid w:val="3D380319"/>
    <w:rsid w:val="3D5E15EA"/>
    <w:rsid w:val="3D5F713C"/>
    <w:rsid w:val="3D627C3E"/>
    <w:rsid w:val="3D811960"/>
    <w:rsid w:val="3DA11146"/>
    <w:rsid w:val="3DA45043"/>
    <w:rsid w:val="3DC061B2"/>
    <w:rsid w:val="3DC456E6"/>
    <w:rsid w:val="3DF338D5"/>
    <w:rsid w:val="3DF80EEB"/>
    <w:rsid w:val="3E1963F7"/>
    <w:rsid w:val="3E246184"/>
    <w:rsid w:val="3E3839DE"/>
    <w:rsid w:val="3E3E3513"/>
    <w:rsid w:val="3E43468B"/>
    <w:rsid w:val="3E4D4B98"/>
    <w:rsid w:val="3E4D7489"/>
    <w:rsid w:val="3E7C692D"/>
    <w:rsid w:val="3E916A5A"/>
    <w:rsid w:val="3E950E08"/>
    <w:rsid w:val="3E9D2CF1"/>
    <w:rsid w:val="3EB05C6A"/>
    <w:rsid w:val="3EB32899"/>
    <w:rsid w:val="3EB34A12"/>
    <w:rsid w:val="3EB76FF8"/>
    <w:rsid w:val="3EBD6576"/>
    <w:rsid w:val="3ED420B9"/>
    <w:rsid w:val="3EDA0523"/>
    <w:rsid w:val="3EDE1F31"/>
    <w:rsid w:val="3F0B63BC"/>
    <w:rsid w:val="3F141D55"/>
    <w:rsid w:val="3F284C8B"/>
    <w:rsid w:val="3F357B0F"/>
    <w:rsid w:val="3F373C95"/>
    <w:rsid w:val="3F493F2D"/>
    <w:rsid w:val="3F56236D"/>
    <w:rsid w:val="3F852C53"/>
    <w:rsid w:val="3F873FCC"/>
    <w:rsid w:val="3FA27361"/>
    <w:rsid w:val="3FB130CD"/>
    <w:rsid w:val="3FCC6AD3"/>
    <w:rsid w:val="3FE47979"/>
    <w:rsid w:val="3FFA0A1B"/>
    <w:rsid w:val="40276BBD"/>
    <w:rsid w:val="406960D0"/>
    <w:rsid w:val="407A6407"/>
    <w:rsid w:val="40C926DE"/>
    <w:rsid w:val="40CF23D7"/>
    <w:rsid w:val="40D14A10"/>
    <w:rsid w:val="40D21EC7"/>
    <w:rsid w:val="40D40D7E"/>
    <w:rsid w:val="40D708AE"/>
    <w:rsid w:val="40DE261A"/>
    <w:rsid w:val="40F60CC5"/>
    <w:rsid w:val="40F97454"/>
    <w:rsid w:val="410B53D9"/>
    <w:rsid w:val="41166258"/>
    <w:rsid w:val="411C3143"/>
    <w:rsid w:val="41384420"/>
    <w:rsid w:val="413E755D"/>
    <w:rsid w:val="41614FF9"/>
    <w:rsid w:val="41662610"/>
    <w:rsid w:val="41A707F2"/>
    <w:rsid w:val="41B83E12"/>
    <w:rsid w:val="4200449D"/>
    <w:rsid w:val="420627B7"/>
    <w:rsid w:val="420F30F2"/>
    <w:rsid w:val="423A3BCC"/>
    <w:rsid w:val="424B48B8"/>
    <w:rsid w:val="424E57D2"/>
    <w:rsid w:val="427F71A4"/>
    <w:rsid w:val="42A53A71"/>
    <w:rsid w:val="42AF2346"/>
    <w:rsid w:val="42B26C49"/>
    <w:rsid w:val="42BE0955"/>
    <w:rsid w:val="42CC6992"/>
    <w:rsid w:val="42D27F5D"/>
    <w:rsid w:val="42DA1507"/>
    <w:rsid w:val="42E24448"/>
    <w:rsid w:val="4315253F"/>
    <w:rsid w:val="43155D50"/>
    <w:rsid w:val="433A6FE6"/>
    <w:rsid w:val="43480868"/>
    <w:rsid w:val="434F15AD"/>
    <w:rsid w:val="4350713C"/>
    <w:rsid w:val="435C1F1C"/>
    <w:rsid w:val="436653E0"/>
    <w:rsid w:val="436D0C9F"/>
    <w:rsid w:val="437E1E93"/>
    <w:rsid w:val="438A6A89"/>
    <w:rsid w:val="438F22F2"/>
    <w:rsid w:val="43995E63"/>
    <w:rsid w:val="439B3ABE"/>
    <w:rsid w:val="43A049F8"/>
    <w:rsid w:val="43C4431A"/>
    <w:rsid w:val="43CA332A"/>
    <w:rsid w:val="43D65CE4"/>
    <w:rsid w:val="43E700B1"/>
    <w:rsid w:val="43F263DD"/>
    <w:rsid w:val="440109F4"/>
    <w:rsid w:val="4403144D"/>
    <w:rsid w:val="4407632C"/>
    <w:rsid w:val="440C7CC3"/>
    <w:rsid w:val="4436451B"/>
    <w:rsid w:val="44544A76"/>
    <w:rsid w:val="447D039C"/>
    <w:rsid w:val="448830F9"/>
    <w:rsid w:val="44B2401E"/>
    <w:rsid w:val="44B951CC"/>
    <w:rsid w:val="44CA2F7C"/>
    <w:rsid w:val="44CD14E0"/>
    <w:rsid w:val="44DD7224"/>
    <w:rsid w:val="44E73699"/>
    <w:rsid w:val="44F20B0B"/>
    <w:rsid w:val="451C7579"/>
    <w:rsid w:val="45220C8F"/>
    <w:rsid w:val="452E5F4C"/>
    <w:rsid w:val="453B4704"/>
    <w:rsid w:val="453F0617"/>
    <w:rsid w:val="45517D22"/>
    <w:rsid w:val="45612018"/>
    <w:rsid w:val="45795008"/>
    <w:rsid w:val="458946E9"/>
    <w:rsid w:val="45961716"/>
    <w:rsid w:val="45A47C0E"/>
    <w:rsid w:val="45D1274E"/>
    <w:rsid w:val="45E00BE3"/>
    <w:rsid w:val="461345F3"/>
    <w:rsid w:val="46354F72"/>
    <w:rsid w:val="46357180"/>
    <w:rsid w:val="4645313C"/>
    <w:rsid w:val="464C32E2"/>
    <w:rsid w:val="46577FD6"/>
    <w:rsid w:val="468E063F"/>
    <w:rsid w:val="469E1A31"/>
    <w:rsid w:val="46B06807"/>
    <w:rsid w:val="46B81B60"/>
    <w:rsid w:val="46D71FE6"/>
    <w:rsid w:val="46D955A7"/>
    <w:rsid w:val="46E841F3"/>
    <w:rsid w:val="47133957"/>
    <w:rsid w:val="47213261"/>
    <w:rsid w:val="4722516F"/>
    <w:rsid w:val="472B15B9"/>
    <w:rsid w:val="47332F94"/>
    <w:rsid w:val="47393AEA"/>
    <w:rsid w:val="473F5DDD"/>
    <w:rsid w:val="47451645"/>
    <w:rsid w:val="47625049"/>
    <w:rsid w:val="477A0BC3"/>
    <w:rsid w:val="47A07E0C"/>
    <w:rsid w:val="47C84024"/>
    <w:rsid w:val="47CD33E9"/>
    <w:rsid w:val="47DD3EAE"/>
    <w:rsid w:val="47F15329"/>
    <w:rsid w:val="480126AE"/>
    <w:rsid w:val="482D055B"/>
    <w:rsid w:val="483801B3"/>
    <w:rsid w:val="4840005F"/>
    <w:rsid w:val="48561630"/>
    <w:rsid w:val="4870272E"/>
    <w:rsid w:val="487258A9"/>
    <w:rsid w:val="488E0DCA"/>
    <w:rsid w:val="489A151D"/>
    <w:rsid w:val="48BD345D"/>
    <w:rsid w:val="48C77E38"/>
    <w:rsid w:val="48E445DA"/>
    <w:rsid w:val="48EE407C"/>
    <w:rsid w:val="49885819"/>
    <w:rsid w:val="498E6BA8"/>
    <w:rsid w:val="49A07151"/>
    <w:rsid w:val="49A13DF0"/>
    <w:rsid w:val="49AD3C2F"/>
    <w:rsid w:val="49B763AB"/>
    <w:rsid w:val="49BA174B"/>
    <w:rsid w:val="49BC1967"/>
    <w:rsid w:val="49BC54CD"/>
    <w:rsid w:val="49BE56DF"/>
    <w:rsid w:val="49D94EC0"/>
    <w:rsid w:val="49DC7715"/>
    <w:rsid w:val="49E62540"/>
    <w:rsid w:val="49F8034B"/>
    <w:rsid w:val="4A023139"/>
    <w:rsid w:val="4A1C7CCB"/>
    <w:rsid w:val="4A5E101F"/>
    <w:rsid w:val="4A7B576F"/>
    <w:rsid w:val="4A9230C8"/>
    <w:rsid w:val="4AB16FF2"/>
    <w:rsid w:val="4ACB55D9"/>
    <w:rsid w:val="4ADD7DE7"/>
    <w:rsid w:val="4AE13903"/>
    <w:rsid w:val="4AE922E8"/>
    <w:rsid w:val="4AF561A9"/>
    <w:rsid w:val="4B047546"/>
    <w:rsid w:val="4B375749"/>
    <w:rsid w:val="4B38501D"/>
    <w:rsid w:val="4B3D6AD7"/>
    <w:rsid w:val="4B543953"/>
    <w:rsid w:val="4B5736F5"/>
    <w:rsid w:val="4B5F25AA"/>
    <w:rsid w:val="4B665A52"/>
    <w:rsid w:val="4B6D2F19"/>
    <w:rsid w:val="4B9506C1"/>
    <w:rsid w:val="4B996181"/>
    <w:rsid w:val="4BEB2319"/>
    <w:rsid w:val="4BF076A6"/>
    <w:rsid w:val="4C017683"/>
    <w:rsid w:val="4C235EF4"/>
    <w:rsid w:val="4C4A0649"/>
    <w:rsid w:val="4C567E51"/>
    <w:rsid w:val="4C6A7458"/>
    <w:rsid w:val="4C7C0669"/>
    <w:rsid w:val="4C7E355F"/>
    <w:rsid w:val="4C7E5ECA"/>
    <w:rsid w:val="4C876AA5"/>
    <w:rsid w:val="4C8A7AFA"/>
    <w:rsid w:val="4CA02E7A"/>
    <w:rsid w:val="4CA55E72"/>
    <w:rsid w:val="4CC44D45"/>
    <w:rsid w:val="4CDA01A4"/>
    <w:rsid w:val="4CE70AA9"/>
    <w:rsid w:val="4CFA1DCE"/>
    <w:rsid w:val="4D07719E"/>
    <w:rsid w:val="4D0E00FB"/>
    <w:rsid w:val="4D176606"/>
    <w:rsid w:val="4D3904CD"/>
    <w:rsid w:val="4D4A3E41"/>
    <w:rsid w:val="4D6245D3"/>
    <w:rsid w:val="4D774171"/>
    <w:rsid w:val="4D8F5115"/>
    <w:rsid w:val="4D902EEE"/>
    <w:rsid w:val="4DA44BEC"/>
    <w:rsid w:val="4DC4703C"/>
    <w:rsid w:val="4DC70A17"/>
    <w:rsid w:val="4DD56D3A"/>
    <w:rsid w:val="4DDA095F"/>
    <w:rsid w:val="4DDD01B3"/>
    <w:rsid w:val="4DEC4FB0"/>
    <w:rsid w:val="4DF5277C"/>
    <w:rsid w:val="4DF52F35"/>
    <w:rsid w:val="4E075D8A"/>
    <w:rsid w:val="4E1A4EAE"/>
    <w:rsid w:val="4E243DBE"/>
    <w:rsid w:val="4E296E9F"/>
    <w:rsid w:val="4E3102F0"/>
    <w:rsid w:val="4E401BD4"/>
    <w:rsid w:val="4E6E3563"/>
    <w:rsid w:val="4E70682F"/>
    <w:rsid w:val="4EB42C0C"/>
    <w:rsid w:val="4EB96475"/>
    <w:rsid w:val="4EC00FAD"/>
    <w:rsid w:val="4EF464B7"/>
    <w:rsid w:val="4F0639B2"/>
    <w:rsid w:val="4F2C6C47"/>
    <w:rsid w:val="4F2D32AC"/>
    <w:rsid w:val="4F566B05"/>
    <w:rsid w:val="4F6665FD"/>
    <w:rsid w:val="4F9843DC"/>
    <w:rsid w:val="4FAE58AE"/>
    <w:rsid w:val="4FC62A8C"/>
    <w:rsid w:val="4FE20F0D"/>
    <w:rsid w:val="4FE47521"/>
    <w:rsid w:val="4FE51552"/>
    <w:rsid w:val="4FF9539C"/>
    <w:rsid w:val="50106568"/>
    <w:rsid w:val="50196558"/>
    <w:rsid w:val="502618E8"/>
    <w:rsid w:val="502C214E"/>
    <w:rsid w:val="50504C4B"/>
    <w:rsid w:val="505D206E"/>
    <w:rsid w:val="509C6E7C"/>
    <w:rsid w:val="50A82D6A"/>
    <w:rsid w:val="50B45146"/>
    <w:rsid w:val="50DC2CF9"/>
    <w:rsid w:val="50E772C9"/>
    <w:rsid w:val="50F40BD4"/>
    <w:rsid w:val="51087240"/>
    <w:rsid w:val="51095E03"/>
    <w:rsid w:val="511F1AFD"/>
    <w:rsid w:val="512651A9"/>
    <w:rsid w:val="51271DBC"/>
    <w:rsid w:val="51426BF5"/>
    <w:rsid w:val="51487D81"/>
    <w:rsid w:val="5162104E"/>
    <w:rsid w:val="516C1CB5"/>
    <w:rsid w:val="5176689F"/>
    <w:rsid w:val="51826FF2"/>
    <w:rsid w:val="519976A8"/>
    <w:rsid w:val="519B077D"/>
    <w:rsid w:val="51D00756"/>
    <w:rsid w:val="51D803B3"/>
    <w:rsid w:val="51EF0D82"/>
    <w:rsid w:val="51FD1646"/>
    <w:rsid w:val="520A3291"/>
    <w:rsid w:val="52132340"/>
    <w:rsid w:val="523C3645"/>
    <w:rsid w:val="52457007"/>
    <w:rsid w:val="524D7600"/>
    <w:rsid w:val="5268443A"/>
    <w:rsid w:val="526D7CA2"/>
    <w:rsid w:val="52997E0A"/>
    <w:rsid w:val="529F0F39"/>
    <w:rsid w:val="52A03BD4"/>
    <w:rsid w:val="52B0193D"/>
    <w:rsid w:val="532A16EF"/>
    <w:rsid w:val="537D3F15"/>
    <w:rsid w:val="53852DC9"/>
    <w:rsid w:val="5387082C"/>
    <w:rsid w:val="53A039CC"/>
    <w:rsid w:val="53A1505A"/>
    <w:rsid w:val="53A65772"/>
    <w:rsid w:val="53E07381"/>
    <w:rsid w:val="53E953A1"/>
    <w:rsid w:val="54063E08"/>
    <w:rsid w:val="540C383F"/>
    <w:rsid w:val="54316AAD"/>
    <w:rsid w:val="543437E8"/>
    <w:rsid w:val="5435659E"/>
    <w:rsid w:val="54534C76"/>
    <w:rsid w:val="54664B11"/>
    <w:rsid w:val="54977258"/>
    <w:rsid w:val="54B00DFC"/>
    <w:rsid w:val="54CA03AA"/>
    <w:rsid w:val="54F73313"/>
    <w:rsid w:val="54F80955"/>
    <w:rsid w:val="550D3076"/>
    <w:rsid w:val="55284354"/>
    <w:rsid w:val="553E740F"/>
    <w:rsid w:val="555170A7"/>
    <w:rsid w:val="555D5DAC"/>
    <w:rsid w:val="55780E38"/>
    <w:rsid w:val="5587536D"/>
    <w:rsid w:val="559B174B"/>
    <w:rsid w:val="55A65781"/>
    <w:rsid w:val="55B577AC"/>
    <w:rsid w:val="55CE0CF4"/>
    <w:rsid w:val="55D16071"/>
    <w:rsid w:val="55FD30EB"/>
    <w:rsid w:val="56026953"/>
    <w:rsid w:val="56091A90"/>
    <w:rsid w:val="56187F25"/>
    <w:rsid w:val="56242D6E"/>
    <w:rsid w:val="562501E7"/>
    <w:rsid w:val="56382375"/>
    <w:rsid w:val="5697709C"/>
    <w:rsid w:val="56A1616C"/>
    <w:rsid w:val="56B20379"/>
    <w:rsid w:val="56B22A9C"/>
    <w:rsid w:val="56BD1AE8"/>
    <w:rsid w:val="56C13162"/>
    <w:rsid w:val="56CE143A"/>
    <w:rsid w:val="56E747FB"/>
    <w:rsid w:val="570861EB"/>
    <w:rsid w:val="57233025"/>
    <w:rsid w:val="574C3DF0"/>
    <w:rsid w:val="574E5C21"/>
    <w:rsid w:val="575651A9"/>
    <w:rsid w:val="57592088"/>
    <w:rsid w:val="575B1067"/>
    <w:rsid w:val="57607DD5"/>
    <w:rsid w:val="57663971"/>
    <w:rsid w:val="57866647"/>
    <w:rsid w:val="57AF7FE4"/>
    <w:rsid w:val="57B40121"/>
    <w:rsid w:val="57B72A76"/>
    <w:rsid w:val="57C3426C"/>
    <w:rsid w:val="57C6352C"/>
    <w:rsid w:val="57C9597B"/>
    <w:rsid w:val="57CE1F93"/>
    <w:rsid w:val="57D8796C"/>
    <w:rsid w:val="581D1822"/>
    <w:rsid w:val="58345D36"/>
    <w:rsid w:val="58627B7D"/>
    <w:rsid w:val="586C4558"/>
    <w:rsid w:val="5881442B"/>
    <w:rsid w:val="588743D1"/>
    <w:rsid w:val="5887701A"/>
    <w:rsid w:val="58AA1A70"/>
    <w:rsid w:val="58C77603"/>
    <w:rsid w:val="58D565A1"/>
    <w:rsid w:val="58D8399B"/>
    <w:rsid w:val="58E10AA2"/>
    <w:rsid w:val="58E663CF"/>
    <w:rsid w:val="590649AC"/>
    <w:rsid w:val="592310BA"/>
    <w:rsid w:val="593B74AE"/>
    <w:rsid w:val="595079D6"/>
    <w:rsid w:val="59545718"/>
    <w:rsid w:val="59563C28"/>
    <w:rsid w:val="596B4552"/>
    <w:rsid w:val="597731B4"/>
    <w:rsid w:val="59851D75"/>
    <w:rsid w:val="59886EEC"/>
    <w:rsid w:val="598F3D08"/>
    <w:rsid w:val="59BA56E2"/>
    <w:rsid w:val="59BE0DE3"/>
    <w:rsid w:val="59BE5287"/>
    <w:rsid w:val="59C0439F"/>
    <w:rsid w:val="59CD18AF"/>
    <w:rsid w:val="59CF1242"/>
    <w:rsid w:val="59DE4FE1"/>
    <w:rsid w:val="59EE791A"/>
    <w:rsid w:val="59F3361E"/>
    <w:rsid w:val="5A082C9D"/>
    <w:rsid w:val="5A127318"/>
    <w:rsid w:val="5A3115B5"/>
    <w:rsid w:val="5A5534F6"/>
    <w:rsid w:val="5A5654C0"/>
    <w:rsid w:val="5A731BCE"/>
    <w:rsid w:val="5A89319F"/>
    <w:rsid w:val="5AAE4A20"/>
    <w:rsid w:val="5ABE2233"/>
    <w:rsid w:val="5AE02F22"/>
    <w:rsid w:val="5AE14D89"/>
    <w:rsid w:val="5B046CCA"/>
    <w:rsid w:val="5B0C2543"/>
    <w:rsid w:val="5B101B12"/>
    <w:rsid w:val="5B127639"/>
    <w:rsid w:val="5B206502"/>
    <w:rsid w:val="5B3C6463"/>
    <w:rsid w:val="5B721E85"/>
    <w:rsid w:val="5B94004E"/>
    <w:rsid w:val="5B9D42DA"/>
    <w:rsid w:val="5BAD55B3"/>
    <w:rsid w:val="5BB64468"/>
    <w:rsid w:val="5BBA27DC"/>
    <w:rsid w:val="5BC82B87"/>
    <w:rsid w:val="5BDD7F98"/>
    <w:rsid w:val="5BDF5D95"/>
    <w:rsid w:val="5BE37977"/>
    <w:rsid w:val="5BFE7528"/>
    <w:rsid w:val="5C245875"/>
    <w:rsid w:val="5C3E620B"/>
    <w:rsid w:val="5C5A7EA0"/>
    <w:rsid w:val="5C6043D4"/>
    <w:rsid w:val="5C7A268D"/>
    <w:rsid w:val="5CA42512"/>
    <w:rsid w:val="5CA442C0"/>
    <w:rsid w:val="5CAF2C65"/>
    <w:rsid w:val="5CB53DD7"/>
    <w:rsid w:val="5CC23C22"/>
    <w:rsid w:val="5CC46711"/>
    <w:rsid w:val="5CD252D1"/>
    <w:rsid w:val="5CD656B9"/>
    <w:rsid w:val="5D0134C1"/>
    <w:rsid w:val="5D4C5648"/>
    <w:rsid w:val="5D537A94"/>
    <w:rsid w:val="5D7422F2"/>
    <w:rsid w:val="5D79648E"/>
    <w:rsid w:val="5DA80828"/>
    <w:rsid w:val="5DBC0993"/>
    <w:rsid w:val="5DE27796"/>
    <w:rsid w:val="5E0052A9"/>
    <w:rsid w:val="5E0C4813"/>
    <w:rsid w:val="5E211941"/>
    <w:rsid w:val="5E2467F1"/>
    <w:rsid w:val="5E261EC2"/>
    <w:rsid w:val="5E2D6537"/>
    <w:rsid w:val="5E3478C6"/>
    <w:rsid w:val="5E3B418F"/>
    <w:rsid w:val="5E4A533B"/>
    <w:rsid w:val="5E773E01"/>
    <w:rsid w:val="5E786D3D"/>
    <w:rsid w:val="5E7C64B9"/>
    <w:rsid w:val="5E854D2D"/>
    <w:rsid w:val="5E907E2E"/>
    <w:rsid w:val="5ECC7AFE"/>
    <w:rsid w:val="5EDF7832"/>
    <w:rsid w:val="5EE237C6"/>
    <w:rsid w:val="5EFC656C"/>
    <w:rsid w:val="5F1A2B43"/>
    <w:rsid w:val="5F431E0C"/>
    <w:rsid w:val="5F4E49B7"/>
    <w:rsid w:val="5F6077C6"/>
    <w:rsid w:val="5FA76886"/>
    <w:rsid w:val="5FAB005C"/>
    <w:rsid w:val="5FB341FF"/>
    <w:rsid w:val="5FB837BB"/>
    <w:rsid w:val="5FC353A5"/>
    <w:rsid w:val="5FC609F2"/>
    <w:rsid w:val="5FD63E42"/>
    <w:rsid w:val="5FE61094"/>
    <w:rsid w:val="6005151A"/>
    <w:rsid w:val="60193217"/>
    <w:rsid w:val="606A5821"/>
    <w:rsid w:val="606B0E77"/>
    <w:rsid w:val="607907C2"/>
    <w:rsid w:val="60845C65"/>
    <w:rsid w:val="60B30F76"/>
    <w:rsid w:val="60CC405A"/>
    <w:rsid w:val="60DD400D"/>
    <w:rsid w:val="61073070"/>
    <w:rsid w:val="611834CF"/>
    <w:rsid w:val="61573FF7"/>
    <w:rsid w:val="61636F67"/>
    <w:rsid w:val="61736957"/>
    <w:rsid w:val="61BB49C0"/>
    <w:rsid w:val="61C40FCF"/>
    <w:rsid w:val="61E215D8"/>
    <w:rsid w:val="61F9239A"/>
    <w:rsid w:val="620B6B90"/>
    <w:rsid w:val="620D0B5A"/>
    <w:rsid w:val="621B3775"/>
    <w:rsid w:val="62274D5F"/>
    <w:rsid w:val="62364782"/>
    <w:rsid w:val="624E2765"/>
    <w:rsid w:val="624F75D6"/>
    <w:rsid w:val="62515613"/>
    <w:rsid w:val="626A0E83"/>
    <w:rsid w:val="627209BD"/>
    <w:rsid w:val="62791D4B"/>
    <w:rsid w:val="629E17B2"/>
    <w:rsid w:val="62CF5E0F"/>
    <w:rsid w:val="62F91471"/>
    <w:rsid w:val="62F92E8C"/>
    <w:rsid w:val="63116428"/>
    <w:rsid w:val="632D1829"/>
    <w:rsid w:val="63302D52"/>
    <w:rsid w:val="63385C07"/>
    <w:rsid w:val="63556314"/>
    <w:rsid w:val="63682F0E"/>
    <w:rsid w:val="637846F9"/>
    <w:rsid w:val="6392364D"/>
    <w:rsid w:val="6394356A"/>
    <w:rsid w:val="63A252D2"/>
    <w:rsid w:val="63B357B6"/>
    <w:rsid w:val="63C61B2C"/>
    <w:rsid w:val="63D40BE9"/>
    <w:rsid w:val="63F5468A"/>
    <w:rsid w:val="64102431"/>
    <w:rsid w:val="641D01A1"/>
    <w:rsid w:val="646B3072"/>
    <w:rsid w:val="648F2152"/>
    <w:rsid w:val="64A5243A"/>
    <w:rsid w:val="64B81251"/>
    <w:rsid w:val="64D32D17"/>
    <w:rsid w:val="64F531DE"/>
    <w:rsid w:val="64FC7057"/>
    <w:rsid w:val="6505375D"/>
    <w:rsid w:val="6507404E"/>
    <w:rsid w:val="650A3D99"/>
    <w:rsid w:val="650A75D2"/>
    <w:rsid w:val="652B16D9"/>
    <w:rsid w:val="65313A7A"/>
    <w:rsid w:val="65373578"/>
    <w:rsid w:val="65613696"/>
    <w:rsid w:val="65726430"/>
    <w:rsid w:val="658A426F"/>
    <w:rsid w:val="65B75E88"/>
    <w:rsid w:val="65C37EAD"/>
    <w:rsid w:val="660A5ADC"/>
    <w:rsid w:val="662D3578"/>
    <w:rsid w:val="663E5786"/>
    <w:rsid w:val="664853B2"/>
    <w:rsid w:val="669F34D5"/>
    <w:rsid w:val="66C37A39"/>
    <w:rsid w:val="671F124A"/>
    <w:rsid w:val="675114E9"/>
    <w:rsid w:val="677A33C6"/>
    <w:rsid w:val="67852F40"/>
    <w:rsid w:val="678F1105"/>
    <w:rsid w:val="67C63C85"/>
    <w:rsid w:val="67C648ED"/>
    <w:rsid w:val="67CB129B"/>
    <w:rsid w:val="67D53EC8"/>
    <w:rsid w:val="67D93A73"/>
    <w:rsid w:val="67E91924"/>
    <w:rsid w:val="67F307F2"/>
    <w:rsid w:val="67FD6F7B"/>
    <w:rsid w:val="681F6961"/>
    <w:rsid w:val="68273FF7"/>
    <w:rsid w:val="68306E63"/>
    <w:rsid w:val="6841155D"/>
    <w:rsid w:val="68500530"/>
    <w:rsid w:val="685257E8"/>
    <w:rsid w:val="68570B4C"/>
    <w:rsid w:val="68610A2F"/>
    <w:rsid w:val="686B6B5C"/>
    <w:rsid w:val="687F56C9"/>
    <w:rsid w:val="68805514"/>
    <w:rsid w:val="688E4D5B"/>
    <w:rsid w:val="68902C8E"/>
    <w:rsid w:val="689478DF"/>
    <w:rsid w:val="68A17E46"/>
    <w:rsid w:val="68AA72EA"/>
    <w:rsid w:val="68B735CD"/>
    <w:rsid w:val="690507DD"/>
    <w:rsid w:val="69175381"/>
    <w:rsid w:val="69316E2F"/>
    <w:rsid w:val="694E2071"/>
    <w:rsid w:val="695B664F"/>
    <w:rsid w:val="69766163"/>
    <w:rsid w:val="697A2F79"/>
    <w:rsid w:val="697A3B33"/>
    <w:rsid w:val="698931BC"/>
    <w:rsid w:val="699456BD"/>
    <w:rsid w:val="69A2427D"/>
    <w:rsid w:val="69BE25B7"/>
    <w:rsid w:val="69D44760"/>
    <w:rsid w:val="69D56401"/>
    <w:rsid w:val="69E059A1"/>
    <w:rsid w:val="6A0F0AD2"/>
    <w:rsid w:val="6A232BCE"/>
    <w:rsid w:val="6A2A368D"/>
    <w:rsid w:val="6A3053E5"/>
    <w:rsid w:val="6A3E5777"/>
    <w:rsid w:val="6A444E1A"/>
    <w:rsid w:val="6A520EC7"/>
    <w:rsid w:val="6A570BC4"/>
    <w:rsid w:val="6AB44268"/>
    <w:rsid w:val="6AC81AC2"/>
    <w:rsid w:val="6ACB22C2"/>
    <w:rsid w:val="6ADF047D"/>
    <w:rsid w:val="6AF87E20"/>
    <w:rsid w:val="6B2018FE"/>
    <w:rsid w:val="6B322639"/>
    <w:rsid w:val="6B482C03"/>
    <w:rsid w:val="6B625A72"/>
    <w:rsid w:val="6B6C5C6F"/>
    <w:rsid w:val="6B7B2FD8"/>
    <w:rsid w:val="6B7C4CAD"/>
    <w:rsid w:val="6B827EC3"/>
    <w:rsid w:val="6BD050D2"/>
    <w:rsid w:val="6BE66F85"/>
    <w:rsid w:val="6BF15048"/>
    <w:rsid w:val="6C2471CC"/>
    <w:rsid w:val="6C262F3D"/>
    <w:rsid w:val="6C5D5DF1"/>
    <w:rsid w:val="6C636C38"/>
    <w:rsid w:val="6C7F6D0D"/>
    <w:rsid w:val="6C9371E2"/>
    <w:rsid w:val="6C9D2ADA"/>
    <w:rsid w:val="6CA9147F"/>
    <w:rsid w:val="6CAD06B6"/>
    <w:rsid w:val="6CC12C6C"/>
    <w:rsid w:val="6CFC78E9"/>
    <w:rsid w:val="6D0F1C2A"/>
    <w:rsid w:val="6D142D9C"/>
    <w:rsid w:val="6D237483"/>
    <w:rsid w:val="6D4A5091"/>
    <w:rsid w:val="6D4C3D11"/>
    <w:rsid w:val="6D57712D"/>
    <w:rsid w:val="6D9205D0"/>
    <w:rsid w:val="6DB34098"/>
    <w:rsid w:val="6DB545B6"/>
    <w:rsid w:val="6DC7204C"/>
    <w:rsid w:val="6DD11EE7"/>
    <w:rsid w:val="6DE02FB4"/>
    <w:rsid w:val="6DE45640"/>
    <w:rsid w:val="6DF10982"/>
    <w:rsid w:val="6E0136FE"/>
    <w:rsid w:val="6E052D52"/>
    <w:rsid w:val="6E0A419F"/>
    <w:rsid w:val="6E0B3827"/>
    <w:rsid w:val="6E105C5A"/>
    <w:rsid w:val="6E130001"/>
    <w:rsid w:val="6E1F19CB"/>
    <w:rsid w:val="6E3556C0"/>
    <w:rsid w:val="6E514CED"/>
    <w:rsid w:val="6E531697"/>
    <w:rsid w:val="6E891568"/>
    <w:rsid w:val="6EA579CA"/>
    <w:rsid w:val="6EB563D5"/>
    <w:rsid w:val="6ECD3B4B"/>
    <w:rsid w:val="6ED36C87"/>
    <w:rsid w:val="6ED92677"/>
    <w:rsid w:val="6EDD18B4"/>
    <w:rsid w:val="6EF70BC7"/>
    <w:rsid w:val="6EFE1F56"/>
    <w:rsid w:val="6F0357BE"/>
    <w:rsid w:val="6F225983"/>
    <w:rsid w:val="6F2D45E9"/>
    <w:rsid w:val="6F52188A"/>
    <w:rsid w:val="6F547DC8"/>
    <w:rsid w:val="6F552F4E"/>
    <w:rsid w:val="6F6B6EC0"/>
    <w:rsid w:val="6F6F09F7"/>
    <w:rsid w:val="6F8566E4"/>
    <w:rsid w:val="6F973F7E"/>
    <w:rsid w:val="6F9A7348"/>
    <w:rsid w:val="6FA67EF8"/>
    <w:rsid w:val="6FC3516F"/>
    <w:rsid w:val="6FD375F5"/>
    <w:rsid w:val="6FF43359"/>
    <w:rsid w:val="6FFC5590"/>
    <w:rsid w:val="7003359D"/>
    <w:rsid w:val="701721F7"/>
    <w:rsid w:val="70422ED3"/>
    <w:rsid w:val="70424378"/>
    <w:rsid w:val="704B78DC"/>
    <w:rsid w:val="705636CC"/>
    <w:rsid w:val="705B6F34"/>
    <w:rsid w:val="706D1DD0"/>
    <w:rsid w:val="70856B87"/>
    <w:rsid w:val="708908C5"/>
    <w:rsid w:val="709F1517"/>
    <w:rsid w:val="70D527EE"/>
    <w:rsid w:val="70D867D7"/>
    <w:rsid w:val="70DF7B65"/>
    <w:rsid w:val="70EE704F"/>
    <w:rsid w:val="71245578"/>
    <w:rsid w:val="71353C29"/>
    <w:rsid w:val="713F6856"/>
    <w:rsid w:val="71573BB9"/>
    <w:rsid w:val="715B5300"/>
    <w:rsid w:val="71764003"/>
    <w:rsid w:val="71AD326D"/>
    <w:rsid w:val="71BC1889"/>
    <w:rsid w:val="71BE777B"/>
    <w:rsid w:val="71C04D9D"/>
    <w:rsid w:val="71D27F8A"/>
    <w:rsid w:val="71DA7DBA"/>
    <w:rsid w:val="71DD3C9B"/>
    <w:rsid w:val="720A0E88"/>
    <w:rsid w:val="720A6E64"/>
    <w:rsid w:val="720C498A"/>
    <w:rsid w:val="72274603"/>
    <w:rsid w:val="72553024"/>
    <w:rsid w:val="72822E9E"/>
    <w:rsid w:val="729A6CE6"/>
    <w:rsid w:val="729B7BAA"/>
    <w:rsid w:val="72A44BC2"/>
    <w:rsid w:val="72AC3A77"/>
    <w:rsid w:val="72B62B48"/>
    <w:rsid w:val="72C45265"/>
    <w:rsid w:val="72DF5BFA"/>
    <w:rsid w:val="73122968"/>
    <w:rsid w:val="731F5D5E"/>
    <w:rsid w:val="73226B14"/>
    <w:rsid w:val="732C6966"/>
    <w:rsid w:val="735A7977"/>
    <w:rsid w:val="73782A93"/>
    <w:rsid w:val="737A5923"/>
    <w:rsid w:val="73AF7CC3"/>
    <w:rsid w:val="73C51AD5"/>
    <w:rsid w:val="73F05BE5"/>
    <w:rsid w:val="74024296"/>
    <w:rsid w:val="74054476"/>
    <w:rsid w:val="7416389E"/>
    <w:rsid w:val="741E793C"/>
    <w:rsid w:val="743E1047"/>
    <w:rsid w:val="745E3944"/>
    <w:rsid w:val="74671FA3"/>
    <w:rsid w:val="747E5FB6"/>
    <w:rsid w:val="748120E1"/>
    <w:rsid w:val="748266FB"/>
    <w:rsid w:val="74A159D4"/>
    <w:rsid w:val="74AC7D5E"/>
    <w:rsid w:val="74BD7A01"/>
    <w:rsid w:val="751D0C5C"/>
    <w:rsid w:val="75226272"/>
    <w:rsid w:val="75232716"/>
    <w:rsid w:val="75412B9C"/>
    <w:rsid w:val="7547581B"/>
    <w:rsid w:val="758A3E96"/>
    <w:rsid w:val="759F126A"/>
    <w:rsid w:val="75B23A9A"/>
    <w:rsid w:val="75C9757F"/>
    <w:rsid w:val="75DC4673"/>
    <w:rsid w:val="75E35A02"/>
    <w:rsid w:val="76244B4D"/>
    <w:rsid w:val="762872F9"/>
    <w:rsid w:val="7635099D"/>
    <w:rsid w:val="7644658B"/>
    <w:rsid w:val="767C19AD"/>
    <w:rsid w:val="767F7401"/>
    <w:rsid w:val="7681706F"/>
    <w:rsid w:val="769431A0"/>
    <w:rsid w:val="76BF646F"/>
    <w:rsid w:val="76C44C0D"/>
    <w:rsid w:val="76E732D0"/>
    <w:rsid w:val="76F6309E"/>
    <w:rsid w:val="77201298"/>
    <w:rsid w:val="77253DF8"/>
    <w:rsid w:val="77287063"/>
    <w:rsid w:val="772B7660"/>
    <w:rsid w:val="773C186D"/>
    <w:rsid w:val="77534E09"/>
    <w:rsid w:val="775A6479"/>
    <w:rsid w:val="7763329E"/>
    <w:rsid w:val="77762421"/>
    <w:rsid w:val="777A4144"/>
    <w:rsid w:val="77981CB5"/>
    <w:rsid w:val="77AC2CF0"/>
    <w:rsid w:val="77B56B1F"/>
    <w:rsid w:val="77B80410"/>
    <w:rsid w:val="77C82039"/>
    <w:rsid w:val="77D0645A"/>
    <w:rsid w:val="77D27D4E"/>
    <w:rsid w:val="77D86C6E"/>
    <w:rsid w:val="77E20CD7"/>
    <w:rsid w:val="77E4194A"/>
    <w:rsid w:val="780F09F4"/>
    <w:rsid w:val="780F6F82"/>
    <w:rsid w:val="78215440"/>
    <w:rsid w:val="78362761"/>
    <w:rsid w:val="78594C10"/>
    <w:rsid w:val="785B4E60"/>
    <w:rsid w:val="785B5EA5"/>
    <w:rsid w:val="785D684A"/>
    <w:rsid w:val="78636AB5"/>
    <w:rsid w:val="787C2448"/>
    <w:rsid w:val="7887278A"/>
    <w:rsid w:val="788C05D2"/>
    <w:rsid w:val="78970DCC"/>
    <w:rsid w:val="78A90480"/>
    <w:rsid w:val="78AA291C"/>
    <w:rsid w:val="78B673FD"/>
    <w:rsid w:val="78BC3FEA"/>
    <w:rsid w:val="78E75809"/>
    <w:rsid w:val="78E8332F"/>
    <w:rsid w:val="78E90BB5"/>
    <w:rsid w:val="78F8515C"/>
    <w:rsid w:val="790939D1"/>
    <w:rsid w:val="79226841"/>
    <w:rsid w:val="7924080B"/>
    <w:rsid w:val="792E21A5"/>
    <w:rsid w:val="79442C5B"/>
    <w:rsid w:val="794B223C"/>
    <w:rsid w:val="794C38BE"/>
    <w:rsid w:val="79501600"/>
    <w:rsid w:val="795E1176"/>
    <w:rsid w:val="795F45B5"/>
    <w:rsid w:val="79607369"/>
    <w:rsid w:val="79770A83"/>
    <w:rsid w:val="79940373"/>
    <w:rsid w:val="79951709"/>
    <w:rsid w:val="7997722F"/>
    <w:rsid w:val="79A9101F"/>
    <w:rsid w:val="7A364017"/>
    <w:rsid w:val="7A3D7C35"/>
    <w:rsid w:val="7A5F11D4"/>
    <w:rsid w:val="7A7C4677"/>
    <w:rsid w:val="7A8265E1"/>
    <w:rsid w:val="7A9F6243"/>
    <w:rsid w:val="7ACA1F6C"/>
    <w:rsid w:val="7AED003A"/>
    <w:rsid w:val="7B1B79EC"/>
    <w:rsid w:val="7B29035B"/>
    <w:rsid w:val="7B4E7DC1"/>
    <w:rsid w:val="7B542EEC"/>
    <w:rsid w:val="7B686D42"/>
    <w:rsid w:val="7B841746"/>
    <w:rsid w:val="7B8E01BE"/>
    <w:rsid w:val="7B9003DA"/>
    <w:rsid w:val="7BC2103D"/>
    <w:rsid w:val="7BC65BA9"/>
    <w:rsid w:val="7BCE4A5E"/>
    <w:rsid w:val="7BE44282"/>
    <w:rsid w:val="7C013BC5"/>
    <w:rsid w:val="7C2D4744"/>
    <w:rsid w:val="7C605FFE"/>
    <w:rsid w:val="7C6C5AC7"/>
    <w:rsid w:val="7C703D67"/>
    <w:rsid w:val="7C8326CC"/>
    <w:rsid w:val="7CAD5EB7"/>
    <w:rsid w:val="7CC6544B"/>
    <w:rsid w:val="7CDE33C7"/>
    <w:rsid w:val="7CDE71F9"/>
    <w:rsid w:val="7CE275B9"/>
    <w:rsid w:val="7D0239FF"/>
    <w:rsid w:val="7D0719AF"/>
    <w:rsid w:val="7D1666BD"/>
    <w:rsid w:val="7D2121B1"/>
    <w:rsid w:val="7D253EFB"/>
    <w:rsid w:val="7D371900"/>
    <w:rsid w:val="7D387D4C"/>
    <w:rsid w:val="7D5E40CD"/>
    <w:rsid w:val="7D667F1E"/>
    <w:rsid w:val="7D7020D1"/>
    <w:rsid w:val="7D782ED3"/>
    <w:rsid w:val="7D7B0C16"/>
    <w:rsid w:val="7DB008BF"/>
    <w:rsid w:val="7DB639FC"/>
    <w:rsid w:val="7DCD0A80"/>
    <w:rsid w:val="7DCD56F2"/>
    <w:rsid w:val="7E310740"/>
    <w:rsid w:val="7E7A4DBE"/>
    <w:rsid w:val="7EB234A3"/>
    <w:rsid w:val="7EB93B0D"/>
    <w:rsid w:val="7ECF1219"/>
    <w:rsid w:val="7EE123DF"/>
    <w:rsid w:val="7EF14249"/>
    <w:rsid w:val="7F001CE7"/>
    <w:rsid w:val="7F34264D"/>
    <w:rsid w:val="7F475253"/>
    <w:rsid w:val="7F4C4FB8"/>
    <w:rsid w:val="7F6556D9"/>
    <w:rsid w:val="7F82628B"/>
    <w:rsid w:val="7FA73F44"/>
    <w:rsid w:val="7FCE7723"/>
    <w:rsid w:val="7FD85EAB"/>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qFormat/>
    <w:locked/>
    <w:uiPriority w:val="0"/>
    <w:pPr>
      <w:keepNext/>
      <w:spacing w:line="360" w:lineRule="auto"/>
      <w:outlineLvl w:val="1"/>
    </w:pPr>
    <w:rPr>
      <w:sz w:val="28"/>
    </w:rPr>
  </w:style>
  <w:style w:type="paragraph" w:styleId="4">
    <w:name w:val="heading 3"/>
    <w:basedOn w:val="1"/>
    <w:next w:val="1"/>
    <w:autoRedefine/>
    <w:qFormat/>
    <w:locked/>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32">
    <w:name w:val="Default Paragraph Font"/>
    <w:autoRedefine/>
    <w:semiHidden/>
    <w:qFormat/>
    <w:uiPriority w:val="0"/>
  </w:style>
  <w:style w:type="table" w:default="1" w:styleId="30">
    <w:name w:val="Normal Table"/>
    <w:autoRedefine/>
    <w:semiHidden/>
    <w:qFormat/>
    <w:uiPriority w:val="0"/>
    <w:tblPr>
      <w:tblCellMar>
        <w:top w:w="0" w:type="dxa"/>
        <w:left w:w="108" w:type="dxa"/>
        <w:bottom w:w="0" w:type="dxa"/>
        <w:right w:w="108" w:type="dxa"/>
      </w:tblCellMar>
    </w:tblPr>
  </w:style>
  <w:style w:type="paragraph" w:styleId="6">
    <w:name w:val="Normal Indent"/>
    <w:basedOn w:val="1"/>
    <w:next w:val="1"/>
    <w:autoRedefine/>
    <w:qFormat/>
    <w:locked/>
    <w:uiPriority w:val="99"/>
    <w:pPr>
      <w:ind w:firstLine="420"/>
    </w:pPr>
    <w:rPr>
      <w:sz w:val="24"/>
      <w:szCs w:val="20"/>
    </w:rPr>
  </w:style>
  <w:style w:type="paragraph" w:styleId="7">
    <w:name w:val="Document Map"/>
    <w:basedOn w:val="1"/>
    <w:link w:val="42"/>
    <w:autoRedefine/>
    <w:qFormat/>
    <w:locked/>
    <w:uiPriority w:val="0"/>
    <w:rPr>
      <w:rFonts w:ascii="宋体"/>
      <w:sz w:val="18"/>
      <w:szCs w:val="18"/>
    </w:rPr>
  </w:style>
  <w:style w:type="paragraph" w:styleId="8">
    <w:name w:val="annotation text"/>
    <w:basedOn w:val="1"/>
    <w:link w:val="43"/>
    <w:autoRedefine/>
    <w:semiHidden/>
    <w:qFormat/>
    <w:uiPriority w:val="0"/>
    <w:pPr>
      <w:jc w:val="left"/>
    </w:pPr>
    <w:rPr>
      <w:kern w:val="0"/>
      <w:sz w:val="24"/>
      <w:szCs w:val="20"/>
    </w:rPr>
  </w:style>
  <w:style w:type="paragraph" w:styleId="9">
    <w:name w:val="Salutation"/>
    <w:basedOn w:val="1"/>
    <w:next w:val="1"/>
    <w:autoRedefine/>
    <w:qFormat/>
    <w:locked/>
    <w:uiPriority w:val="0"/>
  </w:style>
  <w:style w:type="paragraph" w:styleId="10">
    <w:name w:val="Body Text"/>
    <w:basedOn w:val="1"/>
    <w:next w:val="1"/>
    <w:link w:val="44"/>
    <w:autoRedefine/>
    <w:qFormat/>
    <w:uiPriority w:val="0"/>
    <w:pPr>
      <w:widowControl/>
      <w:snapToGrid w:val="0"/>
      <w:spacing w:before="60" w:after="160" w:line="259" w:lineRule="auto"/>
      <w:ind w:right="113"/>
    </w:pPr>
    <w:rPr>
      <w:kern w:val="0"/>
      <w:sz w:val="18"/>
      <w:szCs w:val="20"/>
    </w:rPr>
  </w:style>
  <w:style w:type="paragraph" w:styleId="11">
    <w:name w:val="Body Text Indent"/>
    <w:basedOn w:val="1"/>
    <w:link w:val="45"/>
    <w:autoRedefine/>
    <w:qFormat/>
    <w:uiPriority w:val="0"/>
    <w:pPr>
      <w:spacing w:after="120"/>
      <w:ind w:left="420" w:leftChars="200"/>
    </w:pPr>
    <w:rPr>
      <w:kern w:val="0"/>
      <w:sz w:val="24"/>
      <w:szCs w:val="20"/>
    </w:rPr>
  </w:style>
  <w:style w:type="paragraph" w:styleId="12">
    <w:name w:val="Block Text"/>
    <w:basedOn w:val="1"/>
    <w:autoRedefine/>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3">
    <w:name w:val="toc 3"/>
    <w:basedOn w:val="1"/>
    <w:next w:val="1"/>
    <w:autoRedefine/>
    <w:qFormat/>
    <w:locked/>
    <w:uiPriority w:val="0"/>
    <w:pPr>
      <w:ind w:left="840" w:leftChars="400"/>
    </w:pPr>
  </w:style>
  <w:style w:type="paragraph" w:styleId="14">
    <w:name w:val="Plain Text"/>
    <w:basedOn w:val="1"/>
    <w:autoRedefine/>
    <w:qFormat/>
    <w:locked/>
    <w:uiPriority w:val="0"/>
    <w:rPr>
      <w:rFonts w:ascii="宋体" w:hAnsi="Courier New"/>
      <w:szCs w:val="20"/>
    </w:rPr>
  </w:style>
  <w:style w:type="paragraph" w:styleId="15">
    <w:name w:val="List Bullet 5"/>
    <w:basedOn w:val="1"/>
    <w:autoRedefine/>
    <w:qFormat/>
    <w:locked/>
    <w:uiPriority w:val="0"/>
    <w:pPr>
      <w:numPr>
        <w:ilvl w:val="0"/>
        <w:numId w:val="1"/>
      </w:numPr>
    </w:pPr>
  </w:style>
  <w:style w:type="paragraph" w:styleId="16">
    <w:name w:val="Date"/>
    <w:basedOn w:val="1"/>
    <w:next w:val="1"/>
    <w:link w:val="47"/>
    <w:autoRedefine/>
    <w:qFormat/>
    <w:uiPriority w:val="0"/>
    <w:pPr>
      <w:ind w:left="100" w:leftChars="2500"/>
    </w:pPr>
    <w:rPr>
      <w:kern w:val="0"/>
      <w:sz w:val="24"/>
      <w:szCs w:val="20"/>
    </w:rPr>
  </w:style>
  <w:style w:type="paragraph" w:styleId="17">
    <w:name w:val="Body Text Indent 2"/>
    <w:basedOn w:val="1"/>
    <w:autoRedefine/>
    <w:qFormat/>
    <w:locked/>
    <w:uiPriority w:val="0"/>
    <w:pPr>
      <w:spacing w:after="120" w:line="480" w:lineRule="auto"/>
      <w:ind w:left="420" w:leftChars="200"/>
    </w:pPr>
  </w:style>
  <w:style w:type="paragraph" w:styleId="18">
    <w:name w:val="Balloon Text"/>
    <w:basedOn w:val="1"/>
    <w:link w:val="48"/>
    <w:autoRedefine/>
    <w:semiHidden/>
    <w:qFormat/>
    <w:uiPriority w:val="0"/>
    <w:rPr>
      <w:kern w:val="0"/>
      <w:sz w:val="18"/>
      <w:szCs w:val="20"/>
    </w:rPr>
  </w:style>
  <w:style w:type="paragraph" w:styleId="19">
    <w:name w:val="footer"/>
    <w:basedOn w:val="1"/>
    <w:link w:val="49"/>
    <w:autoRedefine/>
    <w:qFormat/>
    <w:uiPriority w:val="99"/>
    <w:pPr>
      <w:tabs>
        <w:tab w:val="center" w:pos="4153"/>
        <w:tab w:val="right" w:pos="8306"/>
      </w:tabs>
      <w:snapToGrid w:val="0"/>
      <w:jc w:val="left"/>
    </w:pPr>
    <w:rPr>
      <w:kern w:val="0"/>
      <w:sz w:val="18"/>
      <w:szCs w:val="20"/>
    </w:rPr>
  </w:style>
  <w:style w:type="paragraph" w:styleId="20">
    <w:name w:val="header"/>
    <w:basedOn w:val="1"/>
    <w:link w:val="46"/>
    <w:autoRedefine/>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autoRedefine/>
    <w:qFormat/>
    <w:locked/>
    <w:uiPriority w:val="0"/>
  </w:style>
  <w:style w:type="paragraph" w:styleId="22">
    <w:name w:val="toc 6"/>
    <w:basedOn w:val="1"/>
    <w:next w:val="1"/>
    <w:autoRedefine/>
    <w:qFormat/>
    <w:locked/>
    <w:uiPriority w:val="0"/>
    <w:pPr>
      <w:ind w:left="1050"/>
      <w:jc w:val="left"/>
    </w:pPr>
    <w:rPr>
      <w:sz w:val="18"/>
      <w:szCs w:val="18"/>
    </w:rPr>
  </w:style>
  <w:style w:type="paragraph" w:styleId="23">
    <w:name w:val="Body Text Indent 3"/>
    <w:basedOn w:val="1"/>
    <w:autoRedefine/>
    <w:qFormat/>
    <w:locked/>
    <w:uiPriority w:val="0"/>
    <w:pPr>
      <w:spacing w:line="360" w:lineRule="auto"/>
      <w:ind w:firstLine="480" w:firstLineChars="200"/>
    </w:pPr>
    <w:rPr>
      <w:sz w:val="24"/>
    </w:rPr>
  </w:style>
  <w:style w:type="paragraph" w:styleId="24">
    <w:name w:val="toc 2"/>
    <w:basedOn w:val="1"/>
    <w:next w:val="1"/>
    <w:autoRedefine/>
    <w:qFormat/>
    <w:locked/>
    <w:uiPriority w:val="39"/>
    <w:pPr>
      <w:ind w:left="210"/>
    </w:pPr>
    <w:rPr>
      <w:smallCaps/>
      <w:sz w:val="20"/>
      <w:szCs w:val="20"/>
    </w:rPr>
  </w:style>
  <w:style w:type="paragraph" w:styleId="25">
    <w:name w:val="Body Text 2"/>
    <w:basedOn w:val="1"/>
    <w:autoRedefine/>
    <w:qFormat/>
    <w:locked/>
    <w:uiPriority w:val="0"/>
    <w:pPr>
      <w:snapToGrid w:val="0"/>
      <w:jc w:val="center"/>
    </w:pPr>
    <w:rPr>
      <w:sz w:val="28"/>
      <w:szCs w:val="20"/>
    </w:rPr>
  </w:style>
  <w:style w:type="paragraph" w:styleId="26">
    <w:name w:val="Normal (Web)"/>
    <w:basedOn w:val="1"/>
    <w:link w:val="50"/>
    <w:autoRedefine/>
    <w:qFormat/>
    <w:uiPriority w:val="0"/>
    <w:pPr>
      <w:widowControl/>
      <w:spacing w:before="100" w:beforeAutospacing="1" w:after="100" w:afterAutospacing="1"/>
      <w:jc w:val="left"/>
    </w:pPr>
    <w:rPr>
      <w:rFonts w:ascii="宋体" w:hAnsi="宋体"/>
      <w:kern w:val="0"/>
      <w:sz w:val="24"/>
      <w:szCs w:val="20"/>
    </w:rPr>
  </w:style>
  <w:style w:type="paragraph" w:styleId="27">
    <w:name w:val="annotation subject"/>
    <w:basedOn w:val="8"/>
    <w:next w:val="8"/>
    <w:link w:val="51"/>
    <w:autoRedefine/>
    <w:semiHidden/>
    <w:qFormat/>
    <w:uiPriority w:val="0"/>
    <w:rPr>
      <w:b/>
      <w:kern w:val="2"/>
    </w:rPr>
  </w:style>
  <w:style w:type="paragraph" w:styleId="28">
    <w:name w:val="Body Text First Indent"/>
    <w:basedOn w:val="1"/>
    <w:next w:val="1"/>
    <w:autoRedefine/>
    <w:qFormat/>
    <w:locked/>
    <w:uiPriority w:val="0"/>
    <w:pPr>
      <w:widowControl w:val="0"/>
      <w:snapToGrid/>
      <w:spacing w:before="0" w:after="120" w:line="240" w:lineRule="auto"/>
      <w:ind w:right="0" w:firstLine="420" w:firstLineChars="100"/>
    </w:pPr>
    <w:rPr>
      <w:kern w:val="2"/>
      <w:sz w:val="21"/>
    </w:rPr>
  </w:style>
  <w:style w:type="paragraph" w:styleId="29">
    <w:name w:val="Body Text First Indent 2"/>
    <w:basedOn w:val="11"/>
    <w:next w:val="1"/>
    <w:autoRedefine/>
    <w:qFormat/>
    <w:locked/>
    <w:uiPriority w:val="99"/>
    <w:pPr>
      <w:spacing w:before="0" w:after="120"/>
      <w:ind w:left="420" w:leftChars="200" w:firstLine="420" w:firstLineChars="200"/>
    </w:pPr>
  </w:style>
  <w:style w:type="table" w:styleId="31">
    <w:name w:val="Table Grid"/>
    <w:basedOn w:val="30"/>
    <w:autoRedefine/>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autoRedefine/>
    <w:qFormat/>
    <w:locked/>
    <w:uiPriority w:val="0"/>
    <w:rPr>
      <w:b/>
    </w:rPr>
  </w:style>
  <w:style w:type="character" w:styleId="34">
    <w:name w:val="page number"/>
    <w:basedOn w:val="32"/>
    <w:autoRedefine/>
    <w:qFormat/>
    <w:locked/>
    <w:uiPriority w:val="0"/>
  </w:style>
  <w:style w:type="character" w:styleId="35">
    <w:name w:val="Hyperlink"/>
    <w:basedOn w:val="32"/>
    <w:autoRedefine/>
    <w:qFormat/>
    <w:locked/>
    <w:uiPriority w:val="0"/>
    <w:rPr>
      <w:color w:val="0000FF"/>
      <w:u w:val="single"/>
    </w:rPr>
  </w:style>
  <w:style w:type="character" w:styleId="36">
    <w:name w:val="annotation reference"/>
    <w:autoRedefine/>
    <w:semiHidden/>
    <w:qFormat/>
    <w:uiPriority w:val="0"/>
    <w:rPr>
      <w:sz w:val="21"/>
    </w:rPr>
  </w:style>
  <w:style w:type="paragraph" w:customStyle="1" w:styleId="37">
    <w:name w:val="Date1"/>
    <w:basedOn w:val="1"/>
    <w:next w:val="1"/>
    <w:autoRedefine/>
    <w:qFormat/>
    <w:uiPriority w:val="99"/>
    <w:pPr>
      <w:adjustRightInd w:val="0"/>
      <w:jc w:val="left"/>
      <w:textAlignment w:val="baseline"/>
    </w:pPr>
    <w:rPr>
      <w:rFonts w:ascii="宋体" w:hAnsi="宋体"/>
      <w:sz w:val="28"/>
    </w:rPr>
  </w:style>
  <w:style w:type="paragraph" w:customStyle="1" w:styleId="38">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
    <w:name w:val="样式5"/>
    <w:basedOn w:val="40"/>
    <w:next w:val="1"/>
    <w:autoRedefine/>
    <w:qFormat/>
    <w:uiPriority w:val="0"/>
    <w:pPr>
      <w:adjustRightInd/>
      <w:snapToGrid/>
      <w:spacing w:before="120" w:after="120" w:line="400" w:lineRule="exact"/>
      <w:ind w:firstLine="480"/>
    </w:pPr>
    <w:rPr>
      <w:iCs/>
      <w:szCs w:val="20"/>
    </w:rPr>
  </w:style>
  <w:style w:type="paragraph" w:customStyle="1" w:styleId="40">
    <w:name w:val="样式3"/>
    <w:basedOn w:val="13"/>
    <w:autoRedefine/>
    <w:qFormat/>
    <w:uiPriority w:val="0"/>
    <w:pPr>
      <w:keepNext/>
      <w:snapToGrid/>
      <w:spacing w:before="60" w:after="60" w:line="600" w:lineRule="exact"/>
      <w:ind w:right="-193" w:firstLine="624" w:firstLineChars="0"/>
      <w:jc w:val="center"/>
      <w:textAlignment w:val="baseline"/>
    </w:pPr>
    <w:rPr>
      <w:spacing w:val="10"/>
      <w:kern w:val="0"/>
      <w:sz w:val="28"/>
      <w:szCs w:val="20"/>
    </w:rPr>
  </w:style>
  <w:style w:type="character" w:customStyle="1" w:styleId="41">
    <w:name w:val="标题 1 Char"/>
    <w:link w:val="2"/>
    <w:autoRedefine/>
    <w:qFormat/>
    <w:uiPriority w:val="99"/>
    <w:rPr>
      <w:rFonts w:eastAsia="黑体"/>
      <w:b/>
      <w:bCs/>
      <w:color w:val="000000"/>
      <w:kern w:val="44"/>
      <w:sz w:val="30"/>
      <w:szCs w:val="30"/>
    </w:rPr>
  </w:style>
  <w:style w:type="character" w:customStyle="1" w:styleId="42">
    <w:name w:val="文档结构图 Char"/>
    <w:link w:val="7"/>
    <w:autoRedefine/>
    <w:qFormat/>
    <w:uiPriority w:val="0"/>
    <w:rPr>
      <w:rFonts w:ascii="宋体"/>
      <w:kern w:val="2"/>
      <w:sz w:val="18"/>
      <w:szCs w:val="18"/>
    </w:rPr>
  </w:style>
  <w:style w:type="character" w:customStyle="1" w:styleId="43">
    <w:name w:val="批注文字 Char"/>
    <w:link w:val="8"/>
    <w:autoRedefine/>
    <w:qFormat/>
    <w:locked/>
    <w:uiPriority w:val="0"/>
    <w:rPr>
      <w:rFonts w:ascii="Times New Roman" w:hAnsi="Times New Roman" w:eastAsia="宋体"/>
      <w:sz w:val="24"/>
    </w:rPr>
  </w:style>
  <w:style w:type="character" w:customStyle="1" w:styleId="44">
    <w:name w:val="正文文本 Char"/>
    <w:link w:val="10"/>
    <w:autoRedefine/>
    <w:qFormat/>
    <w:locked/>
    <w:uiPriority w:val="0"/>
    <w:rPr>
      <w:sz w:val="18"/>
    </w:rPr>
  </w:style>
  <w:style w:type="character" w:customStyle="1" w:styleId="45">
    <w:name w:val="正文文本缩进 Char"/>
    <w:link w:val="11"/>
    <w:autoRedefine/>
    <w:semiHidden/>
    <w:qFormat/>
    <w:locked/>
    <w:uiPriority w:val="0"/>
    <w:rPr>
      <w:rFonts w:ascii="Times New Roman" w:hAnsi="Times New Roman" w:eastAsia="宋体"/>
      <w:sz w:val="24"/>
    </w:rPr>
  </w:style>
  <w:style w:type="character" w:customStyle="1" w:styleId="46">
    <w:name w:val="页眉 Char"/>
    <w:link w:val="20"/>
    <w:autoRedefine/>
    <w:qFormat/>
    <w:locked/>
    <w:uiPriority w:val="0"/>
    <w:rPr>
      <w:sz w:val="18"/>
    </w:rPr>
  </w:style>
  <w:style w:type="character" w:customStyle="1" w:styleId="47">
    <w:name w:val="日期 Char"/>
    <w:link w:val="16"/>
    <w:autoRedefine/>
    <w:qFormat/>
    <w:locked/>
    <w:uiPriority w:val="0"/>
    <w:rPr>
      <w:rFonts w:ascii="Times New Roman" w:hAnsi="Times New Roman" w:eastAsia="宋体"/>
      <w:sz w:val="24"/>
    </w:rPr>
  </w:style>
  <w:style w:type="character" w:customStyle="1" w:styleId="48">
    <w:name w:val="批注框文本 Char"/>
    <w:link w:val="18"/>
    <w:autoRedefine/>
    <w:semiHidden/>
    <w:qFormat/>
    <w:locked/>
    <w:uiPriority w:val="0"/>
    <w:rPr>
      <w:rFonts w:ascii="Times New Roman" w:hAnsi="Times New Roman" w:eastAsia="宋体"/>
      <w:sz w:val="18"/>
    </w:rPr>
  </w:style>
  <w:style w:type="character" w:customStyle="1" w:styleId="49">
    <w:name w:val="页脚 Char"/>
    <w:link w:val="19"/>
    <w:autoRedefine/>
    <w:qFormat/>
    <w:locked/>
    <w:uiPriority w:val="99"/>
    <w:rPr>
      <w:sz w:val="18"/>
    </w:rPr>
  </w:style>
  <w:style w:type="character" w:customStyle="1" w:styleId="50">
    <w:name w:val="普通(网站) Char"/>
    <w:link w:val="26"/>
    <w:autoRedefine/>
    <w:qFormat/>
    <w:locked/>
    <w:uiPriority w:val="0"/>
    <w:rPr>
      <w:rFonts w:ascii="宋体" w:hAnsi="宋体" w:eastAsia="宋体"/>
      <w:sz w:val="24"/>
    </w:rPr>
  </w:style>
  <w:style w:type="character" w:customStyle="1" w:styleId="51">
    <w:name w:val="批注主题 Char"/>
    <w:link w:val="27"/>
    <w:autoRedefine/>
    <w:semiHidden/>
    <w:qFormat/>
    <w:locked/>
    <w:uiPriority w:val="0"/>
    <w:rPr>
      <w:rFonts w:ascii="Times New Roman" w:hAnsi="Times New Roman" w:eastAsia="宋体"/>
      <w:b/>
      <w:kern w:val="2"/>
      <w:sz w:val="24"/>
    </w:rPr>
  </w:style>
  <w:style w:type="character" w:customStyle="1" w:styleId="52">
    <w:name w:val="font11"/>
    <w:basedOn w:val="32"/>
    <w:autoRedefine/>
    <w:qFormat/>
    <w:uiPriority w:val="0"/>
    <w:rPr>
      <w:rFonts w:hint="eastAsia" w:ascii="宋体" w:hAnsi="宋体" w:eastAsia="宋体" w:cs="宋体"/>
      <w:color w:val="000000"/>
      <w:sz w:val="22"/>
      <w:szCs w:val="22"/>
      <w:u w:val="none"/>
    </w:rPr>
  </w:style>
  <w:style w:type="character" w:customStyle="1" w:styleId="53">
    <w:name w:val="日期 字符"/>
    <w:autoRedefine/>
    <w:semiHidden/>
    <w:qFormat/>
    <w:uiPriority w:val="0"/>
    <w:rPr>
      <w:rFonts w:ascii="Times New Roman" w:hAnsi="Times New Roman" w:eastAsia="宋体"/>
      <w:sz w:val="24"/>
    </w:rPr>
  </w:style>
  <w:style w:type="character" w:customStyle="1" w:styleId="54">
    <w:name w:val="表格 Char"/>
    <w:link w:val="55"/>
    <w:autoRedefine/>
    <w:qFormat/>
    <w:locked/>
    <w:uiPriority w:val="0"/>
    <w:rPr>
      <w:rFonts w:ascii="宋体"/>
      <w:sz w:val="21"/>
    </w:rPr>
  </w:style>
  <w:style w:type="paragraph" w:customStyle="1" w:styleId="55">
    <w:name w:val="表格"/>
    <w:basedOn w:val="1"/>
    <w:next w:val="1"/>
    <w:link w:val="54"/>
    <w:autoRedefine/>
    <w:qFormat/>
    <w:uiPriority w:val="0"/>
    <w:pPr>
      <w:adjustRightInd w:val="0"/>
      <w:snapToGrid w:val="0"/>
      <w:spacing w:beforeLines="10" w:afterLines="10" w:line="259" w:lineRule="auto"/>
      <w:jc w:val="center"/>
    </w:pPr>
    <w:rPr>
      <w:rFonts w:ascii="宋体"/>
      <w:kern w:val="0"/>
      <w:szCs w:val="20"/>
    </w:rPr>
  </w:style>
  <w:style w:type="character" w:customStyle="1" w:styleId="56">
    <w:name w:val="页脚 字符"/>
    <w:basedOn w:val="32"/>
    <w:autoRedefine/>
    <w:qFormat/>
    <w:uiPriority w:val="99"/>
  </w:style>
  <w:style w:type="character" w:customStyle="1" w:styleId="57">
    <w:name w:val="正文文本 字符1"/>
    <w:autoRedefine/>
    <w:semiHidden/>
    <w:qFormat/>
    <w:uiPriority w:val="0"/>
    <w:rPr>
      <w:rFonts w:ascii="Times New Roman" w:hAnsi="Times New Roman" w:eastAsia="宋体"/>
      <w:sz w:val="24"/>
    </w:rPr>
  </w:style>
  <w:style w:type="character" w:customStyle="1" w:styleId="58">
    <w:name w:val="font21"/>
    <w:basedOn w:val="32"/>
    <w:autoRedefine/>
    <w:qFormat/>
    <w:uiPriority w:val="0"/>
    <w:rPr>
      <w:rFonts w:hint="eastAsia" w:ascii="宋体" w:hAnsi="宋体" w:eastAsia="宋体" w:cs="宋体"/>
      <w:color w:val="000000"/>
      <w:sz w:val="22"/>
      <w:szCs w:val="22"/>
      <w:u w:val="none"/>
    </w:rPr>
  </w:style>
  <w:style w:type="character" w:customStyle="1" w:styleId="59">
    <w:name w:val="批注文字 字符1"/>
    <w:autoRedefine/>
    <w:semiHidden/>
    <w:qFormat/>
    <w:uiPriority w:val="0"/>
    <w:rPr>
      <w:rFonts w:ascii="Times New Roman" w:hAnsi="Times New Roman" w:eastAsia="宋体"/>
      <w:sz w:val="24"/>
    </w:rPr>
  </w:style>
  <w:style w:type="character" w:customStyle="1" w:styleId="60">
    <w:name w:val="正文文本 Char Char"/>
    <w:autoRedefine/>
    <w:qFormat/>
    <w:uiPriority w:val="0"/>
    <w:rPr>
      <w:rFonts w:ascii="宋体" w:eastAsia="宋体"/>
      <w:sz w:val="28"/>
      <w:lang w:val="en-US" w:eastAsia="zh-CN" w:bidi="ar-SA"/>
    </w:rPr>
  </w:style>
  <w:style w:type="character" w:customStyle="1" w:styleId="61">
    <w:name w:val="font01"/>
    <w:autoRedefine/>
    <w:qFormat/>
    <w:uiPriority w:val="0"/>
    <w:rPr>
      <w:rFonts w:hint="eastAsia" w:ascii="宋体" w:hAnsi="宋体" w:eastAsia="宋体" w:cs="宋体"/>
      <w:color w:val="000000"/>
      <w:sz w:val="22"/>
      <w:szCs w:val="22"/>
      <w:u w:val="none"/>
      <w:vertAlign w:val="subscript"/>
    </w:rPr>
  </w:style>
  <w:style w:type="paragraph" w:customStyle="1" w:styleId="62">
    <w:name w:val="default"/>
    <w:basedOn w:val="1"/>
    <w:autoRedefine/>
    <w:qFormat/>
    <w:uiPriority w:val="0"/>
    <w:pPr>
      <w:widowControl/>
      <w:spacing w:before="100" w:beforeAutospacing="1" w:after="100" w:afterAutospacing="1" w:line="408" w:lineRule="auto"/>
      <w:jc w:val="left"/>
    </w:pPr>
    <w:rPr>
      <w:rFonts w:ascii="宋体" w:hAnsi="宋体" w:cs="宋体"/>
      <w:kern w:val="0"/>
      <w:sz w:val="24"/>
    </w:rPr>
  </w:style>
  <w:style w:type="paragraph" w:customStyle="1" w:styleId="63">
    <w:name w:val="biaotou"/>
    <w:basedOn w:val="10"/>
    <w:autoRedefine/>
    <w:qFormat/>
    <w:uiPriority w:val="99"/>
    <w:pPr>
      <w:spacing w:after="0" w:line="460" w:lineRule="exact"/>
      <w:jc w:val="center"/>
    </w:pPr>
    <w:rPr>
      <w:rFonts w:ascii="黑体" w:hAnsi="黑体" w:eastAsia="黑体" w:cs="宋体"/>
      <w:sz w:val="24"/>
      <w:szCs w:val="20"/>
    </w:rPr>
  </w:style>
  <w:style w:type="paragraph" w:customStyle="1" w:styleId="64">
    <w:name w:val="普通(网站)2"/>
    <w:basedOn w:val="1"/>
    <w:autoRedefine/>
    <w:qFormat/>
    <w:uiPriority w:val="0"/>
    <w:pPr>
      <w:widowControl/>
      <w:spacing w:before="100" w:beforeAutospacing="1" w:after="100" w:afterAutospacing="1"/>
      <w:jc w:val="left"/>
    </w:pPr>
    <w:rPr>
      <w:rFonts w:ascii="宋体" w:hAnsi="宋体"/>
      <w:sz w:val="24"/>
      <w:szCs w:val="20"/>
    </w:rPr>
  </w:style>
  <w:style w:type="paragraph" w:customStyle="1" w:styleId="65">
    <w:name w:val="Default"/>
    <w:basedOn w:val="66"/>
    <w:next w:val="1"/>
    <w:autoRedefine/>
    <w:qFormat/>
    <w:uiPriority w:val="0"/>
    <w:pPr>
      <w:widowControl w:val="0"/>
      <w:autoSpaceDE w:val="0"/>
      <w:autoSpaceDN w:val="0"/>
      <w:adjustRightInd w:val="0"/>
    </w:pPr>
    <w:rPr>
      <w:rFonts w:ascii="宋体" w:hAnsi="Calibri" w:cs="宋体"/>
      <w:color w:val="000000"/>
      <w:sz w:val="24"/>
      <w:szCs w:val="24"/>
      <w:lang w:val="en-US" w:eastAsia="zh-CN" w:bidi="ar-SA"/>
    </w:rPr>
  </w:style>
  <w:style w:type="paragraph" w:customStyle="1" w:styleId="66">
    <w:name w:val="纯文本1"/>
    <w:basedOn w:val="1"/>
    <w:autoRedefine/>
    <w:qFormat/>
    <w:uiPriority w:val="0"/>
    <w:pPr>
      <w:adjustRightInd w:val="0"/>
    </w:pPr>
    <w:rPr>
      <w:rFonts w:ascii="宋体" w:hAnsi="Courier New"/>
      <w:szCs w:val="20"/>
    </w:rPr>
  </w:style>
  <w:style w:type="paragraph" w:styleId="67">
    <w:name w:val="List Paragraph"/>
    <w:basedOn w:val="1"/>
    <w:autoRedefine/>
    <w:qFormat/>
    <w:uiPriority w:val="34"/>
    <w:pPr>
      <w:ind w:firstLine="420" w:firstLineChars="200"/>
    </w:pPr>
  </w:style>
  <w:style w:type="paragraph" w:customStyle="1" w:styleId="68">
    <w:name w:val="样式 首行缩进:  2 字符"/>
    <w:basedOn w:val="1"/>
    <w:autoRedefine/>
    <w:qFormat/>
    <w:uiPriority w:val="0"/>
    <w:pPr>
      <w:snapToGrid w:val="0"/>
      <w:spacing w:line="360" w:lineRule="auto"/>
      <w:ind w:firstLine="200" w:firstLineChars="200"/>
    </w:pPr>
    <w:rPr>
      <w:rFonts w:ascii="宋体" w:cs="宋体"/>
      <w:sz w:val="28"/>
      <w:szCs w:val="20"/>
    </w:rPr>
  </w:style>
  <w:style w:type="paragraph" w:customStyle="1" w:styleId="69">
    <w:name w:val="正文01"/>
    <w:basedOn w:val="1"/>
    <w:autoRedefine/>
    <w:qFormat/>
    <w:uiPriority w:val="0"/>
    <w:pPr>
      <w:spacing w:before="60" w:line="460" w:lineRule="exact"/>
      <w:ind w:firstLine="200" w:firstLineChars="200"/>
    </w:pPr>
    <w:rPr>
      <w:sz w:val="24"/>
    </w:rPr>
  </w:style>
  <w:style w:type="paragraph" w:customStyle="1" w:styleId="70">
    <w:name w:val="妇幼正文"/>
    <w:basedOn w:val="1"/>
    <w:autoRedefine/>
    <w:qFormat/>
    <w:uiPriority w:val="0"/>
    <w:pPr>
      <w:adjustRightInd w:val="0"/>
      <w:spacing w:line="360" w:lineRule="auto"/>
      <w:ind w:firstLine="480" w:firstLineChars="200"/>
    </w:pPr>
    <w:rPr>
      <w:color w:val="000000"/>
      <w:kern w:val="0"/>
      <w:sz w:val="24"/>
    </w:rPr>
  </w:style>
  <w:style w:type="paragraph" w:customStyle="1" w:styleId="71">
    <w:name w:val="22222"/>
    <w:basedOn w:val="1"/>
    <w:autoRedefine/>
    <w:qFormat/>
    <w:uiPriority w:val="0"/>
    <w:pPr>
      <w:spacing w:line="480" w:lineRule="exact"/>
      <w:ind w:firstLine="480" w:firstLineChars="200"/>
    </w:pPr>
    <w:rPr>
      <w:rFonts w:hAnsi="宋体"/>
      <w:sz w:val="24"/>
    </w:rPr>
  </w:style>
  <w:style w:type="paragraph" w:customStyle="1" w:styleId="72">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4">
    <w:name w:val="表格内文字"/>
    <w:basedOn w:val="1"/>
    <w:autoRedefine/>
    <w:qFormat/>
    <w:uiPriority w:val="0"/>
    <w:pPr>
      <w:adjustRightInd w:val="0"/>
      <w:snapToGrid w:val="0"/>
    </w:pPr>
  </w:style>
  <w:style w:type="paragraph" w:customStyle="1" w:styleId="75">
    <w:name w:val="标准段落"/>
    <w:basedOn w:val="1"/>
    <w:next w:val="1"/>
    <w:autoRedefine/>
    <w:qFormat/>
    <w:uiPriority w:val="0"/>
    <w:pPr>
      <w:spacing w:line="360" w:lineRule="auto"/>
      <w:ind w:firstLine="480" w:firstLineChars="200"/>
    </w:pPr>
    <w:rPr>
      <w:kern w:val="0"/>
      <w:sz w:val="24"/>
    </w:rPr>
  </w:style>
  <w:style w:type="paragraph" w:customStyle="1" w:styleId="76">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7">
    <w:name w:val="表格文字."/>
    <w:basedOn w:val="1"/>
    <w:autoRedefine/>
    <w:qFormat/>
    <w:uiPriority w:val="0"/>
    <w:pPr>
      <w:adjustRightInd w:val="0"/>
      <w:snapToGrid w:val="0"/>
      <w:jc w:val="center"/>
    </w:pPr>
    <w:rPr>
      <w:rFonts w:ascii="Calibri" w:hAnsi="Calibri"/>
      <w:color w:val="000000"/>
      <w:szCs w:val="22"/>
    </w:rPr>
  </w:style>
  <w:style w:type="paragraph" w:customStyle="1" w:styleId="78">
    <w:name w:val="表格文字"/>
    <w:basedOn w:val="1"/>
    <w:autoRedefine/>
    <w:qFormat/>
    <w:uiPriority w:val="0"/>
    <w:pPr>
      <w:autoSpaceDE w:val="0"/>
      <w:autoSpaceDN w:val="0"/>
      <w:adjustRightInd w:val="0"/>
      <w:snapToGrid w:val="0"/>
      <w:spacing w:beforeLines="20" w:afterLines="20"/>
      <w:jc w:val="center"/>
    </w:pPr>
    <w:rPr>
      <w:rFonts w:ascii="宋体" w:hAnsi="宋体" w:cs="宋体"/>
    </w:rPr>
  </w:style>
  <w:style w:type="paragraph" w:customStyle="1" w:styleId="79">
    <w:name w:val="中文"/>
    <w:basedOn w:val="1"/>
    <w:autoRedefine/>
    <w:qFormat/>
    <w:uiPriority w:val="0"/>
    <w:pPr>
      <w:widowControl/>
      <w:spacing w:line="360" w:lineRule="auto"/>
      <w:ind w:firstLine="200" w:firstLineChars="200"/>
    </w:pPr>
    <w:rPr>
      <w:rFonts w:cs="宋体"/>
      <w:kern w:val="0"/>
      <w:sz w:val="24"/>
      <w:lang w:eastAsia="en-US"/>
    </w:rPr>
  </w:style>
  <w:style w:type="table" w:customStyle="1" w:styleId="80">
    <w:name w:val="Table Normal"/>
    <w:basedOn w:val="30"/>
    <w:autoRedefine/>
    <w:unhideWhenUsed/>
    <w:qFormat/>
    <w:uiPriority w:val="0"/>
    <w:rPr>
      <w:rFonts w:ascii="Arial" w:hAnsi="Arial" w:cs="Arial"/>
      <w:snapToGrid w:val="0"/>
      <w:color w:val="000000"/>
      <w:sz w:val="21"/>
      <w:szCs w:val="21"/>
      <w:lang w:val="en-US" w:eastAsia="zh-CN" w:bidi="ar-SA"/>
    </w:rPr>
    <w:tblPr>
      <w:tblCellMar>
        <w:top w:w="0" w:type="dxa"/>
        <w:left w:w="0" w:type="dxa"/>
        <w:bottom w:w="0" w:type="dxa"/>
        <w:right w:w="0" w:type="dxa"/>
      </w:tblCellMar>
    </w:tblPr>
  </w:style>
  <w:style w:type="paragraph" w:customStyle="1" w:styleId="81">
    <w:name w:val="0正文"/>
    <w:basedOn w:val="1"/>
    <w:autoRedefine/>
    <w:qFormat/>
    <w:uiPriority w:val="0"/>
    <w:pPr>
      <w:widowControl/>
      <w:spacing w:line="360" w:lineRule="auto"/>
      <w:ind w:firstLine="200" w:firstLineChars="200"/>
      <w:jc w:val="left"/>
    </w:pPr>
    <w:rPr>
      <w:rFonts w:cs="Calibri"/>
      <w:kern w:val="0"/>
      <w:sz w:val="24"/>
      <w:szCs w:val="20"/>
    </w:rPr>
  </w:style>
  <w:style w:type="paragraph" w:customStyle="1" w:styleId="82">
    <w:name w:val="列出段落2"/>
    <w:basedOn w:val="1"/>
    <w:autoRedefine/>
    <w:unhideWhenUsed/>
    <w:qFormat/>
    <w:uiPriority w:val="99"/>
    <w:pPr>
      <w:ind w:firstLine="420" w:firstLineChars="200"/>
    </w:pPr>
  </w:style>
  <w:style w:type="paragraph" w:customStyle="1" w:styleId="83">
    <w:name w:val="Table Text"/>
    <w:basedOn w:val="1"/>
    <w:autoRedefine/>
    <w:semiHidden/>
    <w:qFormat/>
    <w:uiPriority w:val="0"/>
    <w:rPr>
      <w:rFonts w:ascii="宋体" w:hAnsi="宋体" w:eastAsia="宋体" w:cs="宋体"/>
      <w:sz w:val="20"/>
      <w:szCs w:val="20"/>
      <w:lang w:val="en-US" w:eastAsia="en-US" w:bidi="ar-SA"/>
    </w:rPr>
  </w:style>
  <w:style w:type="paragraph" w:customStyle="1" w:styleId="84">
    <w:name w:val="Table Paragraph"/>
    <w:basedOn w:val="1"/>
    <w:autoRedefine/>
    <w:qFormat/>
    <w:uiPriority w:val="1"/>
    <w:rPr>
      <w:rFonts w:ascii="宋体" w:hAnsi="宋体" w:cs="宋体"/>
      <w:lang w:val="zh-CN" w:bidi="zh-CN"/>
    </w:rPr>
  </w:style>
  <w:style w:type="paragraph" w:customStyle="1" w:styleId="85">
    <w:name w:val="表头"/>
    <w:basedOn w:val="1"/>
    <w:autoRedefine/>
    <w:qFormat/>
    <w:uiPriority w:val="0"/>
    <w:pPr>
      <w:jc w:val="center"/>
    </w:pPr>
    <w:rPr>
      <w:b/>
    </w:rPr>
  </w:style>
  <w:style w:type="paragraph" w:customStyle="1" w:styleId="86">
    <w:name w:val="正文（缩进）"/>
    <w:basedOn w:val="87"/>
    <w:next w:val="1"/>
    <w:autoRedefine/>
    <w:qFormat/>
    <w:uiPriority w:val="99"/>
    <w:pPr>
      <w:spacing w:line="360" w:lineRule="auto"/>
      <w:ind w:firstLine="480" w:firstLineChars="200"/>
    </w:pPr>
    <w:rPr>
      <w:sz w:val="24"/>
      <w:szCs w:val="24"/>
    </w:rPr>
  </w:style>
  <w:style w:type="paragraph" w:customStyle="1" w:styleId="87">
    <w:name w:val="正文(首行缩进)"/>
    <w:basedOn w:val="1"/>
    <w:autoRedefine/>
    <w:qFormat/>
    <w:uiPriority w:val="0"/>
    <w:rPr>
      <w:kern w:val="0"/>
      <w:sz w:val="24"/>
    </w:rPr>
  </w:style>
  <w:style w:type="paragraph" w:customStyle="1" w:styleId="88">
    <w:name w:val="表 正文"/>
    <w:basedOn w:val="1"/>
    <w:autoRedefine/>
    <w:qFormat/>
    <w:uiPriority w:val="0"/>
    <w:pPr>
      <w:snapToGrid w:val="0"/>
      <w:spacing w:line="360" w:lineRule="auto"/>
      <w:ind w:firstLine="200" w:firstLineChars="200"/>
    </w:pPr>
    <w:rPr>
      <w:kern w:val="44"/>
      <w:sz w:val="24"/>
      <w:szCs w:val="24"/>
    </w:rPr>
  </w:style>
  <w:style w:type="character" w:customStyle="1" w:styleId="89">
    <w:name w:val="样式 正文缩进表正文正文非缩进 + Char Char"/>
    <w:link w:val="90"/>
    <w:autoRedefine/>
    <w:qFormat/>
    <w:locked/>
    <w:uiPriority w:val="0"/>
    <w:rPr>
      <w:rFonts w:ascii="宋体" w:hAnsi="宋体"/>
      <w:sz w:val="24"/>
    </w:rPr>
  </w:style>
  <w:style w:type="paragraph" w:customStyle="1" w:styleId="90">
    <w:name w:val="样式 正文缩进表正文正文非缩进 +"/>
    <w:basedOn w:val="6"/>
    <w:link w:val="89"/>
    <w:autoRedefine/>
    <w:qFormat/>
    <w:uiPriority w:val="0"/>
    <w:pPr>
      <w:ind w:firstLine="200" w:firstLineChars="200"/>
    </w:pPr>
    <w:rPr>
      <w:rFonts w:ascii="宋体" w:hAnsi="宋体"/>
      <w:sz w:val="24"/>
    </w:rPr>
  </w:style>
  <w:style w:type="paragraph" w:customStyle="1" w:styleId="91">
    <w:name w:val="表格内容"/>
    <w:basedOn w:val="6"/>
    <w:autoRedefine/>
    <w:qFormat/>
    <w:uiPriority w:val="0"/>
    <w:pPr>
      <w:spacing w:line="300" w:lineRule="auto"/>
      <w:ind w:left="-4" w:leftChars="-2" w:right="-69" w:rightChars="-33" w:firstLine="55" w:firstLineChars="26"/>
      <w:jc w:val="center"/>
    </w:pPr>
    <w:rPr>
      <w:rFonts w:ascii="Calibri" w:hAnsi="Calibri" w:eastAsia="仿宋_GB2312" w:cs="Times New Roman"/>
      <w:sz w:val="21"/>
      <w:szCs w:val="21"/>
      <w:lang w:val="en-US" w:eastAsia="zh-CN" w:bidi="ar-SA"/>
    </w:rPr>
  </w:style>
  <w:style w:type="paragraph" w:customStyle="1" w:styleId="92">
    <w:name w:val="列出段落1"/>
    <w:basedOn w:val="1"/>
    <w:autoRedefine/>
    <w:qFormat/>
    <w:uiPriority w:val="34"/>
    <w:pPr>
      <w:spacing w:line="360" w:lineRule="exact"/>
      <w:jc w:val="center"/>
    </w:pPr>
  </w:style>
  <w:style w:type="character" w:customStyle="1" w:styleId="93">
    <w:name w:val="fontstyle01"/>
    <w:basedOn w:val="32"/>
    <w:autoRedefine/>
    <w:qFormat/>
    <w:uiPriority w:val="0"/>
    <w:rPr>
      <w:rFonts w:hint="eastAsia" w:ascii="宋体" w:hAnsi="宋体" w:eastAsia="宋体" w:cs="宋体"/>
      <w:color w:val="000000"/>
      <w:sz w:val="24"/>
      <w:szCs w:val="24"/>
    </w:rPr>
  </w:style>
  <w:style w:type="paragraph" w:customStyle="1" w:styleId="94">
    <w:name w:val="报告表正文"/>
    <w:basedOn w:val="1"/>
    <w:autoRedefine/>
    <w:qFormat/>
    <w:uiPriority w:val="0"/>
    <w:pPr>
      <w:overflowPunct w:val="0"/>
      <w:adjustRightInd w:val="0"/>
      <w:snapToGrid w:val="0"/>
      <w:spacing w:line="360" w:lineRule="auto"/>
      <w:ind w:firstLine="200" w:firstLineChars="200"/>
    </w:pPr>
    <w:rPr>
      <w:rFonts w:ascii="Times New Roman" w:hAnsi="Times New Roman" w:eastAsia="仿宋_GB2312"/>
      <w:color w:val="000000"/>
      <w:kern w:val="16"/>
      <w:sz w:val="24"/>
      <w:szCs w:val="24"/>
    </w:rPr>
  </w:style>
  <w:style w:type="character" w:customStyle="1" w:styleId="95">
    <w:name w:val="font31"/>
    <w:basedOn w:val="32"/>
    <w:qFormat/>
    <w:uiPriority w:val="0"/>
    <w:rPr>
      <w:rFonts w:hint="default" w:ascii="Times New Roman" w:hAnsi="Times New Roman" w:cs="Times New Roman"/>
      <w:color w:val="000000"/>
      <w:sz w:val="22"/>
      <w:szCs w:val="22"/>
      <w:u w:val="none"/>
      <w:vertAlign w:val="superscript"/>
    </w:rPr>
  </w:style>
  <w:style w:type="character" w:customStyle="1" w:styleId="96">
    <w:name w:val="font51"/>
    <w:basedOn w:val="32"/>
    <w:qFormat/>
    <w:uiPriority w:val="0"/>
    <w:rPr>
      <w:rFonts w:hint="default" w:ascii="Times New Roman" w:hAnsi="Times New Roman" w:cs="Times New Roman"/>
      <w:b/>
      <w:bCs/>
      <w:color w:val="000000"/>
      <w:sz w:val="18"/>
      <w:szCs w:val="18"/>
      <w:u w:val="none"/>
    </w:rPr>
  </w:style>
  <w:style w:type="character" w:customStyle="1" w:styleId="97">
    <w:name w:val="font61"/>
    <w:basedOn w:val="32"/>
    <w:qFormat/>
    <w:uiPriority w:val="0"/>
    <w:rPr>
      <w:rFonts w:hint="default" w:ascii="Times New Roman" w:hAnsi="Times New Roman" w:cs="Times New Roman"/>
      <w:b/>
      <w:bCs/>
      <w:color w:val="000000"/>
      <w:sz w:val="18"/>
      <w:szCs w:val="18"/>
      <w:u w:val="none"/>
      <w:vertAlign w:val="superscript"/>
    </w:rPr>
  </w:style>
  <w:style w:type="character" w:customStyle="1" w:styleId="98">
    <w:name w:val="font71"/>
    <w:basedOn w:val="32"/>
    <w:qFormat/>
    <w:uiPriority w:val="0"/>
    <w:rPr>
      <w:rFonts w:hint="eastAsia" w:ascii="宋体" w:hAnsi="宋体" w:eastAsia="宋体" w:cs="宋体"/>
      <w:color w:val="FF0000"/>
      <w:sz w:val="18"/>
      <w:szCs w:val="18"/>
      <w:u w:val="none"/>
    </w:rPr>
  </w:style>
  <w:style w:type="character" w:customStyle="1" w:styleId="99">
    <w:name w:val="font41"/>
    <w:basedOn w:val="32"/>
    <w:qFormat/>
    <w:uiPriority w:val="0"/>
    <w:rPr>
      <w:rFonts w:hint="default" w:ascii="Times New Roman" w:hAnsi="Times New Roman" w:cs="Times New Roman"/>
      <w:color w:val="FF0000"/>
      <w:sz w:val="18"/>
      <w:szCs w:val="18"/>
      <w:u w:val="none"/>
    </w:rPr>
  </w:style>
  <w:style w:type="character" w:customStyle="1" w:styleId="100">
    <w:name w:val="font81"/>
    <w:basedOn w:val="32"/>
    <w:qFormat/>
    <w:uiPriority w:val="0"/>
    <w:rPr>
      <w:rFonts w:hint="eastAsia" w:ascii="宋体" w:hAnsi="宋体" w:eastAsia="宋体" w:cs="宋体"/>
      <w:color w:val="000000"/>
      <w:sz w:val="24"/>
      <w:szCs w:val="24"/>
      <w:u w:val="none"/>
    </w:rPr>
  </w:style>
  <w:style w:type="character" w:customStyle="1" w:styleId="101">
    <w:name w:val="font101"/>
    <w:basedOn w:val="32"/>
    <w:qFormat/>
    <w:uiPriority w:val="0"/>
    <w:rPr>
      <w:rFonts w:hint="eastAsia" w:ascii="宋体" w:hAnsi="宋体" w:eastAsia="宋体" w:cs="宋体"/>
      <w:b/>
      <w:bCs/>
      <w:color w:val="000000"/>
      <w:sz w:val="24"/>
      <w:szCs w:val="24"/>
      <w:u w:val="none"/>
      <w:vertAlign w:val="superscript"/>
    </w:rPr>
  </w:style>
  <w:style w:type="character" w:customStyle="1" w:styleId="102">
    <w:name w:val="font91"/>
    <w:basedOn w:val="32"/>
    <w:qFormat/>
    <w:uiPriority w:val="0"/>
    <w:rPr>
      <w:rFonts w:hint="eastAsia" w:ascii="宋体" w:hAnsi="宋体" w:eastAsia="宋体" w:cs="宋体"/>
      <w:color w:val="000000"/>
      <w:sz w:val="24"/>
      <w:szCs w:val="24"/>
      <w:u w:val="none"/>
    </w:rPr>
  </w:style>
  <w:style w:type="character" w:customStyle="1" w:styleId="103">
    <w:name w:val="font112"/>
    <w:basedOn w:val="32"/>
    <w:qFormat/>
    <w:uiPriority w:val="0"/>
    <w:rPr>
      <w:rFonts w:hint="default" w:ascii="Times New Roman" w:hAnsi="Times New Roman" w:cs="Times New Roman"/>
      <w:color w:val="0000FF"/>
      <w:sz w:val="21"/>
      <w:szCs w:val="21"/>
      <w:u w:val="none"/>
      <w:vertAlign w:val="superscript"/>
    </w:rPr>
  </w:style>
  <w:style w:type="character" w:customStyle="1" w:styleId="104">
    <w:name w:val="font121"/>
    <w:basedOn w:val="32"/>
    <w:qFormat/>
    <w:uiPriority w:val="0"/>
    <w:rPr>
      <w:rFonts w:hint="default" w:ascii="Times New Roman" w:hAnsi="Times New Roman" w:cs="Times New Roman"/>
      <w:b/>
      <w:bCs/>
      <w:color w:val="0000FF"/>
      <w:sz w:val="20"/>
      <w:szCs w:val="20"/>
      <w:u w:val="none"/>
      <w:vertAlign w:val="superscript"/>
    </w:rPr>
  </w:style>
  <w:style w:type="character" w:customStyle="1" w:styleId="105">
    <w:name w:val="font131"/>
    <w:basedOn w:val="32"/>
    <w:qFormat/>
    <w:uiPriority w:val="0"/>
    <w:rPr>
      <w:rFonts w:hint="default" w:ascii="Times New Roman" w:hAnsi="Times New Roman" w:cs="Times New Roman"/>
      <w:color w:val="0000FF"/>
      <w:sz w:val="20"/>
      <w:szCs w:val="20"/>
      <w:u w:val="none"/>
      <w:vertAlign w:val="superscript"/>
    </w:rPr>
  </w:style>
  <w:style w:type="paragraph" w:customStyle="1" w:styleId="106">
    <w:name w:val="报告正文"/>
    <w:qFormat/>
    <w:uiPriority w:val="0"/>
    <w:pPr>
      <w:wordWrap w:val="0"/>
      <w:adjustRightInd w:val="0"/>
      <w:snapToGrid w:val="0"/>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paragraph" w:customStyle="1" w:styleId="107">
    <w:name w:val="t表格文字居中"/>
    <w:qFormat/>
    <w:uiPriority w:val="0"/>
    <w:pPr>
      <w:jc w:val="center"/>
      <w:textAlignment w:val="center"/>
    </w:pPr>
    <w:rPr>
      <w:rFonts w:ascii="Times New Roman" w:hAnsi="Times New Roman" w:eastAsia="宋体" w:cs="Times New Roman"/>
      <w:szCs w:val="21"/>
      <w:lang w:val="en-US" w:eastAsia="zh-CN" w:bidi="ar-SA"/>
    </w:rPr>
  </w:style>
  <w:style w:type="paragraph" w:customStyle="1" w:styleId="108">
    <w:name w:val="表格-黄冈"/>
    <w:basedOn w:val="11"/>
    <w:qFormat/>
    <w:uiPriority w:val="0"/>
    <w:pPr>
      <w:spacing w:after="0" w:line="240" w:lineRule="auto"/>
      <w:ind w:left="0" w:leftChars="0" w:firstLine="0" w:firstLineChars="0"/>
    </w:pPr>
    <w:rPr>
      <w:rFonts w:cs="宋体"/>
      <w:b/>
      <w:kern w:val="0"/>
      <w:sz w:val="21"/>
    </w:rPr>
  </w:style>
  <w:style w:type="paragraph" w:customStyle="1" w:styleId="109">
    <w:name w:val="其他"/>
    <w:basedOn w:val="1"/>
    <w:qFormat/>
    <w:uiPriority w:val="0"/>
    <w:pPr>
      <w:widowControl w:val="0"/>
      <w:shd w:val="clear" w:color="auto" w:fill="auto"/>
    </w:pPr>
    <w:rPr>
      <w:rFonts w:ascii="宋体" w:hAnsi="宋体" w:eastAsia="宋体" w:cs="宋体"/>
      <w:sz w:val="20"/>
      <w:szCs w:val="20"/>
      <w:u w:val="none"/>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13.wmf"/><Relationship Id="rId27" Type="http://schemas.openxmlformats.org/officeDocument/2006/relationships/oleObject" Target="embeddings/oleObject7.bin"/><Relationship Id="rId26" Type="http://schemas.openxmlformats.org/officeDocument/2006/relationships/image" Target="media/image12.emf"/><Relationship Id="rId25" Type="http://schemas.openxmlformats.org/officeDocument/2006/relationships/oleObject" Target="embeddings/oleObject6.bin"/><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pn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oleObject5.bin"/><Relationship Id="rId17" Type="http://schemas.openxmlformats.org/officeDocument/2006/relationships/image" Target="media/image5.emf"/><Relationship Id="rId16" Type="http://schemas.openxmlformats.org/officeDocument/2006/relationships/oleObject" Target="embeddings/oleObject4.bin"/><Relationship Id="rId15" Type="http://schemas.openxmlformats.org/officeDocument/2006/relationships/image" Target="media/image4.emf"/><Relationship Id="rId14" Type="http://schemas.openxmlformats.org/officeDocument/2006/relationships/oleObject" Target="embeddings/oleObject3.bin"/><Relationship Id="rId13" Type="http://schemas.openxmlformats.org/officeDocument/2006/relationships/image" Target="media/image3.emf"/><Relationship Id="rId12" Type="http://schemas.openxmlformats.org/officeDocument/2006/relationships/oleObject" Target="embeddings/oleObject2.bin"/><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103</Pages>
  <Words>27103</Words>
  <Characters>32201</Characters>
  <Lines>1</Lines>
  <Paragraphs>1</Paragraphs>
  <TotalTime>1</TotalTime>
  <ScaleCrop>false</ScaleCrop>
  <LinksUpToDate>false</LinksUpToDate>
  <CharactersWithSpaces>32532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2023-02-15T01:00:00Z</dcterms:created>
  <dc:creator>lhj</dc:creator>
  <cp:lastModifiedBy>lenovo</cp:lastModifiedBy>
  <cp:lastPrinted>2025-07-03T04:01:00Z</cp:lastPrinted>
  <dcterms:modified xsi:type="dcterms:W3CDTF">2025-07-30T03:12:36Z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E4FF40A807074BD0AD4D8FA0642B4A3F_13</vt:lpwstr>
  </property>
  <property fmtid="{D5CDD505-2E9C-101B-9397-08002B2CF9AE}" pid="4" name="KSOTemplateDocerSaveRecord">
    <vt:lpwstr>eyJoZGlkIjoiNDlhNmE5MDU5ZDJhYjE3ZDgzZDExMDk3ZmZkNzYxODEiLCJ1c2VySWQiOiIyMDAxMTc4ODMifQ==</vt:lpwstr>
  </property>
</Properties>
</file>