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D38739">
      <w:pPr>
        <w:ind w:firstLine="720"/>
        <w:rPr>
          <w:rFonts w:hint="eastAsia" w:eastAsia="仿宋_GB2312"/>
          <w:color w:val="auto"/>
          <w:sz w:val="36"/>
          <w:szCs w:val="36"/>
        </w:rPr>
      </w:pPr>
    </w:p>
    <w:p w14:paraId="791F06A1">
      <w:pPr>
        <w:rPr>
          <w:rFonts w:eastAsia="仿宋_GB2312"/>
          <w:color w:val="auto"/>
          <w:sz w:val="36"/>
          <w:szCs w:val="36"/>
        </w:rPr>
      </w:pPr>
    </w:p>
    <w:p w14:paraId="2B36942D">
      <w:pPr>
        <w:ind w:firstLine="720"/>
        <w:rPr>
          <w:rFonts w:eastAsia="仿宋_GB2312"/>
          <w:color w:val="auto"/>
          <w:sz w:val="36"/>
          <w:szCs w:val="36"/>
        </w:rPr>
      </w:pPr>
    </w:p>
    <w:p w14:paraId="228FCA9B">
      <w:pPr>
        <w:ind w:firstLine="720"/>
        <w:rPr>
          <w:rFonts w:eastAsia="仿宋_GB2312"/>
          <w:color w:val="auto"/>
          <w:sz w:val="36"/>
          <w:szCs w:val="36"/>
        </w:rPr>
      </w:pPr>
    </w:p>
    <w:p w14:paraId="07BBEFA2">
      <w:pPr>
        <w:ind w:firstLine="720"/>
        <w:rPr>
          <w:rFonts w:eastAsia="仿宋_GB2312"/>
          <w:color w:val="auto"/>
          <w:sz w:val="36"/>
          <w:szCs w:val="36"/>
        </w:rPr>
      </w:pPr>
    </w:p>
    <w:p w14:paraId="5F205799">
      <w:pPr>
        <w:ind w:firstLine="720"/>
        <w:rPr>
          <w:rFonts w:eastAsia="仿宋_GB2312"/>
          <w:color w:val="auto"/>
          <w:sz w:val="36"/>
          <w:szCs w:val="36"/>
        </w:rPr>
      </w:pPr>
    </w:p>
    <w:p w14:paraId="5F4CAF9D">
      <w:pPr>
        <w:adjustRightInd w:val="0"/>
        <w:snapToGrid w:val="0"/>
        <w:spacing w:line="240" w:lineRule="auto"/>
        <w:ind w:firstLine="0" w:firstLineChars="0"/>
        <w:jc w:val="center"/>
        <w:outlineLvl w:val="0"/>
        <w:rPr>
          <w:rFonts w:eastAsia="方正小标宋_GBK"/>
          <w:bCs/>
          <w:color w:val="auto"/>
          <w:sz w:val="72"/>
          <w:szCs w:val="72"/>
        </w:rPr>
      </w:pPr>
      <w:r>
        <w:rPr>
          <w:rFonts w:eastAsia="方正小标宋_GBK"/>
          <w:bCs/>
          <w:color w:val="auto"/>
          <w:sz w:val="72"/>
          <w:szCs w:val="72"/>
        </w:rPr>
        <w:t>建设项目环境影响报告表</w:t>
      </w:r>
    </w:p>
    <w:p w14:paraId="010372FA">
      <w:pPr>
        <w:adjustRightInd w:val="0"/>
        <w:snapToGrid w:val="0"/>
        <w:spacing w:before="192" w:beforeLines="80" w:line="240" w:lineRule="auto"/>
        <w:ind w:firstLine="0" w:firstLineChars="0"/>
        <w:jc w:val="center"/>
        <w:rPr>
          <w:rFonts w:eastAsia="楷体_GB2312"/>
          <w:bCs/>
          <w:color w:val="auto"/>
          <w:sz w:val="48"/>
          <w:szCs w:val="48"/>
        </w:rPr>
      </w:pPr>
      <w:r>
        <w:rPr>
          <w:rFonts w:eastAsia="楷体_GB2312"/>
          <w:bCs/>
          <w:color w:val="auto"/>
          <w:sz w:val="48"/>
          <w:szCs w:val="48"/>
        </w:rPr>
        <w:t>（污染影响类）</w:t>
      </w:r>
    </w:p>
    <w:p w14:paraId="67BE9C39">
      <w:pPr>
        <w:adjustRightInd w:val="0"/>
        <w:snapToGrid w:val="0"/>
        <w:spacing w:line="288" w:lineRule="auto"/>
        <w:ind w:firstLine="880"/>
        <w:jc w:val="center"/>
        <w:outlineLvl w:val="0"/>
        <w:rPr>
          <w:rFonts w:eastAsia="华文仿宋"/>
          <w:color w:val="auto"/>
          <w:kern w:val="44"/>
          <w:sz w:val="44"/>
          <w:szCs w:val="44"/>
        </w:rPr>
      </w:pPr>
    </w:p>
    <w:p w14:paraId="665F0D53">
      <w:pPr>
        <w:ind w:firstLine="1040"/>
        <w:jc w:val="center"/>
        <w:rPr>
          <w:rFonts w:eastAsia="仿宋"/>
          <w:color w:val="auto"/>
          <w:sz w:val="52"/>
          <w:szCs w:val="52"/>
        </w:rPr>
      </w:pPr>
    </w:p>
    <w:p w14:paraId="12371C97">
      <w:pPr>
        <w:ind w:firstLine="880"/>
        <w:rPr>
          <w:rFonts w:eastAsia="仿宋"/>
          <w:color w:val="auto"/>
          <w:sz w:val="44"/>
          <w:szCs w:val="44"/>
        </w:rPr>
      </w:pPr>
    </w:p>
    <w:p w14:paraId="4B2489ED">
      <w:pPr>
        <w:ind w:firstLine="880"/>
        <w:rPr>
          <w:rFonts w:eastAsia="仿宋"/>
          <w:color w:val="auto"/>
          <w:sz w:val="44"/>
          <w:szCs w:val="44"/>
        </w:rPr>
      </w:pPr>
    </w:p>
    <w:p w14:paraId="31E798BF">
      <w:pPr>
        <w:ind w:firstLine="880"/>
        <w:rPr>
          <w:rFonts w:eastAsia="仿宋"/>
          <w:color w:val="auto"/>
          <w:sz w:val="44"/>
          <w:szCs w:val="44"/>
        </w:rPr>
      </w:pPr>
    </w:p>
    <w:p w14:paraId="6662F5D5">
      <w:pPr>
        <w:ind w:firstLine="880"/>
        <w:rPr>
          <w:rFonts w:eastAsia="仿宋"/>
          <w:color w:val="auto"/>
          <w:sz w:val="44"/>
          <w:szCs w:val="44"/>
        </w:rPr>
      </w:pPr>
    </w:p>
    <w:p w14:paraId="02B96D23">
      <w:pPr>
        <w:adjustRightInd w:val="0"/>
        <w:snapToGrid w:val="0"/>
        <w:spacing w:line="288" w:lineRule="auto"/>
        <w:ind w:left="0" w:leftChars="0" w:firstLine="0" w:firstLineChars="0"/>
        <w:jc w:val="both"/>
        <w:rPr>
          <w:rFonts w:hint="default" w:ascii="仿宋_GB2312" w:eastAsia="仿宋_GB2312"/>
          <w:color w:val="auto"/>
          <w:sz w:val="36"/>
          <w:szCs w:val="36"/>
          <w:u w:val="single"/>
          <w:lang w:val="en-US" w:eastAsia="zh-CN"/>
        </w:rPr>
      </w:pPr>
      <w:r>
        <w:rPr>
          <w:rFonts w:hint="eastAsia" w:ascii="仿宋_GB2312" w:eastAsia="仿宋_GB2312"/>
          <w:color w:val="auto"/>
          <w:sz w:val="36"/>
          <w:szCs w:val="36"/>
        </w:rPr>
        <w:t>项目名称：</w:t>
      </w:r>
      <w:r>
        <w:rPr>
          <w:rFonts w:hint="eastAsia" w:ascii="仿宋_GB2312" w:eastAsia="仿宋_GB2312"/>
          <w:color w:val="auto"/>
          <w:sz w:val="36"/>
          <w:szCs w:val="36"/>
          <w:u w:val="single"/>
          <w:lang w:val="en-US" w:eastAsia="zh-CN"/>
        </w:rPr>
        <w:t xml:space="preserve">      汇川西部总部及研发中心        </w:t>
      </w:r>
    </w:p>
    <w:p w14:paraId="5F92D913">
      <w:pPr>
        <w:adjustRightInd w:val="0"/>
        <w:snapToGrid w:val="0"/>
        <w:spacing w:line="288" w:lineRule="auto"/>
        <w:ind w:left="0" w:leftChars="0" w:firstLine="0" w:firstLineChars="0"/>
        <w:jc w:val="both"/>
        <w:rPr>
          <w:rFonts w:hint="default" w:ascii="仿宋_GB2312" w:eastAsia="仿宋_GB2312"/>
          <w:color w:val="auto"/>
          <w:sz w:val="36"/>
          <w:szCs w:val="36"/>
          <w:u w:val="single"/>
          <w:lang w:val="en-US"/>
        </w:rPr>
      </w:pPr>
      <w:r>
        <w:rPr>
          <w:rFonts w:hint="eastAsia" w:ascii="仿宋_GB2312" w:eastAsia="仿宋_GB2312"/>
          <w:color w:val="auto"/>
          <w:sz w:val="36"/>
          <w:szCs w:val="36"/>
        </w:rPr>
        <w:t>建设单位：</w:t>
      </w:r>
      <w:r>
        <w:rPr>
          <w:rFonts w:hint="eastAsia" w:ascii="仿宋_GB2312" w:eastAsia="仿宋_GB2312"/>
          <w:color w:val="auto"/>
          <w:sz w:val="36"/>
          <w:szCs w:val="36"/>
          <w:u w:val="single"/>
          <w:lang w:val="en-US" w:eastAsia="zh-CN"/>
        </w:rPr>
        <w:t xml:space="preserve">    西安汇川技术研发中心有限公司    </w:t>
      </w:r>
    </w:p>
    <w:p w14:paraId="12664123">
      <w:pPr>
        <w:adjustRightInd w:val="0"/>
        <w:snapToGrid w:val="0"/>
        <w:spacing w:line="288" w:lineRule="auto"/>
        <w:ind w:left="0" w:leftChars="0" w:firstLine="0" w:firstLineChars="0"/>
        <w:jc w:val="both"/>
        <w:rPr>
          <w:rFonts w:hint="default" w:ascii="仿宋_GB2312" w:eastAsia="仿宋_GB2312"/>
          <w:color w:val="auto"/>
          <w:sz w:val="36"/>
          <w:szCs w:val="36"/>
          <w:u w:val="single"/>
          <w:lang w:val="en-US"/>
        </w:rPr>
      </w:pPr>
      <w:r>
        <w:rPr>
          <w:rFonts w:hint="eastAsia" w:ascii="仿宋_GB2312" w:eastAsia="仿宋_GB2312"/>
          <w:color w:val="auto"/>
          <w:sz w:val="36"/>
          <w:szCs w:val="36"/>
        </w:rPr>
        <w:t>编制日期：</w:t>
      </w:r>
      <w:r>
        <w:rPr>
          <w:rFonts w:hint="eastAsia" w:ascii="仿宋_GB2312" w:eastAsia="仿宋_GB2312"/>
          <w:color w:val="auto"/>
          <w:sz w:val="36"/>
          <w:szCs w:val="36"/>
          <w:u w:val="single"/>
        </w:rPr>
        <w:t xml:space="preserve"> </w:t>
      </w:r>
      <w:r>
        <w:rPr>
          <w:rFonts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r>
        <w:rPr>
          <w:rFonts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r>
        <w:rPr>
          <w:rFonts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r>
        <w:rPr>
          <w:rFonts w:hint="default" w:ascii="Times New Roman" w:hAnsi="Times New Roman" w:eastAsia="仿宋_GB2312" w:cs="Times New Roman"/>
          <w:color w:val="auto"/>
          <w:sz w:val="36"/>
          <w:szCs w:val="36"/>
          <w:u w:val="single"/>
          <w:lang w:val="en-US" w:eastAsia="zh-CN"/>
        </w:rPr>
        <w:t>202</w:t>
      </w:r>
      <w:r>
        <w:rPr>
          <w:rFonts w:hint="eastAsia" w:eastAsia="仿宋_GB2312" w:cs="Times New Roman"/>
          <w:color w:val="auto"/>
          <w:sz w:val="36"/>
          <w:szCs w:val="36"/>
          <w:u w:val="single"/>
          <w:lang w:val="en-US" w:eastAsia="zh-CN"/>
        </w:rPr>
        <w:t>5</w:t>
      </w:r>
      <w:r>
        <w:rPr>
          <w:rFonts w:hint="default" w:ascii="Times New Roman" w:hAnsi="Times New Roman" w:eastAsia="仿宋_GB2312" w:cs="Times New Roman"/>
          <w:color w:val="auto"/>
          <w:sz w:val="36"/>
          <w:szCs w:val="36"/>
          <w:u w:val="single"/>
          <w:lang w:val="en-US" w:eastAsia="zh-CN"/>
        </w:rPr>
        <w:t>年</w:t>
      </w:r>
      <w:r>
        <w:rPr>
          <w:rFonts w:hint="eastAsia" w:eastAsia="仿宋_GB2312" w:cs="Times New Roman"/>
          <w:color w:val="auto"/>
          <w:sz w:val="36"/>
          <w:szCs w:val="36"/>
          <w:u w:val="single"/>
          <w:lang w:val="en-US" w:eastAsia="zh-CN"/>
        </w:rPr>
        <w:t>10</w:t>
      </w:r>
      <w:r>
        <w:rPr>
          <w:rFonts w:hint="default" w:ascii="Times New Roman" w:hAnsi="Times New Roman" w:eastAsia="仿宋_GB2312" w:cs="Times New Roman"/>
          <w:color w:val="auto"/>
          <w:sz w:val="36"/>
          <w:szCs w:val="36"/>
          <w:u w:val="single"/>
          <w:lang w:val="en-US" w:eastAsia="zh-CN"/>
        </w:rPr>
        <w:t>月</w:t>
      </w:r>
      <w:r>
        <w:rPr>
          <w:rFonts w:hint="eastAsia" w:eastAsia="仿宋_GB2312" w:cs="Times New Roman"/>
          <w:color w:val="auto"/>
          <w:sz w:val="36"/>
          <w:szCs w:val="36"/>
          <w:u w:val="single"/>
          <w:lang w:val="en-US" w:eastAsia="zh-CN"/>
        </w:rPr>
        <w:t xml:space="preserve">            </w:t>
      </w:r>
    </w:p>
    <w:p w14:paraId="5425B4DF">
      <w:pPr>
        <w:ind w:firstLine="880"/>
        <w:rPr>
          <w:rFonts w:eastAsia="仿宋"/>
          <w:color w:val="auto"/>
          <w:sz w:val="44"/>
          <w:szCs w:val="44"/>
        </w:rPr>
      </w:pPr>
    </w:p>
    <w:p w14:paraId="03AED0A8">
      <w:pPr>
        <w:adjustRightInd w:val="0"/>
        <w:snapToGrid w:val="0"/>
        <w:spacing w:line="288" w:lineRule="auto"/>
        <w:ind w:left="2520" w:leftChars="300" w:hanging="1800" w:hangingChars="500"/>
        <w:rPr>
          <w:rFonts w:eastAsia="仿宋_GB2312"/>
          <w:color w:val="auto"/>
          <w:sz w:val="36"/>
          <w:szCs w:val="36"/>
          <w:u w:val="single"/>
        </w:rPr>
      </w:pPr>
    </w:p>
    <w:p w14:paraId="515F9C10">
      <w:pPr>
        <w:adjustRightInd w:val="0"/>
        <w:snapToGrid w:val="0"/>
        <w:spacing w:line="288" w:lineRule="auto"/>
        <w:ind w:left="2520" w:leftChars="300" w:hanging="1800" w:hangingChars="500"/>
        <w:rPr>
          <w:rFonts w:eastAsia="仿宋_GB2312"/>
          <w:color w:val="auto"/>
          <w:sz w:val="36"/>
          <w:szCs w:val="36"/>
          <w:u w:val="single"/>
        </w:rPr>
      </w:pPr>
    </w:p>
    <w:p w14:paraId="0B9480D1">
      <w:pPr>
        <w:adjustRightInd w:val="0"/>
        <w:snapToGrid w:val="0"/>
        <w:spacing w:line="288" w:lineRule="auto"/>
        <w:ind w:firstLine="720"/>
        <w:jc w:val="center"/>
        <w:rPr>
          <w:rFonts w:eastAsia="楷体_GB2312"/>
          <w:color w:val="auto"/>
          <w:sz w:val="36"/>
          <w:szCs w:val="36"/>
        </w:rPr>
      </w:pPr>
      <w:r>
        <w:rPr>
          <w:rFonts w:eastAsia="楷体_GB2312"/>
          <w:color w:val="auto"/>
          <w:sz w:val="36"/>
          <w:szCs w:val="36"/>
        </w:rPr>
        <w:t>中华人民共和国生态环境部制</w:t>
      </w:r>
    </w:p>
    <w:p w14:paraId="63AA8790">
      <w:pPr>
        <w:adjustRightInd w:val="0"/>
        <w:snapToGrid w:val="0"/>
        <w:spacing w:line="288" w:lineRule="auto"/>
        <w:ind w:firstLine="720"/>
        <w:jc w:val="center"/>
        <w:rPr>
          <w:rFonts w:eastAsia="楷体_GB2312"/>
          <w:color w:val="auto"/>
          <w:sz w:val="36"/>
          <w:szCs w:val="36"/>
        </w:rPr>
      </w:pPr>
    </w:p>
    <w:p w14:paraId="5D6F8A03">
      <w:pPr>
        <w:pStyle w:val="15"/>
        <w:rPr>
          <w:color w:val="auto"/>
        </w:rPr>
      </w:pPr>
    </w:p>
    <w:p w14:paraId="602A8FE0">
      <w:pPr>
        <w:adjustRightInd w:val="0"/>
        <w:snapToGrid w:val="0"/>
        <w:spacing w:line="288" w:lineRule="auto"/>
        <w:ind w:firstLine="720"/>
        <w:rPr>
          <w:rFonts w:eastAsia="仿宋_GB2312"/>
          <w:color w:val="auto"/>
          <w:sz w:val="36"/>
          <w:szCs w:val="36"/>
        </w:rPr>
        <w:sectPr>
          <w:headerReference r:id="rId7" w:type="first"/>
          <w:footerReference r:id="rId10" w:type="first"/>
          <w:headerReference r:id="rId5" w:type="default"/>
          <w:footerReference r:id="rId8" w:type="default"/>
          <w:headerReference r:id="rId6" w:type="even"/>
          <w:footerReference r:id="rId9"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2FEDB14E">
      <w:pPr>
        <w:pStyle w:val="14"/>
        <w:ind w:firstLine="600"/>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一、建设项目基本情况</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854"/>
        <w:gridCol w:w="2230"/>
        <w:gridCol w:w="1877"/>
        <w:gridCol w:w="2909"/>
      </w:tblGrid>
      <w:tr w14:paraId="13CBFE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854" w:type="dxa"/>
            <w:noWrap w:val="0"/>
            <w:tcMar>
              <w:top w:w="16" w:type="dxa"/>
              <w:left w:w="16" w:type="dxa"/>
              <w:right w:w="16" w:type="dxa"/>
            </w:tcMar>
            <w:vAlign w:val="center"/>
          </w:tcPr>
          <w:p w14:paraId="2D9CB9F0">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建设项目名称</w:t>
            </w:r>
          </w:p>
        </w:tc>
        <w:tc>
          <w:tcPr>
            <w:tcW w:w="7016" w:type="dxa"/>
            <w:gridSpan w:val="3"/>
            <w:noWrap w:val="0"/>
            <w:vAlign w:val="center"/>
          </w:tcPr>
          <w:p w14:paraId="589C1FC6">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eastAsia"/>
                <w:color w:val="auto"/>
              </w:rPr>
            </w:pPr>
            <w:r>
              <w:rPr>
                <w:rFonts w:hint="eastAsia"/>
                <w:color w:val="auto"/>
                <w:lang w:eastAsia="zh-CN"/>
              </w:rPr>
              <w:t>汇川西部总部及研发中心</w:t>
            </w:r>
          </w:p>
        </w:tc>
      </w:tr>
      <w:tr w14:paraId="4136B5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854" w:type="dxa"/>
            <w:noWrap w:val="0"/>
            <w:tcMar>
              <w:top w:w="16" w:type="dxa"/>
              <w:left w:w="16" w:type="dxa"/>
              <w:right w:w="16" w:type="dxa"/>
            </w:tcMar>
            <w:vAlign w:val="center"/>
          </w:tcPr>
          <w:p w14:paraId="5F369879">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项目代码</w:t>
            </w:r>
          </w:p>
        </w:tc>
        <w:tc>
          <w:tcPr>
            <w:tcW w:w="7016" w:type="dxa"/>
            <w:gridSpan w:val="3"/>
            <w:noWrap w:val="0"/>
            <w:vAlign w:val="center"/>
          </w:tcPr>
          <w:p w14:paraId="32BB1EF5">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default"/>
                <w:color w:val="auto"/>
                <w:lang w:val="en-US" w:eastAsia="zh-CN"/>
              </w:rPr>
            </w:pPr>
            <w:r>
              <w:rPr>
                <w:rFonts w:hint="eastAsia"/>
                <w:color w:val="auto"/>
                <w:lang w:val="en-US" w:eastAsia="zh-CN"/>
              </w:rPr>
              <w:t>2307-611203-04-01-546689</w:t>
            </w:r>
          </w:p>
        </w:tc>
      </w:tr>
      <w:tr w14:paraId="435FEF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854" w:type="dxa"/>
            <w:noWrap w:val="0"/>
            <w:tcMar>
              <w:top w:w="16" w:type="dxa"/>
              <w:left w:w="16" w:type="dxa"/>
              <w:right w:w="16" w:type="dxa"/>
            </w:tcMar>
            <w:vAlign w:val="center"/>
          </w:tcPr>
          <w:p w14:paraId="222EBA46">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建设单位</w:t>
            </w:r>
          </w:p>
          <w:p w14:paraId="4E7068DC">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联系人</w:t>
            </w:r>
          </w:p>
        </w:tc>
        <w:tc>
          <w:tcPr>
            <w:tcW w:w="2230" w:type="dxa"/>
            <w:noWrap w:val="0"/>
            <w:vAlign w:val="center"/>
          </w:tcPr>
          <w:p w14:paraId="1047D41F">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eastAsia"/>
                <w:color w:val="auto"/>
                <w:lang w:val="en-US" w:eastAsia="zh-CN"/>
              </w:rPr>
            </w:pPr>
            <w:r>
              <w:rPr>
                <w:rFonts w:hint="eastAsia"/>
                <w:color w:val="auto"/>
                <w:lang w:eastAsia="zh-CN"/>
              </w:rPr>
              <w:t>唐方洪</w:t>
            </w:r>
          </w:p>
        </w:tc>
        <w:tc>
          <w:tcPr>
            <w:tcW w:w="1877" w:type="dxa"/>
            <w:noWrap w:val="0"/>
            <w:vAlign w:val="center"/>
          </w:tcPr>
          <w:p w14:paraId="48253648">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eastAsia"/>
                <w:color w:val="auto"/>
                <w:lang w:val="en-US" w:eastAsia="zh-CN"/>
              </w:rPr>
            </w:pPr>
            <w:r>
              <w:rPr>
                <w:rFonts w:hint="eastAsia"/>
                <w:color w:val="auto"/>
                <w:lang w:val="en-US" w:eastAsia="zh-CN"/>
              </w:rPr>
              <w:t>联系方式</w:t>
            </w:r>
          </w:p>
        </w:tc>
        <w:tc>
          <w:tcPr>
            <w:tcW w:w="2909" w:type="dxa"/>
            <w:noWrap w:val="0"/>
            <w:vAlign w:val="center"/>
          </w:tcPr>
          <w:p w14:paraId="2144793B">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default"/>
                <w:color w:val="auto"/>
                <w:lang w:val="en-US" w:eastAsia="zh-CN"/>
              </w:rPr>
            </w:pPr>
            <w:r>
              <w:rPr>
                <w:rFonts w:hint="eastAsia"/>
                <w:color w:val="auto"/>
                <w:lang w:eastAsia="zh-CN"/>
              </w:rPr>
              <w:t>18680679207</w:t>
            </w:r>
          </w:p>
        </w:tc>
      </w:tr>
      <w:tr w14:paraId="49D943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854" w:type="dxa"/>
            <w:noWrap w:val="0"/>
            <w:tcMar>
              <w:top w:w="16" w:type="dxa"/>
              <w:left w:w="16" w:type="dxa"/>
              <w:right w:w="16" w:type="dxa"/>
            </w:tcMar>
            <w:vAlign w:val="center"/>
          </w:tcPr>
          <w:p w14:paraId="11C6B4BB">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eastAsia"/>
                <w:color w:val="auto"/>
                <w:lang w:val="en-US" w:eastAsia="zh-CN"/>
              </w:rPr>
            </w:pPr>
            <w:r>
              <w:rPr>
                <w:rFonts w:hint="eastAsia"/>
                <w:color w:val="auto"/>
                <w:lang w:val="en-US" w:eastAsia="zh-CN"/>
              </w:rPr>
              <w:t>建设地点</w:t>
            </w:r>
          </w:p>
        </w:tc>
        <w:tc>
          <w:tcPr>
            <w:tcW w:w="7016" w:type="dxa"/>
            <w:gridSpan w:val="3"/>
            <w:noWrap w:val="0"/>
            <w:vAlign w:val="center"/>
          </w:tcPr>
          <w:p w14:paraId="0B5075FE">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default"/>
                <w:color w:val="auto"/>
                <w:lang w:val="en-US" w:eastAsia="zh-CN"/>
              </w:rPr>
            </w:pPr>
            <w:r>
              <w:rPr>
                <w:rFonts w:hint="eastAsia"/>
                <w:color w:val="auto"/>
                <w:lang w:val="en-US" w:eastAsia="zh-CN"/>
              </w:rPr>
              <w:t>陕西省西咸新区沣东新城统筹科技资源改革示范基地王寺西街与科源四路交叉口东北方向</w:t>
            </w:r>
          </w:p>
        </w:tc>
      </w:tr>
      <w:tr w14:paraId="66C35C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854" w:type="dxa"/>
            <w:noWrap w:val="0"/>
            <w:tcMar>
              <w:top w:w="16" w:type="dxa"/>
              <w:left w:w="16" w:type="dxa"/>
              <w:right w:w="16" w:type="dxa"/>
            </w:tcMar>
            <w:vAlign w:val="center"/>
          </w:tcPr>
          <w:p w14:paraId="23B65886">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地理坐标</w:t>
            </w:r>
          </w:p>
        </w:tc>
        <w:tc>
          <w:tcPr>
            <w:tcW w:w="7016" w:type="dxa"/>
            <w:gridSpan w:val="3"/>
            <w:noWrap w:val="0"/>
            <w:vAlign w:val="center"/>
          </w:tcPr>
          <w:p w14:paraId="7ACD3132">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rFonts w:hint="eastAsia"/>
                <w:color w:val="auto"/>
                <w:highlight w:val="none"/>
                <w:u w:val="single"/>
                <w:lang w:val="en-US" w:eastAsia="zh-CN"/>
              </w:rPr>
              <w:t xml:space="preserve"> </w:t>
            </w:r>
            <w:r>
              <w:rPr>
                <w:rFonts w:hint="eastAsia"/>
                <w:color w:val="auto"/>
                <w:highlight w:val="none"/>
                <w:u w:val="single"/>
              </w:rPr>
              <w:t>108</w:t>
            </w:r>
            <w:r>
              <w:rPr>
                <w:rFonts w:hint="eastAsia"/>
                <w:color w:val="auto"/>
                <w:highlight w:val="none"/>
                <w:u w:val="single"/>
                <w:lang w:val="en-US" w:eastAsia="zh-CN"/>
              </w:rPr>
              <w:t xml:space="preserve"> </w:t>
            </w:r>
            <w:r>
              <w:rPr>
                <w:rFonts w:hint="eastAsia"/>
                <w:color w:val="auto"/>
                <w:highlight w:val="none"/>
              </w:rPr>
              <w:t>度</w:t>
            </w:r>
            <w:r>
              <w:rPr>
                <w:rFonts w:hint="eastAsia"/>
                <w:color w:val="auto"/>
                <w:highlight w:val="none"/>
                <w:u w:val="single"/>
              </w:rPr>
              <w:t xml:space="preserve"> </w:t>
            </w:r>
            <w:r>
              <w:rPr>
                <w:rFonts w:hint="eastAsia"/>
                <w:color w:val="auto"/>
                <w:highlight w:val="none"/>
                <w:u w:val="single"/>
                <w:lang w:val="en-US" w:eastAsia="zh-CN"/>
              </w:rPr>
              <w:t>45</w:t>
            </w:r>
            <w:r>
              <w:rPr>
                <w:rFonts w:hint="eastAsia"/>
                <w:color w:val="auto"/>
                <w:highlight w:val="none"/>
                <w:u w:val="single"/>
              </w:rPr>
              <w:t xml:space="preserve"> </w:t>
            </w:r>
            <w:r>
              <w:rPr>
                <w:rFonts w:hint="eastAsia"/>
                <w:color w:val="auto"/>
                <w:highlight w:val="none"/>
              </w:rPr>
              <w:t>分</w:t>
            </w:r>
            <w:r>
              <w:rPr>
                <w:rFonts w:hint="eastAsia"/>
                <w:color w:val="auto"/>
                <w:highlight w:val="none"/>
                <w:u w:val="single"/>
              </w:rPr>
              <w:t xml:space="preserve"> </w:t>
            </w:r>
            <w:r>
              <w:rPr>
                <w:rFonts w:hint="eastAsia"/>
                <w:color w:val="auto"/>
                <w:highlight w:val="none"/>
                <w:u w:val="single"/>
                <w:lang w:val="en-US" w:eastAsia="zh-CN"/>
              </w:rPr>
              <w:t>19.109</w:t>
            </w:r>
            <w:r>
              <w:rPr>
                <w:rFonts w:hint="eastAsia"/>
                <w:color w:val="auto"/>
                <w:highlight w:val="none"/>
                <w:u w:val="single"/>
              </w:rPr>
              <w:t xml:space="preserve"> </w:t>
            </w:r>
            <w:r>
              <w:rPr>
                <w:rFonts w:hint="eastAsia"/>
                <w:color w:val="auto"/>
                <w:highlight w:val="none"/>
              </w:rPr>
              <w:t>秒，</w:t>
            </w:r>
            <w:r>
              <w:rPr>
                <w:rFonts w:hint="eastAsia"/>
                <w:color w:val="auto"/>
                <w:highlight w:val="none"/>
                <w:u w:val="single"/>
              </w:rPr>
              <w:t xml:space="preserve"> 34 </w:t>
            </w:r>
            <w:r>
              <w:rPr>
                <w:rFonts w:hint="eastAsia"/>
                <w:color w:val="auto"/>
                <w:highlight w:val="none"/>
              </w:rPr>
              <w:t>度</w:t>
            </w:r>
            <w:r>
              <w:rPr>
                <w:rFonts w:hint="eastAsia"/>
                <w:color w:val="auto"/>
                <w:highlight w:val="none"/>
                <w:u w:val="single"/>
              </w:rPr>
              <w:t xml:space="preserve"> </w:t>
            </w:r>
            <w:r>
              <w:rPr>
                <w:rFonts w:hint="eastAsia"/>
                <w:color w:val="auto"/>
                <w:highlight w:val="none"/>
                <w:u w:val="single"/>
                <w:lang w:val="en-US" w:eastAsia="zh-CN"/>
              </w:rPr>
              <w:t>15</w:t>
            </w:r>
            <w:r>
              <w:rPr>
                <w:rFonts w:hint="eastAsia"/>
                <w:color w:val="auto"/>
                <w:highlight w:val="none"/>
                <w:u w:val="single"/>
              </w:rPr>
              <w:t xml:space="preserve"> </w:t>
            </w:r>
            <w:r>
              <w:rPr>
                <w:rFonts w:hint="eastAsia"/>
                <w:color w:val="auto"/>
                <w:highlight w:val="none"/>
              </w:rPr>
              <w:t>分</w:t>
            </w:r>
            <w:r>
              <w:rPr>
                <w:rFonts w:hint="eastAsia"/>
                <w:color w:val="auto"/>
                <w:highlight w:val="none"/>
                <w:u w:val="single"/>
              </w:rPr>
              <w:t xml:space="preserve"> </w:t>
            </w:r>
            <w:r>
              <w:rPr>
                <w:rFonts w:hint="eastAsia"/>
                <w:color w:val="auto"/>
                <w:highlight w:val="none"/>
                <w:u w:val="single"/>
                <w:lang w:val="en-US" w:eastAsia="zh-CN"/>
              </w:rPr>
              <w:t>26.967</w:t>
            </w:r>
            <w:r>
              <w:rPr>
                <w:rFonts w:hint="eastAsia"/>
                <w:color w:val="auto"/>
                <w:highlight w:val="none"/>
                <w:u w:val="single"/>
              </w:rPr>
              <w:t xml:space="preserve"> </w:t>
            </w:r>
            <w:r>
              <w:rPr>
                <w:rFonts w:hint="eastAsia"/>
                <w:color w:val="auto"/>
                <w:highlight w:val="none"/>
              </w:rPr>
              <w:t>秒</w:t>
            </w:r>
          </w:p>
        </w:tc>
      </w:tr>
      <w:tr w14:paraId="2D4354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854" w:type="dxa"/>
            <w:noWrap w:val="0"/>
            <w:tcMar>
              <w:top w:w="16" w:type="dxa"/>
              <w:left w:w="16" w:type="dxa"/>
              <w:right w:w="16" w:type="dxa"/>
            </w:tcMar>
            <w:vAlign w:val="center"/>
          </w:tcPr>
          <w:p w14:paraId="6A295A6B">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国民经济</w:t>
            </w:r>
          </w:p>
          <w:p w14:paraId="4EE87B1E">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行业类别</w:t>
            </w:r>
          </w:p>
        </w:tc>
        <w:tc>
          <w:tcPr>
            <w:tcW w:w="2230" w:type="dxa"/>
            <w:noWrap w:val="0"/>
            <w:vAlign w:val="center"/>
          </w:tcPr>
          <w:p w14:paraId="3B332C1E">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eastAsia"/>
                <w:color w:val="auto"/>
                <w:lang w:eastAsia="zh-CN"/>
              </w:rPr>
            </w:pPr>
            <w:r>
              <w:rPr>
                <w:color w:val="auto"/>
              </w:rPr>
              <w:t>M7</w:t>
            </w:r>
            <w:r>
              <w:rPr>
                <w:rFonts w:hint="eastAsia"/>
                <w:color w:val="auto"/>
                <w:lang w:val="en-US" w:eastAsia="zh-CN"/>
              </w:rPr>
              <w:t>320</w:t>
            </w:r>
            <w:r>
              <w:rPr>
                <w:rFonts w:hint="eastAsia"/>
                <w:color w:val="auto"/>
              </w:rPr>
              <w:t xml:space="preserve"> </w:t>
            </w:r>
            <w:r>
              <w:rPr>
                <w:rFonts w:hint="eastAsia"/>
                <w:color w:val="auto"/>
                <w:lang w:eastAsia="zh-CN"/>
              </w:rPr>
              <w:t>工程和技术研究和试验发展</w:t>
            </w:r>
          </w:p>
        </w:tc>
        <w:tc>
          <w:tcPr>
            <w:tcW w:w="1877" w:type="dxa"/>
            <w:noWrap w:val="0"/>
            <w:vAlign w:val="center"/>
          </w:tcPr>
          <w:p w14:paraId="6443AF44">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bookmarkStart w:id="0" w:name="_Hlk49843745"/>
            <w:r>
              <w:rPr>
                <w:color w:val="auto"/>
              </w:rPr>
              <w:t>建设项目</w:t>
            </w:r>
          </w:p>
          <w:p w14:paraId="43FA9441">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行业类别</w:t>
            </w:r>
            <w:bookmarkEnd w:id="0"/>
          </w:p>
        </w:tc>
        <w:tc>
          <w:tcPr>
            <w:tcW w:w="2909" w:type="dxa"/>
            <w:noWrap w:val="0"/>
            <w:vAlign w:val="center"/>
          </w:tcPr>
          <w:p w14:paraId="2D7A8E6D">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98 专业实验室、研发（试验）基地</w:t>
            </w:r>
          </w:p>
        </w:tc>
      </w:tr>
      <w:tr w14:paraId="301089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854" w:type="dxa"/>
            <w:noWrap w:val="0"/>
            <w:tcMar>
              <w:top w:w="16" w:type="dxa"/>
              <w:left w:w="16" w:type="dxa"/>
              <w:right w:w="16" w:type="dxa"/>
            </w:tcMar>
            <w:vAlign w:val="center"/>
          </w:tcPr>
          <w:p w14:paraId="79EC7998">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建设性质</w:t>
            </w:r>
          </w:p>
        </w:tc>
        <w:tc>
          <w:tcPr>
            <w:tcW w:w="2230" w:type="dxa"/>
            <w:noWrap w:val="0"/>
            <w:vAlign w:val="center"/>
          </w:tcPr>
          <w:p w14:paraId="668D0DB8">
            <w:pPr>
              <w:keepNext w:val="0"/>
              <w:keepLines w:val="0"/>
              <w:pageBreakBefore w:val="0"/>
              <w:widowControl w:val="0"/>
              <w:kinsoku/>
              <w:wordWrap/>
              <w:overflowPunct/>
              <w:topLinePunct w:val="0"/>
              <w:autoSpaceDE/>
              <w:autoSpaceDN/>
              <w:bidi w:val="0"/>
              <w:adjustRightInd/>
              <w:snapToGrid/>
              <w:spacing w:line="400" w:lineRule="atLeast"/>
              <w:ind w:firstLine="0" w:firstLineChars="0"/>
              <w:textAlignment w:val="auto"/>
              <w:rPr>
                <w:color w:val="auto"/>
              </w:rPr>
            </w:pPr>
            <w:r>
              <w:rPr>
                <w:color w:val="auto"/>
              </w:rPr>
              <w:sym w:font="Wingdings 2" w:char="0052"/>
            </w:r>
            <w:r>
              <w:rPr>
                <w:color w:val="auto"/>
              </w:rPr>
              <w:t>新建（迁建）</w:t>
            </w:r>
          </w:p>
          <w:p w14:paraId="77ABECF7">
            <w:pPr>
              <w:keepNext w:val="0"/>
              <w:keepLines w:val="0"/>
              <w:pageBreakBefore w:val="0"/>
              <w:widowControl w:val="0"/>
              <w:kinsoku/>
              <w:wordWrap/>
              <w:overflowPunct/>
              <w:topLinePunct w:val="0"/>
              <w:autoSpaceDE/>
              <w:autoSpaceDN/>
              <w:bidi w:val="0"/>
              <w:adjustRightInd/>
              <w:snapToGrid/>
              <w:spacing w:line="400" w:lineRule="atLeast"/>
              <w:ind w:firstLine="0" w:firstLineChars="0"/>
              <w:textAlignment w:val="auto"/>
              <w:rPr>
                <w:color w:val="auto"/>
              </w:rPr>
            </w:pPr>
            <w:r>
              <w:rPr>
                <w:color w:val="auto"/>
              </w:rPr>
              <w:sym w:font="Wingdings 2" w:char="00A3"/>
            </w:r>
            <w:r>
              <w:rPr>
                <w:color w:val="auto"/>
              </w:rPr>
              <w:t>改建</w:t>
            </w:r>
          </w:p>
          <w:p w14:paraId="3EAA6453">
            <w:pPr>
              <w:keepNext w:val="0"/>
              <w:keepLines w:val="0"/>
              <w:pageBreakBefore w:val="0"/>
              <w:widowControl w:val="0"/>
              <w:kinsoku/>
              <w:wordWrap/>
              <w:overflowPunct/>
              <w:topLinePunct w:val="0"/>
              <w:autoSpaceDE/>
              <w:autoSpaceDN/>
              <w:bidi w:val="0"/>
              <w:adjustRightInd/>
              <w:snapToGrid/>
              <w:spacing w:line="400" w:lineRule="atLeast"/>
              <w:ind w:firstLine="0" w:firstLineChars="0"/>
              <w:textAlignment w:val="auto"/>
              <w:rPr>
                <w:color w:val="auto"/>
              </w:rPr>
            </w:pPr>
            <w:r>
              <w:rPr>
                <w:color w:val="auto"/>
              </w:rPr>
              <w:sym w:font="Wingdings 2" w:char="00A3"/>
            </w:r>
            <w:r>
              <w:rPr>
                <w:color w:val="auto"/>
              </w:rPr>
              <w:t>扩建</w:t>
            </w:r>
          </w:p>
          <w:p w14:paraId="7B30D35F">
            <w:pPr>
              <w:keepNext w:val="0"/>
              <w:keepLines w:val="0"/>
              <w:pageBreakBefore w:val="0"/>
              <w:widowControl w:val="0"/>
              <w:kinsoku/>
              <w:wordWrap/>
              <w:overflowPunct/>
              <w:topLinePunct w:val="0"/>
              <w:autoSpaceDE/>
              <w:autoSpaceDN/>
              <w:bidi w:val="0"/>
              <w:adjustRightInd/>
              <w:snapToGrid/>
              <w:spacing w:line="400" w:lineRule="atLeast"/>
              <w:ind w:firstLine="0" w:firstLineChars="0"/>
              <w:textAlignment w:val="auto"/>
              <w:rPr>
                <w:color w:val="auto"/>
              </w:rPr>
            </w:pPr>
            <w:r>
              <w:rPr>
                <w:color w:val="auto"/>
              </w:rPr>
              <w:sym w:font="Wingdings 2" w:char="00A3"/>
            </w:r>
            <w:r>
              <w:rPr>
                <w:color w:val="auto"/>
              </w:rPr>
              <w:t>技术改造</w:t>
            </w:r>
          </w:p>
        </w:tc>
        <w:tc>
          <w:tcPr>
            <w:tcW w:w="1877" w:type="dxa"/>
            <w:noWrap w:val="0"/>
            <w:vAlign w:val="center"/>
          </w:tcPr>
          <w:p w14:paraId="73E8DED1">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建设项目</w:t>
            </w:r>
          </w:p>
          <w:p w14:paraId="46160E80">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申报情形</w:t>
            </w:r>
          </w:p>
        </w:tc>
        <w:tc>
          <w:tcPr>
            <w:tcW w:w="2909" w:type="dxa"/>
            <w:noWrap w:val="0"/>
            <w:vAlign w:val="center"/>
          </w:tcPr>
          <w:p w14:paraId="5B4DCEC9">
            <w:pPr>
              <w:keepNext w:val="0"/>
              <w:keepLines w:val="0"/>
              <w:pageBreakBefore w:val="0"/>
              <w:widowControl w:val="0"/>
              <w:kinsoku/>
              <w:wordWrap/>
              <w:overflowPunct/>
              <w:topLinePunct w:val="0"/>
              <w:autoSpaceDE/>
              <w:autoSpaceDN/>
              <w:bidi w:val="0"/>
              <w:adjustRightInd/>
              <w:snapToGrid/>
              <w:spacing w:line="400" w:lineRule="atLeast"/>
              <w:ind w:firstLine="0" w:firstLineChars="0"/>
              <w:textAlignment w:val="auto"/>
              <w:rPr>
                <w:color w:val="auto"/>
              </w:rPr>
            </w:pPr>
            <w:r>
              <w:rPr>
                <w:color w:val="auto"/>
              </w:rPr>
              <w:sym w:font="Wingdings 2" w:char="0052"/>
            </w:r>
            <w:r>
              <w:rPr>
                <w:color w:val="auto"/>
              </w:rPr>
              <w:t>首次申报项目</w:t>
            </w:r>
          </w:p>
          <w:p w14:paraId="18EDA670">
            <w:pPr>
              <w:keepNext w:val="0"/>
              <w:keepLines w:val="0"/>
              <w:pageBreakBefore w:val="0"/>
              <w:widowControl w:val="0"/>
              <w:kinsoku/>
              <w:wordWrap/>
              <w:overflowPunct/>
              <w:topLinePunct w:val="0"/>
              <w:autoSpaceDE/>
              <w:autoSpaceDN/>
              <w:bidi w:val="0"/>
              <w:adjustRightInd/>
              <w:snapToGrid/>
              <w:spacing w:line="400" w:lineRule="atLeast"/>
              <w:ind w:firstLine="0" w:firstLineChars="0"/>
              <w:textAlignment w:val="auto"/>
              <w:rPr>
                <w:color w:val="auto"/>
              </w:rPr>
            </w:pPr>
            <w:r>
              <w:rPr>
                <w:color w:val="auto"/>
              </w:rPr>
              <w:sym w:font="Wingdings 2" w:char="00A3"/>
            </w:r>
            <w:r>
              <w:rPr>
                <w:color w:val="auto"/>
              </w:rPr>
              <w:t>不予批准后再次申报项目</w:t>
            </w:r>
          </w:p>
          <w:p w14:paraId="1D6224FE">
            <w:pPr>
              <w:keepNext w:val="0"/>
              <w:keepLines w:val="0"/>
              <w:pageBreakBefore w:val="0"/>
              <w:widowControl w:val="0"/>
              <w:kinsoku/>
              <w:wordWrap/>
              <w:overflowPunct/>
              <w:topLinePunct w:val="0"/>
              <w:autoSpaceDE/>
              <w:autoSpaceDN/>
              <w:bidi w:val="0"/>
              <w:adjustRightInd/>
              <w:snapToGrid/>
              <w:spacing w:line="400" w:lineRule="atLeast"/>
              <w:ind w:firstLine="0" w:firstLineChars="0"/>
              <w:textAlignment w:val="auto"/>
              <w:rPr>
                <w:color w:val="auto"/>
              </w:rPr>
            </w:pPr>
            <w:r>
              <w:rPr>
                <w:color w:val="auto"/>
              </w:rPr>
              <w:sym w:font="Wingdings 2" w:char="00A3"/>
            </w:r>
            <w:r>
              <w:rPr>
                <w:color w:val="auto"/>
              </w:rPr>
              <w:t>超五年重新审核项目</w:t>
            </w:r>
          </w:p>
          <w:p w14:paraId="15B5FBBB">
            <w:pPr>
              <w:keepNext w:val="0"/>
              <w:keepLines w:val="0"/>
              <w:pageBreakBefore w:val="0"/>
              <w:widowControl w:val="0"/>
              <w:kinsoku/>
              <w:wordWrap/>
              <w:overflowPunct/>
              <w:topLinePunct w:val="0"/>
              <w:autoSpaceDE/>
              <w:autoSpaceDN/>
              <w:bidi w:val="0"/>
              <w:adjustRightInd/>
              <w:snapToGrid/>
              <w:spacing w:line="400" w:lineRule="atLeast"/>
              <w:ind w:firstLine="0" w:firstLineChars="0"/>
              <w:textAlignment w:val="auto"/>
              <w:rPr>
                <w:color w:val="auto"/>
              </w:rPr>
            </w:pPr>
            <w:r>
              <w:rPr>
                <w:color w:val="auto"/>
              </w:rPr>
              <w:sym w:font="Wingdings 2" w:char="00A3"/>
            </w:r>
            <w:r>
              <w:rPr>
                <w:color w:val="auto"/>
              </w:rPr>
              <w:t>重大变动重新报批项目</w:t>
            </w:r>
          </w:p>
        </w:tc>
      </w:tr>
      <w:tr w14:paraId="7C19C4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21" w:hRule="atLeast"/>
          <w:jc w:val="center"/>
        </w:trPr>
        <w:tc>
          <w:tcPr>
            <w:tcW w:w="1854" w:type="dxa"/>
            <w:noWrap w:val="0"/>
            <w:tcMar>
              <w:top w:w="16" w:type="dxa"/>
              <w:left w:w="16" w:type="dxa"/>
              <w:right w:w="16" w:type="dxa"/>
            </w:tcMar>
            <w:vAlign w:val="center"/>
          </w:tcPr>
          <w:p w14:paraId="7A14BFC8">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项目审批（核准/备案）部门</w:t>
            </w:r>
          </w:p>
          <w:p w14:paraId="698C9CB5">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（选填）</w:t>
            </w:r>
          </w:p>
        </w:tc>
        <w:tc>
          <w:tcPr>
            <w:tcW w:w="2230" w:type="dxa"/>
            <w:noWrap w:val="0"/>
            <w:vAlign w:val="center"/>
          </w:tcPr>
          <w:p w14:paraId="667289D1">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eastAsia"/>
                <w:color w:val="auto"/>
              </w:rPr>
            </w:pPr>
            <w:r>
              <w:rPr>
                <w:rFonts w:hint="default" w:ascii="Times New Roman" w:hAnsi="Times New Roman" w:cs="Times New Roman"/>
                <w:color w:val="auto"/>
                <w:sz w:val="24"/>
                <w:highlight w:val="none"/>
                <w:lang w:val="en-US" w:eastAsia="zh-CN"/>
              </w:rPr>
              <w:t>陕西省西咸新区沣东新城管理委员会</w:t>
            </w:r>
          </w:p>
        </w:tc>
        <w:tc>
          <w:tcPr>
            <w:tcW w:w="1877" w:type="dxa"/>
            <w:noWrap w:val="0"/>
            <w:vAlign w:val="center"/>
          </w:tcPr>
          <w:p w14:paraId="00362079">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eastAsia"/>
                <w:color w:val="auto"/>
              </w:rPr>
            </w:pPr>
            <w:r>
              <w:rPr>
                <w:rFonts w:hint="eastAsia"/>
                <w:color w:val="auto"/>
              </w:rPr>
              <w:t>项目审批（核准/</w:t>
            </w:r>
          </w:p>
          <w:p w14:paraId="3C85B65C">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eastAsia"/>
                <w:color w:val="auto"/>
              </w:rPr>
            </w:pPr>
            <w:r>
              <w:rPr>
                <w:rFonts w:hint="eastAsia"/>
                <w:color w:val="auto"/>
              </w:rPr>
              <w:t>备案）文号（选</w:t>
            </w:r>
            <w:r>
              <w:rPr>
                <w:rFonts w:hint="eastAsia"/>
                <w:color w:val="auto"/>
                <w:lang w:val="en-US" w:eastAsia="zh-CN"/>
              </w:rPr>
              <w:t xml:space="preserve"> </w:t>
            </w:r>
            <w:r>
              <w:rPr>
                <w:rFonts w:hint="eastAsia"/>
                <w:color w:val="auto"/>
              </w:rPr>
              <w:t>填）</w:t>
            </w:r>
          </w:p>
        </w:tc>
        <w:tc>
          <w:tcPr>
            <w:tcW w:w="2909" w:type="dxa"/>
            <w:noWrap w:val="0"/>
            <w:vAlign w:val="center"/>
          </w:tcPr>
          <w:p w14:paraId="3625B3F0">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w:t>
            </w:r>
          </w:p>
        </w:tc>
      </w:tr>
      <w:tr w14:paraId="26163C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854" w:type="dxa"/>
            <w:noWrap w:val="0"/>
            <w:tcMar>
              <w:top w:w="16" w:type="dxa"/>
              <w:left w:w="16" w:type="dxa"/>
              <w:right w:w="16" w:type="dxa"/>
            </w:tcMar>
            <w:vAlign w:val="center"/>
          </w:tcPr>
          <w:p w14:paraId="0CF1902E">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总投资（万元）</w:t>
            </w:r>
          </w:p>
        </w:tc>
        <w:tc>
          <w:tcPr>
            <w:tcW w:w="2230" w:type="dxa"/>
            <w:noWrap w:val="0"/>
            <w:vAlign w:val="center"/>
          </w:tcPr>
          <w:p w14:paraId="00A92316">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60000</w:t>
            </w:r>
          </w:p>
        </w:tc>
        <w:tc>
          <w:tcPr>
            <w:tcW w:w="1877" w:type="dxa"/>
            <w:noWrap w:val="0"/>
            <w:tcMar>
              <w:top w:w="16" w:type="dxa"/>
              <w:left w:w="16" w:type="dxa"/>
              <w:right w:w="16" w:type="dxa"/>
            </w:tcMar>
            <w:vAlign w:val="center"/>
          </w:tcPr>
          <w:p w14:paraId="54E08F59">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highlight w:val="none"/>
              </w:rPr>
            </w:pPr>
            <w:r>
              <w:rPr>
                <w:color w:val="auto"/>
                <w:highlight w:val="none"/>
              </w:rPr>
              <w:t>环保投资（万元）</w:t>
            </w:r>
          </w:p>
        </w:tc>
        <w:tc>
          <w:tcPr>
            <w:tcW w:w="2909" w:type="dxa"/>
            <w:noWrap w:val="0"/>
            <w:vAlign w:val="center"/>
          </w:tcPr>
          <w:p w14:paraId="6C639C8D">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200</w:t>
            </w:r>
          </w:p>
        </w:tc>
      </w:tr>
      <w:tr w14:paraId="4F0B80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854" w:type="dxa"/>
            <w:noWrap w:val="0"/>
            <w:tcMar>
              <w:top w:w="16" w:type="dxa"/>
              <w:left w:w="16" w:type="dxa"/>
              <w:right w:w="16" w:type="dxa"/>
            </w:tcMar>
            <w:vAlign w:val="center"/>
          </w:tcPr>
          <w:p w14:paraId="3836192C">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环保投资占比（%）</w:t>
            </w:r>
          </w:p>
        </w:tc>
        <w:tc>
          <w:tcPr>
            <w:tcW w:w="2230" w:type="dxa"/>
            <w:noWrap w:val="0"/>
            <w:vAlign w:val="center"/>
          </w:tcPr>
          <w:p w14:paraId="5E3D4490">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0.33</w:t>
            </w:r>
          </w:p>
        </w:tc>
        <w:tc>
          <w:tcPr>
            <w:tcW w:w="1877" w:type="dxa"/>
            <w:noWrap w:val="0"/>
            <w:tcMar>
              <w:top w:w="16" w:type="dxa"/>
              <w:left w:w="16" w:type="dxa"/>
              <w:right w:w="16" w:type="dxa"/>
            </w:tcMar>
            <w:vAlign w:val="center"/>
          </w:tcPr>
          <w:p w14:paraId="0A48F391">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highlight w:val="none"/>
              </w:rPr>
            </w:pPr>
            <w:r>
              <w:rPr>
                <w:color w:val="auto"/>
                <w:highlight w:val="none"/>
              </w:rPr>
              <w:t>施工工期</w:t>
            </w:r>
          </w:p>
        </w:tc>
        <w:tc>
          <w:tcPr>
            <w:tcW w:w="2909" w:type="dxa"/>
            <w:noWrap w:val="0"/>
            <w:vAlign w:val="center"/>
          </w:tcPr>
          <w:p w14:paraId="0EC40F7B">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highlight w:val="none"/>
              </w:rPr>
            </w:pPr>
            <w:r>
              <w:rPr>
                <w:rFonts w:hint="eastAsia"/>
                <w:color w:val="auto"/>
                <w:highlight w:val="none"/>
                <w:lang w:val="en-US" w:eastAsia="zh-CN"/>
              </w:rPr>
              <w:t>26</w:t>
            </w:r>
            <w:r>
              <w:rPr>
                <w:color w:val="auto"/>
                <w:highlight w:val="none"/>
              </w:rPr>
              <w:t>个月</w:t>
            </w:r>
          </w:p>
        </w:tc>
      </w:tr>
      <w:tr w14:paraId="43BCDB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854" w:type="dxa"/>
            <w:noWrap w:val="0"/>
            <w:tcMar>
              <w:top w:w="16" w:type="dxa"/>
              <w:left w:w="16" w:type="dxa"/>
              <w:right w:w="16" w:type="dxa"/>
            </w:tcMar>
            <w:vAlign w:val="center"/>
          </w:tcPr>
          <w:p w14:paraId="414D17AF">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是否开工建设</w:t>
            </w:r>
          </w:p>
        </w:tc>
        <w:tc>
          <w:tcPr>
            <w:tcW w:w="2230" w:type="dxa"/>
            <w:noWrap w:val="0"/>
            <w:vAlign w:val="center"/>
          </w:tcPr>
          <w:p w14:paraId="023B2D3A">
            <w:pPr>
              <w:keepNext w:val="0"/>
              <w:keepLines w:val="0"/>
              <w:pageBreakBefore w:val="0"/>
              <w:widowControl w:val="0"/>
              <w:kinsoku/>
              <w:wordWrap/>
              <w:overflowPunct/>
              <w:topLinePunct w:val="0"/>
              <w:autoSpaceDE/>
              <w:autoSpaceDN/>
              <w:bidi w:val="0"/>
              <w:adjustRightInd/>
              <w:snapToGrid/>
              <w:spacing w:line="400" w:lineRule="atLeast"/>
              <w:ind w:firstLine="0" w:firstLineChars="0"/>
              <w:textAlignment w:val="auto"/>
              <w:rPr>
                <w:color w:val="auto"/>
              </w:rPr>
            </w:pPr>
            <w:r>
              <w:rPr>
                <w:color w:val="auto"/>
              </w:rPr>
              <w:sym w:font="Wingdings 2" w:char="0052"/>
            </w:r>
            <w:r>
              <w:rPr>
                <w:color w:val="auto"/>
              </w:rPr>
              <w:t>否</w:t>
            </w:r>
          </w:p>
          <w:p w14:paraId="7C7C2114">
            <w:pPr>
              <w:keepNext w:val="0"/>
              <w:keepLines w:val="0"/>
              <w:pageBreakBefore w:val="0"/>
              <w:widowControl w:val="0"/>
              <w:kinsoku/>
              <w:wordWrap/>
              <w:overflowPunct/>
              <w:topLinePunct w:val="0"/>
              <w:autoSpaceDE/>
              <w:autoSpaceDN/>
              <w:bidi w:val="0"/>
              <w:adjustRightInd/>
              <w:snapToGrid/>
              <w:spacing w:line="400" w:lineRule="atLeast"/>
              <w:ind w:firstLine="0" w:firstLineChars="0"/>
              <w:jc w:val="both"/>
              <w:textAlignment w:val="auto"/>
              <w:rPr>
                <w:rFonts w:hint="default" w:eastAsia="宋体"/>
                <w:color w:val="auto"/>
                <w:lang w:val="en-US" w:eastAsia="zh-CN"/>
              </w:rPr>
            </w:pPr>
            <w:r>
              <w:rPr>
                <w:color w:val="auto"/>
              </w:rPr>
              <w:sym w:font="Wingdings 2" w:char="00A3"/>
            </w:r>
            <w:r>
              <w:rPr>
                <w:color w:val="auto"/>
              </w:rPr>
              <w:t>是：</w:t>
            </w:r>
            <w:r>
              <w:rPr>
                <w:rFonts w:hint="eastAsia"/>
                <w:color w:val="auto"/>
                <w:u w:val="single"/>
                <w:lang w:val="en-US" w:eastAsia="zh-CN"/>
              </w:rPr>
              <w:t xml:space="preserve">       </w:t>
            </w:r>
          </w:p>
        </w:tc>
        <w:tc>
          <w:tcPr>
            <w:tcW w:w="1877" w:type="dxa"/>
            <w:noWrap w:val="0"/>
            <w:tcMar>
              <w:top w:w="16" w:type="dxa"/>
              <w:left w:w="16" w:type="dxa"/>
              <w:right w:w="16" w:type="dxa"/>
            </w:tcMar>
            <w:vAlign w:val="center"/>
          </w:tcPr>
          <w:p w14:paraId="62707E61">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用地（用海）</w:t>
            </w:r>
          </w:p>
          <w:p w14:paraId="3017CE53">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面积（m</w:t>
            </w:r>
            <w:r>
              <w:rPr>
                <w:color w:val="auto"/>
                <w:vertAlign w:val="superscript"/>
              </w:rPr>
              <w:t>2</w:t>
            </w:r>
            <w:r>
              <w:rPr>
                <w:color w:val="auto"/>
              </w:rPr>
              <w:t>）</w:t>
            </w:r>
          </w:p>
        </w:tc>
        <w:tc>
          <w:tcPr>
            <w:tcW w:w="2909" w:type="dxa"/>
            <w:noWrap w:val="0"/>
            <w:vAlign w:val="center"/>
          </w:tcPr>
          <w:p w14:paraId="2D5C5AEA">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default"/>
                <w:color w:val="auto"/>
                <w:lang w:val="en-US"/>
              </w:rPr>
            </w:pPr>
            <w:r>
              <w:rPr>
                <w:rFonts w:hint="default"/>
                <w:color w:val="auto"/>
                <w:lang w:val="en-US" w:eastAsia="zh-CN"/>
              </w:rPr>
              <w:t>20667</w:t>
            </w:r>
          </w:p>
        </w:tc>
      </w:tr>
      <w:tr w14:paraId="5DF9AA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54" w:type="dxa"/>
            <w:noWrap w:val="0"/>
            <w:vAlign w:val="center"/>
          </w:tcPr>
          <w:p w14:paraId="317FC407">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专项评价设置情况</w:t>
            </w:r>
          </w:p>
        </w:tc>
        <w:tc>
          <w:tcPr>
            <w:tcW w:w="7016" w:type="dxa"/>
            <w:gridSpan w:val="3"/>
            <w:noWrap w:val="0"/>
            <w:vAlign w:val="center"/>
          </w:tcPr>
          <w:p w14:paraId="6087C312">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rFonts w:hint="default"/>
                <w:color w:val="auto"/>
                <w:lang w:val="en-US" w:eastAsia="zh-CN"/>
              </w:rPr>
            </w:pPr>
            <w:r>
              <w:rPr>
                <w:color w:val="auto"/>
              </w:rPr>
              <w:t>无</w:t>
            </w:r>
          </w:p>
        </w:tc>
      </w:tr>
      <w:tr w14:paraId="7F401E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54" w:type="dxa"/>
            <w:noWrap w:val="0"/>
            <w:vAlign w:val="center"/>
          </w:tcPr>
          <w:p w14:paraId="740E77F4">
            <w:pPr>
              <w:keepNext w:val="0"/>
              <w:keepLines w:val="0"/>
              <w:pageBreakBefore w:val="0"/>
              <w:widowControl w:val="0"/>
              <w:kinsoku/>
              <w:wordWrap/>
              <w:overflowPunct/>
              <w:topLinePunct w:val="0"/>
              <w:autoSpaceDE/>
              <w:autoSpaceDN/>
              <w:bidi w:val="0"/>
              <w:adjustRightInd/>
              <w:snapToGrid/>
              <w:spacing w:line="400" w:lineRule="atLeast"/>
              <w:ind w:firstLine="0" w:firstLineChars="0"/>
              <w:jc w:val="center"/>
              <w:textAlignment w:val="auto"/>
              <w:rPr>
                <w:color w:val="auto"/>
              </w:rPr>
            </w:pPr>
            <w:r>
              <w:rPr>
                <w:color w:val="auto"/>
              </w:rPr>
              <w:t>规划情况</w:t>
            </w:r>
          </w:p>
        </w:tc>
        <w:tc>
          <w:tcPr>
            <w:tcW w:w="7016" w:type="dxa"/>
            <w:gridSpan w:val="3"/>
            <w:noWrap w:val="0"/>
            <w:vAlign w:val="center"/>
          </w:tcPr>
          <w:p w14:paraId="6F920B58">
            <w:pPr>
              <w:keepNext w:val="0"/>
              <w:keepLines w:val="0"/>
              <w:pageBreakBefore w:val="0"/>
              <w:widowControl w:val="0"/>
              <w:kinsoku/>
              <w:wordWrap/>
              <w:overflowPunct/>
              <w:topLinePunct w:val="0"/>
              <w:autoSpaceDE/>
              <w:autoSpaceDN/>
              <w:bidi w:val="0"/>
              <w:adjustRightInd/>
              <w:snapToGrid/>
              <w:spacing w:line="400" w:lineRule="atLeast"/>
              <w:ind w:firstLine="0" w:firstLineChars="0"/>
              <w:jc w:val="both"/>
              <w:textAlignment w:val="auto"/>
              <w:rPr>
                <w:rFonts w:hint="default" w:eastAsia="宋体"/>
                <w:color w:val="auto"/>
              </w:rPr>
            </w:pPr>
            <w:r>
              <w:rPr>
                <w:rFonts w:hint="default" w:eastAsia="宋体"/>
                <w:color w:val="auto"/>
                <w:lang w:val="en-US" w:eastAsia="zh-CN"/>
              </w:rPr>
              <w:t>规划名称：</w:t>
            </w:r>
            <w:r>
              <w:rPr>
                <w:rFonts w:hint="default" w:ascii="Times New Roman" w:hAnsi="Times New Roman" w:cs="Times New Roman"/>
                <w:color w:val="auto"/>
                <w:sz w:val="24"/>
                <w:highlight w:val="none"/>
              </w:rPr>
              <w:t>《西咸新区</w:t>
            </w:r>
            <w:r>
              <w:rPr>
                <w:rFonts w:hint="eastAsia" w:cs="Times New Roman"/>
                <w:color w:val="auto"/>
                <w:sz w:val="24"/>
                <w:highlight w:val="none"/>
                <w:lang w:val="en-US" w:eastAsia="zh-CN"/>
              </w:rPr>
              <w:t>-</w:t>
            </w:r>
            <w:r>
              <w:rPr>
                <w:rFonts w:hint="default" w:ascii="Times New Roman" w:hAnsi="Times New Roman" w:cs="Times New Roman"/>
                <w:color w:val="auto"/>
                <w:sz w:val="24"/>
                <w:highlight w:val="none"/>
              </w:rPr>
              <w:t>沣东新城分区规划（2010-2020）》</w:t>
            </w:r>
          </w:p>
          <w:p w14:paraId="723D77FA">
            <w:pPr>
              <w:keepNext w:val="0"/>
              <w:keepLines w:val="0"/>
              <w:pageBreakBefore w:val="0"/>
              <w:widowControl w:val="0"/>
              <w:kinsoku/>
              <w:wordWrap/>
              <w:overflowPunct/>
              <w:topLinePunct w:val="0"/>
              <w:autoSpaceDE/>
              <w:autoSpaceDN/>
              <w:bidi w:val="0"/>
              <w:adjustRightInd/>
              <w:snapToGrid/>
              <w:spacing w:line="400" w:lineRule="atLeast"/>
              <w:ind w:firstLine="0" w:firstLineChars="0"/>
              <w:jc w:val="both"/>
              <w:textAlignment w:val="auto"/>
              <w:rPr>
                <w:rFonts w:hint="default" w:eastAsia="宋体"/>
                <w:color w:val="auto"/>
                <w:lang w:val="en-US" w:eastAsia="zh-CN"/>
              </w:rPr>
            </w:pPr>
            <w:r>
              <w:rPr>
                <w:rFonts w:hint="default" w:eastAsia="宋体"/>
                <w:color w:val="auto"/>
                <w:lang w:val="en-US" w:eastAsia="zh-CN"/>
              </w:rPr>
              <w:t>审批机关：</w:t>
            </w:r>
            <w:r>
              <w:rPr>
                <w:rFonts w:hint="default" w:ascii="Times New Roman" w:hAnsi="Times New Roman" w:cs="Times New Roman"/>
                <w:color w:val="auto"/>
                <w:sz w:val="24"/>
                <w:highlight w:val="none"/>
              </w:rPr>
              <w:t>陕西省城乡规划委员会；</w:t>
            </w:r>
          </w:p>
        </w:tc>
      </w:tr>
      <w:tr w14:paraId="2251E6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54" w:type="dxa"/>
            <w:noWrap w:val="0"/>
            <w:vAlign w:val="center"/>
          </w:tcPr>
          <w:p w14:paraId="1B053346">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rPr>
            </w:pPr>
            <w:r>
              <w:rPr>
                <w:color w:val="auto"/>
              </w:rPr>
              <w:t>规划环境影响评价情况</w:t>
            </w:r>
          </w:p>
        </w:tc>
        <w:tc>
          <w:tcPr>
            <w:tcW w:w="7016" w:type="dxa"/>
            <w:gridSpan w:val="3"/>
            <w:noWrap w:val="0"/>
            <w:vAlign w:val="center"/>
          </w:tcPr>
          <w:p w14:paraId="1356A006">
            <w:pPr>
              <w:keepNext w:val="0"/>
              <w:keepLines w:val="0"/>
              <w:pageBreakBefore w:val="0"/>
              <w:widowControl w:val="0"/>
              <w:kinsoku/>
              <w:wordWrap/>
              <w:overflowPunct/>
              <w:topLinePunct w:val="0"/>
              <w:autoSpaceDE/>
              <w:autoSpaceDN/>
              <w:bidi w:val="0"/>
              <w:adjustRightInd/>
              <w:snapToGrid/>
              <w:spacing w:line="400" w:lineRule="atLeast"/>
              <w:ind w:firstLine="0" w:firstLineChars="0"/>
              <w:jc w:val="both"/>
              <w:textAlignment w:val="auto"/>
              <w:rPr>
                <w:rFonts w:hint="default" w:eastAsia="宋体"/>
                <w:color w:val="auto"/>
                <w:lang w:val="en-US" w:eastAsia="zh-CN"/>
              </w:rPr>
            </w:pPr>
            <w:r>
              <w:rPr>
                <w:rFonts w:hint="default" w:eastAsia="宋体"/>
                <w:color w:val="auto"/>
                <w:lang w:val="en-US" w:eastAsia="zh-CN"/>
              </w:rPr>
              <w:t>规划环评名称：《西咸新区-沣东新城分区规划（2010-2020）环境影响报告书》；</w:t>
            </w:r>
          </w:p>
          <w:p w14:paraId="5F9EB8EF">
            <w:pPr>
              <w:keepNext w:val="0"/>
              <w:keepLines w:val="0"/>
              <w:pageBreakBefore w:val="0"/>
              <w:widowControl w:val="0"/>
              <w:kinsoku/>
              <w:wordWrap/>
              <w:overflowPunct/>
              <w:topLinePunct w:val="0"/>
              <w:autoSpaceDE/>
              <w:autoSpaceDN/>
              <w:bidi w:val="0"/>
              <w:adjustRightInd/>
              <w:snapToGrid/>
              <w:spacing w:line="400" w:lineRule="atLeast"/>
              <w:ind w:firstLine="0" w:firstLineChars="0"/>
              <w:jc w:val="both"/>
              <w:textAlignment w:val="auto"/>
              <w:rPr>
                <w:rFonts w:hint="eastAsia" w:eastAsia="宋体"/>
                <w:color w:val="auto"/>
                <w:lang w:val="en-US" w:eastAsia="zh-CN"/>
              </w:rPr>
            </w:pPr>
            <w:r>
              <w:rPr>
                <w:rFonts w:hint="eastAsia"/>
                <w:color w:val="auto"/>
                <w:lang w:val="en-US" w:eastAsia="zh-CN"/>
              </w:rPr>
              <w:t>召集审查机关：西安市环境保护局</w:t>
            </w:r>
          </w:p>
          <w:p w14:paraId="1F231F8C">
            <w:pPr>
              <w:keepNext w:val="0"/>
              <w:keepLines w:val="0"/>
              <w:pageBreakBefore w:val="0"/>
              <w:widowControl w:val="0"/>
              <w:kinsoku/>
              <w:wordWrap/>
              <w:overflowPunct/>
              <w:topLinePunct w:val="0"/>
              <w:autoSpaceDE/>
              <w:autoSpaceDN/>
              <w:bidi w:val="0"/>
              <w:adjustRightInd/>
              <w:snapToGrid/>
              <w:spacing w:line="400" w:lineRule="atLeast"/>
              <w:ind w:firstLine="0" w:firstLineChars="0"/>
              <w:jc w:val="both"/>
              <w:textAlignment w:val="auto"/>
              <w:rPr>
                <w:rFonts w:hint="default" w:eastAsia="宋体"/>
                <w:color w:val="auto"/>
                <w:lang w:val="en-US" w:eastAsia="zh-CN"/>
              </w:rPr>
            </w:pPr>
            <w:r>
              <w:rPr>
                <w:rFonts w:hint="eastAsia"/>
                <w:color w:val="auto"/>
                <w:lang w:val="en-US" w:eastAsia="zh-CN"/>
              </w:rPr>
              <w:t>审查文件名称及</w:t>
            </w:r>
            <w:r>
              <w:rPr>
                <w:rFonts w:hint="default" w:eastAsia="宋体"/>
                <w:color w:val="auto"/>
                <w:lang w:val="en-US" w:eastAsia="zh-CN"/>
              </w:rPr>
              <w:t>文号：西安市环境保护局关于《西咸新区-沣东新城分区规划（2010-2020）环境影响报告书》的审查意见（市环函〔2014〕20号）。</w:t>
            </w:r>
          </w:p>
        </w:tc>
      </w:tr>
      <w:tr w14:paraId="15872E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54" w:type="dxa"/>
            <w:noWrap w:val="0"/>
            <w:vAlign w:val="center"/>
          </w:tcPr>
          <w:p w14:paraId="0F90E45A">
            <w:pPr>
              <w:spacing w:line="360" w:lineRule="atLeast"/>
              <w:ind w:firstLine="0" w:firstLineChars="0"/>
              <w:jc w:val="center"/>
              <w:rPr>
                <w:color w:val="auto"/>
              </w:rPr>
            </w:pPr>
            <w:r>
              <w:rPr>
                <w:color w:val="auto"/>
              </w:rPr>
              <w:t>规划及规划环境影响评价符合性分析</w:t>
            </w:r>
          </w:p>
        </w:tc>
        <w:tc>
          <w:tcPr>
            <w:tcW w:w="7016" w:type="dxa"/>
            <w:gridSpan w:val="3"/>
            <w:noWrap w:val="0"/>
            <w:vAlign w:val="top"/>
          </w:tcPr>
          <w:p w14:paraId="5A4B62B5">
            <w:pPr>
              <w:pStyle w:val="24"/>
              <w:bidi w:val="0"/>
              <w:rPr>
                <w:rFonts w:hint="eastAsia"/>
                <w:color w:val="auto"/>
                <w:sz w:val="24"/>
                <w:szCs w:val="24"/>
                <w:lang w:val="en-US" w:eastAsia="zh-CN"/>
              </w:rPr>
            </w:pPr>
            <w:r>
              <w:rPr>
                <w:rFonts w:hint="eastAsia"/>
                <w:color w:val="auto"/>
                <w:sz w:val="24"/>
                <w:szCs w:val="24"/>
                <w:lang w:val="en-US" w:eastAsia="zh-CN"/>
              </w:rPr>
              <w:t>表1-1  本项目与规划、规划环评及其审查意见相符性分析</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2662"/>
              <w:gridCol w:w="2245"/>
              <w:gridCol w:w="681"/>
            </w:tblGrid>
            <w:tr w14:paraId="57A6F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82" w:type="pct"/>
                  <w:noWrap w:val="0"/>
                  <w:vAlign w:val="center"/>
                </w:tcPr>
                <w:p w14:paraId="791C3E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规划名称</w:t>
                  </w:r>
                </w:p>
              </w:tc>
              <w:tc>
                <w:tcPr>
                  <w:tcW w:w="1961" w:type="pct"/>
                  <w:noWrap w:val="0"/>
                  <w:vAlign w:val="center"/>
                </w:tcPr>
                <w:p w14:paraId="5538C8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规划环评及审查意见要求</w:t>
                  </w:r>
                </w:p>
              </w:tc>
              <w:tc>
                <w:tcPr>
                  <w:tcW w:w="1654" w:type="pct"/>
                  <w:noWrap w:val="0"/>
                  <w:vAlign w:val="center"/>
                </w:tcPr>
                <w:p w14:paraId="396F63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本项目情况</w:t>
                  </w:r>
                </w:p>
              </w:tc>
              <w:tc>
                <w:tcPr>
                  <w:tcW w:w="501" w:type="pct"/>
                  <w:noWrap w:val="0"/>
                  <w:vAlign w:val="center"/>
                </w:tcPr>
                <w:p w14:paraId="3336A62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符合性</w:t>
                  </w:r>
                </w:p>
              </w:tc>
            </w:tr>
            <w:tr w14:paraId="14978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0" w:hRule="atLeast"/>
                <w:jc w:val="center"/>
              </w:trPr>
              <w:tc>
                <w:tcPr>
                  <w:tcW w:w="882" w:type="pct"/>
                  <w:vMerge w:val="restart"/>
                  <w:noWrap w:val="0"/>
                  <w:vAlign w:val="center"/>
                </w:tcPr>
                <w:p w14:paraId="29939FB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kern w:val="0"/>
                      <w:sz w:val="21"/>
                      <w:szCs w:val="21"/>
                      <w:highlight w:val="none"/>
                    </w:rPr>
                  </w:pPr>
                  <w:r>
                    <w:rPr>
                      <w:rFonts w:hint="default" w:eastAsia="宋体"/>
                      <w:color w:val="auto"/>
                      <w:sz w:val="21"/>
                      <w:szCs w:val="21"/>
                      <w:lang w:val="en-US" w:eastAsia="zh-CN"/>
                    </w:rPr>
                    <w:t>《</w:t>
                  </w:r>
                  <w:r>
                    <w:rPr>
                      <w:rFonts w:hint="default" w:ascii="Times New Roman" w:hAnsi="Times New Roman" w:cs="Times New Roman"/>
                      <w:color w:val="auto"/>
                      <w:kern w:val="0"/>
                      <w:sz w:val="21"/>
                      <w:szCs w:val="21"/>
                      <w:highlight w:val="none"/>
                    </w:rPr>
                    <w:t>西咸新区</w:t>
                  </w:r>
                  <w:r>
                    <w:rPr>
                      <w:rFonts w:hint="eastAsia" w:cs="Times New Roman"/>
                      <w:color w:val="auto"/>
                      <w:kern w:val="0"/>
                      <w:sz w:val="21"/>
                      <w:szCs w:val="21"/>
                      <w:highlight w:val="none"/>
                      <w:lang w:val="en-US" w:eastAsia="zh-CN"/>
                    </w:rPr>
                    <w:t>-</w:t>
                  </w:r>
                  <w:r>
                    <w:rPr>
                      <w:rFonts w:hint="default" w:ascii="Times New Roman" w:hAnsi="Times New Roman" w:cs="Times New Roman"/>
                      <w:color w:val="auto"/>
                      <w:kern w:val="0"/>
                      <w:sz w:val="21"/>
                      <w:szCs w:val="21"/>
                      <w:highlight w:val="none"/>
                    </w:rPr>
                    <w:t>沣东新城分区规划（2010-</w:t>
                  </w:r>
                </w:p>
                <w:p w14:paraId="4B6BD4E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auto"/>
                      <w:sz w:val="21"/>
                      <w:szCs w:val="21"/>
                      <w:lang w:val="en-US" w:eastAsia="zh-CN"/>
                    </w:rPr>
                  </w:pPr>
                  <w:r>
                    <w:rPr>
                      <w:rFonts w:hint="default" w:ascii="Times New Roman" w:hAnsi="Times New Roman" w:cs="Times New Roman"/>
                      <w:color w:val="auto"/>
                      <w:kern w:val="0"/>
                      <w:sz w:val="21"/>
                      <w:szCs w:val="21"/>
                      <w:highlight w:val="none"/>
                    </w:rPr>
                    <w:t>2020）</w:t>
                  </w:r>
                  <w:r>
                    <w:rPr>
                      <w:rFonts w:hint="default" w:eastAsia="宋体"/>
                      <w:color w:val="auto"/>
                      <w:sz w:val="21"/>
                      <w:szCs w:val="21"/>
                      <w:lang w:val="en-US" w:eastAsia="zh-CN"/>
                    </w:rPr>
                    <w:t>》</w:t>
                  </w:r>
                </w:p>
              </w:tc>
              <w:tc>
                <w:tcPr>
                  <w:tcW w:w="1961" w:type="pct"/>
                  <w:noWrap w:val="0"/>
                  <w:vAlign w:val="center"/>
                </w:tcPr>
                <w:p w14:paraId="62DBB81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沣东新城的定位为西部地区统筹科技资源示范基地，高新技术研发和会展中心，大西安未来将建设成为具有东方人文特色的生态化国际新城。规划形成</w:t>
                  </w:r>
                  <w:r>
                    <w:rPr>
                      <w:rFonts w:hint="eastAsia" w:ascii="Times New Roman" w:hAnsi="Times New Roman" w:eastAsia="宋体" w:cs="Times New Roman"/>
                      <w:color w:val="auto"/>
                      <w:kern w:val="0"/>
                      <w:sz w:val="21"/>
                      <w:szCs w:val="21"/>
                      <w:highlight w:val="none"/>
                      <w:lang w:val="en-US" w:eastAsia="zh-CN"/>
                    </w:rPr>
                    <w:t>“</w:t>
                  </w:r>
                  <w:r>
                    <w:rPr>
                      <w:rFonts w:hint="default" w:ascii="Times New Roman" w:hAnsi="Times New Roman" w:eastAsia="宋体" w:cs="Times New Roman"/>
                      <w:color w:val="auto"/>
                      <w:kern w:val="0"/>
                      <w:sz w:val="21"/>
                      <w:szCs w:val="21"/>
                      <w:highlight w:val="none"/>
                      <w:lang w:val="en-US" w:eastAsia="zh-CN"/>
                    </w:rPr>
                    <w:t>两带、七板块</w:t>
                  </w:r>
                  <w:r>
                    <w:rPr>
                      <w:rFonts w:hint="eastAsia" w:ascii="Times New Roman" w:hAnsi="Times New Roman" w:eastAsia="宋体" w:cs="Times New Roman"/>
                      <w:color w:val="auto"/>
                      <w:kern w:val="0"/>
                      <w:sz w:val="21"/>
                      <w:szCs w:val="21"/>
                      <w:highlight w:val="none"/>
                      <w:lang w:val="en-US" w:eastAsia="zh-CN"/>
                    </w:rPr>
                    <w:t>”</w:t>
                  </w:r>
                  <w:r>
                    <w:rPr>
                      <w:rFonts w:hint="default" w:ascii="Times New Roman" w:hAnsi="Times New Roman" w:eastAsia="宋体" w:cs="Times New Roman"/>
                      <w:color w:val="auto"/>
                      <w:kern w:val="0"/>
                      <w:sz w:val="21"/>
                      <w:szCs w:val="21"/>
                      <w:highlight w:val="none"/>
                      <w:lang w:val="en-US" w:eastAsia="zh-CN"/>
                    </w:rPr>
                    <w:t>的空间格局，两带：周秦汉历史文化景观带、沣河景观风貌带，七板块：奥体文化休闲板块、六村堡现代产业板块、三桥商贸综合板块、科技统筹示范板块、阿房宫人文旅游板块、昆明池生态休闲板块和镐京立体城市板块七大板块。</w:t>
                  </w:r>
                </w:p>
              </w:tc>
              <w:tc>
                <w:tcPr>
                  <w:tcW w:w="1654" w:type="pct"/>
                  <w:vMerge w:val="restart"/>
                  <w:noWrap w:val="0"/>
                  <w:vAlign w:val="center"/>
                </w:tcPr>
                <w:p w14:paraId="215CF1DD">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both"/>
                    <w:textAlignment w:val="auto"/>
                    <w:rPr>
                      <w:rFonts w:hint="default"/>
                      <w:color w:val="auto"/>
                      <w:kern w:val="0"/>
                      <w:sz w:val="21"/>
                      <w:szCs w:val="21"/>
                      <w:highlight w:val="none"/>
                    </w:rPr>
                  </w:pPr>
                  <w:r>
                    <w:rPr>
                      <w:rFonts w:hint="eastAsia" w:ascii="Times New Roman" w:hAnsi="Times New Roman" w:cs="Times New Roman"/>
                      <w:color w:val="auto"/>
                      <w:kern w:val="0"/>
                      <w:sz w:val="21"/>
                      <w:szCs w:val="21"/>
                      <w:highlight w:val="none"/>
                      <w:lang w:eastAsia="zh-CN"/>
                    </w:rPr>
                    <w:t>本项目位于</w:t>
                  </w:r>
                  <w:r>
                    <w:rPr>
                      <w:rFonts w:hint="default" w:ascii="Times New Roman" w:hAnsi="Times New Roman" w:cs="Times New Roman"/>
                      <w:color w:val="auto"/>
                      <w:kern w:val="0"/>
                      <w:sz w:val="21"/>
                      <w:szCs w:val="21"/>
                      <w:highlight w:val="none"/>
                      <w:lang w:val="en-US" w:eastAsia="zh-CN"/>
                    </w:rPr>
                    <w:t>沣东新城统筹科技资源改革示范基地王寺西街与科源四路交叉口东北方向</w:t>
                  </w:r>
                  <w:r>
                    <w:rPr>
                      <w:rFonts w:hint="default" w:cs="Times New Roman"/>
                      <w:color w:val="auto"/>
                      <w:kern w:val="0"/>
                      <w:sz w:val="21"/>
                      <w:szCs w:val="21"/>
                      <w:highlight w:val="none"/>
                      <w:lang w:val="en-US" w:eastAsia="zh-CN"/>
                    </w:rPr>
                    <w:t>，项目所在地属于</w:t>
                  </w:r>
                  <w:r>
                    <w:rPr>
                      <w:rFonts w:hint="default" w:ascii="Times New Roman" w:hAnsi="Times New Roman" w:cs="Times New Roman"/>
                      <w:color w:val="auto"/>
                      <w:kern w:val="0"/>
                      <w:sz w:val="21"/>
                      <w:szCs w:val="21"/>
                      <w:highlight w:val="none"/>
                      <w:lang w:val="en-US" w:eastAsia="zh-CN"/>
                    </w:rPr>
                    <w:t>科技统筹示范板块</w:t>
                  </w:r>
                  <w:r>
                    <w:rPr>
                      <w:rFonts w:hint="default" w:cs="Times New Roman"/>
                      <w:color w:val="auto"/>
                      <w:kern w:val="0"/>
                      <w:sz w:val="21"/>
                      <w:szCs w:val="21"/>
                      <w:highlight w:val="none"/>
                      <w:lang w:val="en-US" w:eastAsia="zh-CN"/>
                    </w:rPr>
                    <w:t>，本项目</w:t>
                  </w:r>
                  <w:r>
                    <w:rPr>
                      <w:rFonts w:hint="default"/>
                      <w:color w:val="auto"/>
                      <w:kern w:val="0"/>
                      <w:sz w:val="21"/>
                      <w:szCs w:val="21"/>
                      <w:highlight w:val="none"/>
                      <w:lang w:val="en-US" w:eastAsia="zh-CN"/>
                    </w:rPr>
                    <w:t>主</w:t>
                  </w:r>
                  <w:r>
                    <w:rPr>
                      <w:rFonts w:hint="eastAsia"/>
                      <w:color w:val="auto"/>
                      <w:kern w:val="0"/>
                      <w:sz w:val="21"/>
                      <w:szCs w:val="21"/>
                      <w:highlight w:val="none"/>
                      <w:lang w:val="en-US" w:eastAsia="zh-CN"/>
                    </w:rPr>
                    <w:t>要从事</w:t>
                  </w:r>
                  <w:r>
                    <w:rPr>
                      <w:rFonts w:hint="eastAsia"/>
                      <w:color w:val="auto"/>
                      <w:kern w:val="0"/>
                      <w:sz w:val="21"/>
                      <w:szCs w:val="21"/>
                      <w:highlight w:val="none"/>
                    </w:rPr>
                    <w:t>汇川技术总部结算</w:t>
                  </w:r>
                  <w:r>
                    <w:rPr>
                      <w:rFonts w:hint="default"/>
                      <w:color w:val="auto"/>
                      <w:kern w:val="0"/>
                      <w:sz w:val="21"/>
                      <w:szCs w:val="21"/>
                      <w:highlight w:val="none"/>
                      <w:lang w:eastAsia="zh-CN"/>
                    </w:rPr>
                    <w:t>（</w:t>
                  </w:r>
                  <w:r>
                    <w:rPr>
                      <w:rFonts w:hint="default" w:ascii="Times New Roman" w:hAnsi="Times New Roman" w:eastAsia="宋体" w:cs="Times New Roman"/>
                      <w:i w:val="0"/>
                      <w:iCs w:val="0"/>
                      <w:caps w:val="0"/>
                      <w:color w:val="auto"/>
                      <w:spacing w:val="0"/>
                      <w:kern w:val="0"/>
                      <w:sz w:val="21"/>
                      <w:szCs w:val="21"/>
                      <w:highlight w:val="none"/>
                      <w:shd w:val="clear"/>
                    </w:rPr>
                    <w:t>负责下属公司投融资、资金收付和统一结算</w:t>
                  </w:r>
                  <w:r>
                    <w:rPr>
                      <w:rFonts w:hint="default" w:cs="Times New Roman"/>
                      <w:i w:val="0"/>
                      <w:iCs w:val="0"/>
                      <w:caps w:val="0"/>
                      <w:color w:val="auto"/>
                      <w:spacing w:val="0"/>
                      <w:kern w:val="0"/>
                      <w:sz w:val="21"/>
                      <w:szCs w:val="21"/>
                      <w:highlight w:val="none"/>
                      <w:shd w:val="clear"/>
                      <w:lang w:eastAsia="zh-CN"/>
                    </w:rPr>
                    <w:t>）</w:t>
                  </w:r>
                  <w:r>
                    <w:rPr>
                      <w:rFonts w:hint="default"/>
                      <w:color w:val="auto"/>
                      <w:kern w:val="0"/>
                      <w:sz w:val="21"/>
                      <w:szCs w:val="21"/>
                      <w:highlight w:val="none"/>
                    </w:rPr>
                    <w:t>、工业自动化软硬件</w:t>
                  </w:r>
                  <w:r>
                    <w:rPr>
                      <w:rFonts w:hint="default"/>
                      <w:color w:val="auto"/>
                      <w:kern w:val="0"/>
                      <w:sz w:val="21"/>
                      <w:szCs w:val="21"/>
                      <w:highlight w:val="none"/>
                      <w:lang w:eastAsia="zh-CN"/>
                    </w:rPr>
                    <w:t>（</w:t>
                  </w:r>
                  <w:r>
                    <w:rPr>
                      <w:rFonts w:hint="default"/>
                      <w:color w:val="auto"/>
                      <w:kern w:val="0"/>
                      <w:sz w:val="21"/>
                      <w:szCs w:val="21"/>
                      <w:highlight w:val="none"/>
                      <w:lang w:val="en-US" w:eastAsia="zh-CN"/>
                    </w:rPr>
                    <w:t>包括自动化设备和自动化软件）</w:t>
                  </w:r>
                  <w:r>
                    <w:rPr>
                      <w:rFonts w:hint="default"/>
                      <w:color w:val="auto"/>
                      <w:kern w:val="0"/>
                      <w:sz w:val="21"/>
                      <w:szCs w:val="21"/>
                      <w:highlight w:val="none"/>
                    </w:rPr>
                    <w:t>、新能源汽车联合动</w:t>
                  </w:r>
                </w:p>
                <w:p w14:paraId="4E9B665B">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both"/>
                    <w:textAlignment w:val="auto"/>
                    <w:rPr>
                      <w:rFonts w:hint="default" w:eastAsia="宋体"/>
                      <w:color w:val="auto"/>
                      <w:kern w:val="0"/>
                      <w:sz w:val="21"/>
                      <w:szCs w:val="21"/>
                      <w:highlight w:val="none"/>
                      <w:lang w:val="en-US" w:eastAsia="zh-CN"/>
                    </w:rPr>
                  </w:pPr>
                  <w:r>
                    <w:rPr>
                      <w:rFonts w:hint="default"/>
                      <w:color w:val="auto"/>
                      <w:kern w:val="0"/>
                      <w:sz w:val="21"/>
                      <w:szCs w:val="21"/>
                      <w:highlight w:val="none"/>
                    </w:rPr>
                    <w:t>力</w:t>
                  </w:r>
                  <w:r>
                    <w:rPr>
                      <w:rFonts w:hint="default"/>
                      <w:color w:val="auto"/>
                      <w:kern w:val="0"/>
                      <w:sz w:val="21"/>
                      <w:szCs w:val="21"/>
                      <w:highlight w:val="none"/>
                      <w:lang w:eastAsia="zh-CN"/>
                    </w:rPr>
                    <w:t>（</w:t>
                  </w:r>
                  <w:r>
                    <w:rPr>
                      <w:rFonts w:hint="default" w:ascii="Times New Roman" w:hAnsi="Times New Roman" w:eastAsia="宋体" w:cs="Times New Roman"/>
                      <w:i w:val="0"/>
                      <w:iCs w:val="0"/>
                      <w:caps w:val="0"/>
                      <w:color w:val="auto"/>
                      <w:spacing w:val="0"/>
                      <w:kern w:val="0"/>
                      <w:sz w:val="21"/>
                      <w:szCs w:val="21"/>
                      <w:highlight w:val="none"/>
                      <w:shd w:val="clear"/>
                    </w:rPr>
                    <w:t>包括</w:t>
                  </w:r>
                  <w:r>
                    <w:rPr>
                      <w:rFonts w:hint="default"/>
                      <w:color w:val="auto"/>
                      <w:kern w:val="0"/>
                      <w:sz w:val="21"/>
                      <w:szCs w:val="21"/>
                      <w:highlight w:val="none"/>
                    </w:rPr>
                    <w:t>新能源汽车</w:t>
                  </w:r>
                  <w:r>
                    <w:rPr>
                      <w:rFonts w:hint="default" w:ascii="Times New Roman" w:hAnsi="Times New Roman" w:eastAsia="宋体" w:cs="Times New Roman"/>
                      <w:i w:val="0"/>
                      <w:iCs w:val="0"/>
                      <w:caps w:val="0"/>
                      <w:color w:val="auto"/>
                      <w:spacing w:val="0"/>
                      <w:kern w:val="0"/>
                      <w:sz w:val="21"/>
                      <w:szCs w:val="21"/>
                      <w:highlight w:val="none"/>
                      <w:shd w:val="clear"/>
                    </w:rPr>
                    <w:t>电驱系统</w:t>
                  </w:r>
                  <w:r>
                    <w:rPr>
                      <w:rFonts w:hint="default" w:cs="Times New Roman"/>
                      <w:i w:val="0"/>
                      <w:iCs w:val="0"/>
                      <w:caps w:val="0"/>
                      <w:color w:val="auto"/>
                      <w:spacing w:val="0"/>
                      <w:kern w:val="0"/>
                      <w:sz w:val="21"/>
                      <w:szCs w:val="21"/>
                      <w:highlight w:val="none"/>
                      <w:shd w:val="clear"/>
                      <w:lang w:val="en-US" w:eastAsia="zh-CN"/>
                    </w:rPr>
                    <w:t>和</w:t>
                  </w:r>
                  <w:r>
                    <w:rPr>
                      <w:rFonts w:hint="default" w:ascii="Times New Roman" w:hAnsi="Times New Roman" w:eastAsia="宋体" w:cs="Times New Roman"/>
                      <w:i w:val="0"/>
                      <w:iCs w:val="0"/>
                      <w:caps w:val="0"/>
                      <w:color w:val="auto"/>
                      <w:spacing w:val="0"/>
                      <w:kern w:val="0"/>
                      <w:sz w:val="21"/>
                      <w:szCs w:val="21"/>
                      <w:highlight w:val="none"/>
                      <w:shd w:val="clear"/>
                    </w:rPr>
                    <w:t>电源系统等动力系统核心部件</w:t>
                  </w:r>
                  <w:r>
                    <w:rPr>
                      <w:rFonts w:hint="default" w:ascii="Times New Roman" w:hAnsi="Times New Roman" w:eastAsia="宋体" w:cs="Times New Roman"/>
                      <w:i w:val="0"/>
                      <w:iCs w:val="0"/>
                      <w:caps w:val="0"/>
                      <w:color w:val="auto"/>
                      <w:spacing w:val="0"/>
                      <w:kern w:val="0"/>
                      <w:sz w:val="21"/>
                      <w:szCs w:val="21"/>
                      <w:highlight w:val="none"/>
                      <w:shd w:val="clear"/>
                      <w:lang w:eastAsia="zh-CN"/>
                    </w:rPr>
                    <w:t>）</w:t>
                  </w:r>
                  <w:r>
                    <w:rPr>
                      <w:rFonts w:hint="default"/>
                      <w:color w:val="auto"/>
                      <w:kern w:val="0"/>
                      <w:sz w:val="21"/>
                      <w:szCs w:val="21"/>
                      <w:highlight w:val="none"/>
                    </w:rPr>
                    <w:t>、储能设备</w:t>
                  </w:r>
                  <w:r>
                    <w:rPr>
                      <w:rFonts w:hint="default"/>
                      <w:color w:val="auto"/>
                      <w:kern w:val="0"/>
                      <w:sz w:val="21"/>
                      <w:szCs w:val="21"/>
                      <w:highlight w:val="none"/>
                      <w:lang w:eastAsia="zh-CN"/>
                    </w:rPr>
                    <w:t>（</w:t>
                  </w:r>
                  <w:r>
                    <w:rPr>
                      <w:rFonts w:hint="default"/>
                      <w:color w:val="auto"/>
                      <w:kern w:val="0"/>
                      <w:sz w:val="21"/>
                      <w:szCs w:val="21"/>
                      <w:highlight w:val="none"/>
                      <w:lang w:val="en-US" w:eastAsia="zh-CN"/>
                    </w:rPr>
                    <w:t>包括储能变流器、储能逆变器、光储逆变器和储能一体机等设备的核心零部件）</w:t>
                  </w:r>
                  <w:r>
                    <w:rPr>
                      <w:rFonts w:hint="default"/>
                      <w:color w:val="auto"/>
                      <w:kern w:val="0"/>
                      <w:sz w:val="21"/>
                      <w:szCs w:val="21"/>
                      <w:highlight w:val="none"/>
                    </w:rPr>
                    <w:t>等领域的研发业务。</w:t>
                  </w:r>
                  <w:r>
                    <w:rPr>
                      <w:rFonts w:hint="default"/>
                      <w:color w:val="auto"/>
                      <w:kern w:val="0"/>
                      <w:sz w:val="21"/>
                      <w:szCs w:val="21"/>
                      <w:highlight w:val="none"/>
                      <w:lang w:val="en-US" w:eastAsia="zh-CN"/>
                    </w:rPr>
                    <w:t>属于</w:t>
                  </w:r>
                  <w:r>
                    <w:rPr>
                      <w:rFonts w:hint="default"/>
                      <w:color w:val="auto"/>
                      <w:kern w:val="0"/>
                      <w:sz w:val="21"/>
                      <w:szCs w:val="21"/>
                      <w:highlight w:val="none"/>
                      <w:lang w:eastAsia="zh-CN"/>
                    </w:rPr>
                    <w:t>工程和技术研究和试验发展</w:t>
                  </w:r>
                  <w:r>
                    <w:rPr>
                      <w:rFonts w:hint="default"/>
                      <w:color w:val="auto"/>
                      <w:kern w:val="0"/>
                      <w:sz w:val="21"/>
                      <w:szCs w:val="21"/>
                      <w:highlight w:val="none"/>
                      <w:lang w:val="en-US" w:eastAsia="zh-CN"/>
                    </w:rPr>
                    <w:t>行业，</w:t>
                  </w:r>
                  <w:r>
                    <w:rPr>
                      <w:rFonts w:hint="default" w:ascii="Times New Roman" w:hAnsi="Times New Roman" w:cs="Times New Roman"/>
                      <w:color w:val="auto"/>
                      <w:kern w:val="0"/>
                      <w:sz w:val="21"/>
                      <w:szCs w:val="21"/>
                      <w:highlight w:val="none"/>
                      <w:lang w:val="en-US" w:eastAsia="zh-CN"/>
                    </w:rPr>
                    <w:t>项目</w:t>
                  </w:r>
                  <w:r>
                    <w:rPr>
                      <w:rFonts w:hint="default" w:ascii="Times New Roman" w:hAnsi="Times New Roman" w:cs="Times New Roman"/>
                      <w:color w:val="auto"/>
                      <w:kern w:val="0"/>
                      <w:sz w:val="21"/>
                      <w:szCs w:val="21"/>
                      <w:highlight w:val="none"/>
                    </w:rPr>
                    <w:t>符合规划产业定位</w:t>
                  </w:r>
                  <w:r>
                    <w:rPr>
                      <w:rFonts w:hint="default" w:ascii="Times New Roman" w:hAnsi="Times New Roman" w:cs="Times New Roman"/>
                      <w:color w:val="auto"/>
                      <w:kern w:val="0"/>
                      <w:sz w:val="21"/>
                      <w:szCs w:val="21"/>
                      <w:highlight w:val="none"/>
                      <w:lang w:eastAsia="zh-CN"/>
                    </w:rPr>
                    <w:t>。</w:t>
                  </w:r>
                </w:p>
              </w:tc>
              <w:tc>
                <w:tcPr>
                  <w:tcW w:w="501" w:type="pct"/>
                  <w:noWrap w:val="0"/>
                  <w:vAlign w:val="center"/>
                </w:tcPr>
                <w:p w14:paraId="66181D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符合</w:t>
                  </w:r>
                </w:p>
              </w:tc>
            </w:tr>
            <w:tr w14:paraId="16C49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3" w:hRule="atLeast"/>
                <w:jc w:val="center"/>
              </w:trPr>
              <w:tc>
                <w:tcPr>
                  <w:tcW w:w="882" w:type="pct"/>
                  <w:vMerge w:val="continue"/>
                  <w:noWrap w:val="0"/>
                  <w:vAlign w:val="center"/>
                </w:tcPr>
                <w:p w14:paraId="1D16AE6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auto"/>
                      <w:sz w:val="21"/>
                      <w:szCs w:val="21"/>
                      <w:lang w:val="en-US" w:eastAsia="zh-CN"/>
                    </w:rPr>
                  </w:pPr>
                </w:p>
              </w:tc>
              <w:tc>
                <w:tcPr>
                  <w:tcW w:w="1961" w:type="pct"/>
                  <w:noWrap w:val="0"/>
                  <w:vAlign w:val="center"/>
                </w:tcPr>
                <w:p w14:paraId="1A01A2B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auto"/>
                      <w:sz w:val="21"/>
                      <w:szCs w:val="21"/>
                      <w:lang w:val="en-US" w:eastAsia="zh-CN"/>
                    </w:rPr>
                  </w:pPr>
                  <w:r>
                    <w:rPr>
                      <w:rFonts w:hint="default" w:ascii="Times New Roman" w:hAnsi="Times New Roman" w:cs="Times New Roman"/>
                      <w:color w:val="auto"/>
                      <w:kern w:val="0"/>
                      <w:sz w:val="21"/>
                      <w:szCs w:val="21"/>
                      <w:highlight w:val="none"/>
                      <w:lang w:val="en-US" w:eastAsia="zh-CN"/>
                    </w:rPr>
                    <w:t>科学城科技统筹板块</w:t>
                  </w:r>
                  <w:r>
                    <w:rPr>
                      <w:rFonts w:hint="default" w:cs="Times New Roman"/>
                      <w:color w:val="auto"/>
                      <w:kern w:val="0"/>
                      <w:sz w:val="21"/>
                      <w:szCs w:val="21"/>
                      <w:highlight w:val="none"/>
                      <w:lang w:val="en-US" w:eastAsia="zh-CN"/>
                    </w:rPr>
                    <w:t>：</w:t>
                  </w:r>
                  <w:r>
                    <w:rPr>
                      <w:rFonts w:hint="default" w:ascii="Times New Roman" w:hAnsi="Times New Roman" w:cs="Times New Roman"/>
                      <w:color w:val="auto"/>
                      <w:kern w:val="0"/>
                      <w:sz w:val="21"/>
                      <w:szCs w:val="21"/>
                      <w:highlight w:val="none"/>
                      <w:lang w:val="en-US" w:eastAsia="zh-CN"/>
                    </w:rPr>
                    <w:t>以统筹科技资源为核心,建设以融生产、生活、商贸、居住于一体的高科技、生态型、国际化、综合性的“绿色生态区、国际创业园”，使其成为西咸新区最具竞争力的新的经济增长极，并成为一个体制创新的示范区、科技发展的先导区，并建设成为创新型国家级科技统筹示范区</w:t>
                  </w:r>
                  <w:r>
                    <w:rPr>
                      <w:rFonts w:hint="default" w:cs="Times New Roman"/>
                      <w:color w:val="auto"/>
                      <w:kern w:val="0"/>
                      <w:sz w:val="21"/>
                      <w:szCs w:val="21"/>
                      <w:highlight w:val="none"/>
                      <w:lang w:val="en-US" w:eastAsia="zh-CN"/>
                    </w:rPr>
                    <w:t>。</w:t>
                  </w:r>
                </w:p>
              </w:tc>
              <w:tc>
                <w:tcPr>
                  <w:tcW w:w="1654" w:type="pct"/>
                  <w:vMerge w:val="continue"/>
                  <w:noWrap w:val="0"/>
                  <w:vAlign w:val="center"/>
                </w:tcPr>
                <w:p w14:paraId="2924C93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auto"/>
                      <w:sz w:val="21"/>
                      <w:szCs w:val="21"/>
                      <w:highlight w:val="yellow"/>
                      <w:lang w:val="en-US" w:eastAsia="zh-CN"/>
                    </w:rPr>
                  </w:pPr>
                </w:p>
              </w:tc>
              <w:tc>
                <w:tcPr>
                  <w:tcW w:w="501" w:type="pct"/>
                  <w:noWrap w:val="0"/>
                  <w:vAlign w:val="center"/>
                </w:tcPr>
                <w:p w14:paraId="1C8BC5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符合</w:t>
                  </w:r>
                </w:p>
              </w:tc>
            </w:tr>
            <w:tr w14:paraId="42DB8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2" w:hRule="atLeast"/>
                <w:jc w:val="center"/>
              </w:trPr>
              <w:tc>
                <w:tcPr>
                  <w:tcW w:w="882" w:type="pct"/>
                  <w:vMerge w:val="restart"/>
                  <w:noWrap w:val="0"/>
                  <w:vAlign w:val="center"/>
                </w:tcPr>
                <w:p w14:paraId="7D5CB8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highlight w:val="none"/>
                      <w:lang w:val="en-US" w:eastAsia="zh-CN"/>
                    </w:rPr>
                  </w:pPr>
                  <w:r>
                    <w:rPr>
                      <w:rFonts w:hint="default" w:ascii="Times New Roman" w:hAnsi="Times New Roman" w:cs="Times New Roman"/>
                      <w:color w:val="auto"/>
                      <w:kern w:val="0"/>
                      <w:sz w:val="21"/>
                      <w:szCs w:val="21"/>
                      <w:highlight w:val="none"/>
                    </w:rPr>
                    <w:t>《西咸新区</w:t>
                  </w:r>
                  <w:r>
                    <w:rPr>
                      <w:rFonts w:hint="eastAsia" w:cs="Times New Roman"/>
                      <w:color w:val="auto"/>
                      <w:kern w:val="0"/>
                      <w:sz w:val="21"/>
                      <w:szCs w:val="21"/>
                      <w:highlight w:val="none"/>
                      <w:lang w:val="en-US" w:eastAsia="zh-CN"/>
                    </w:rPr>
                    <w:t>-</w:t>
                  </w:r>
                  <w:r>
                    <w:rPr>
                      <w:rFonts w:hint="default" w:ascii="Times New Roman" w:hAnsi="Times New Roman" w:cs="Times New Roman"/>
                      <w:color w:val="auto"/>
                      <w:kern w:val="0"/>
                      <w:sz w:val="21"/>
                      <w:szCs w:val="21"/>
                      <w:highlight w:val="none"/>
                    </w:rPr>
                    <w:t>沣东新城分区规划（2010-2020）环境影响报告书》及审查意见</w:t>
                  </w:r>
                </w:p>
              </w:tc>
              <w:tc>
                <w:tcPr>
                  <w:tcW w:w="1961" w:type="pct"/>
                  <w:noWrap w:val="0"/>
                  <w:vAlign w:val="center"/>
                </w:tcPr>
                <w:p w14:paraId="35CE70F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auto"/>
                      <w:sz w:val="21"/>
                      <w:szCs w:val="21"/>
                      <w:highlight w:val="none"/>
                      <w:lang w:val="en-US" w:eastAsia="zh-CN"/>
                    </w:rPr>
                  </w:pPr>
                  <w:r>
                    <w:rPr>
                      <w:rFonts w:hint="default" w:ascii="Times New Roman" w:hAnsi="Times New Roman" w:cs="Times New Roman"/>
                      <w:color w:val="auto"/>
                      <w:kern w:val="0"/>
                      <w:sz w:val="21"/>
                      <w:szCs w:val="21"/>
                      <w:highlight w:val="none"/>
                    </w:rPr>
                    <w:t>入区企业清洁生产必须达到国内先进水平，严禁</w:t>
                  </w:r>
                  <w:r>
                    <w:rPr>
                      <w:rFonts w:hint="eastAsia"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rPr>
                    <w:t>三高一低</w:t>
                  </w:r>
                  <w:r>
                    <w:rPr>
                      <w:rFonts w:hint="eastAsia"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rPr>
                    <w:t>企业入区、由总量指标限制企业类型和规模、污染物排放指标等工业企业的准入条件</w:t>
                  </w:r>
                </w:p>
              </w:tc>
              <w:tc>
                <w:tcPr>
                  <w:tcW w:w="1654" w:type="pct"/>
                  <w:noWrap w:val="0"/>
                  <w:vAlign w:val="center"/>
                </w:tcPr>
                <w:p w14:paraId="5D6148C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auto"/>
                      <w:sz w:val="21"/>
                      <w:szCs w:val="21"/>
                      <w:highlight w:val="none"/>
                      <w:lang w:val="en-US" w:eastAsia="zh-CN"/>
                    </w:rPr>
                  </w:pPr>
                  <w:r>
                    <w:rPr>
                      <w:rFonts w:hint="eastAsia" w:cs="Times New Roman"/>
                      <w:color w:val="auto"/>
                      <w:kern w:val="0"/>
                      <w:sz w:val="21"/>
                      <w:szCs w:val="21"/>
                      <w:highlight w:val="none"/>
                      <w:lang w:val="en-US" w:eastAsia="zh-CN"/>
                    </w:rPr>
                    <w:t>本项目属于专业实验室、研发（试验）基地项目，属于鼓励类投资项目；</w:t>
                  </w:r>
                  <w:r>
                    <w:rPr>
                      <w:rFonts w:hint="default" w:ascii="Times New Roman" w:hAnsi="Times New Roman" w:cs="Times New Roman"/>
                      <w:color w:val="auto"/>
                      <w:kern w:val="0"/>
                      <w:sz w:val="21"/>
                      <w:szCs w:val="21"/>
                      <w:highlight w:val="none"/>
                      <w:lang w:val="en-US" w:eastAsia="zh-CN"/>
                    </w:rPr>
                    <w:t>本项目的建设可</w:t>
                  </w:r>
                  <w:r>
                    <w:rPr>
                      <w:rFonts w:hint="eastAsia" w:cs="Times New Roman"/>
                      <w:color w:val="auto"/>
                      <w:kern w:val="0"/>
                      <w:sz w:val="21"/>
                      <w:szCs w:val="21"/>
                      <w:highlight w:val="none"/>
                      <w:lang w:val="en-US" w:eastAsia="zh-CN"/>
                    </w:rPr>
                    <w:t>研发出</w:t>
                  </w:r>
                  <w:r>
                    <w:rPr>
                      <w:rFonts w:hint="default" w:ascii="Times New Roman" w:hAnsi="Times New Roman" w:cs="Times New Roman"/>
                      <w:color w:val="auto"/>
                      <w:kern w:val="0"/>
                      <w:sz w:val="21"/>
                      <w:szCs w:val="21"/>
                      <w:highlight w:val="none"/>
                      <w:lang w:val="en-US" w:eastAsia="zh-CN"/>
                    </w:rPr>
                    <w:t>高价值、高附加值的</w:t>
                  </w:r>
                  <w:r>
                    <w:rPr>
                      <w:rFonts w:hint="eastAsia" w:cs="Times New Roman"/>
                      <w:color w:val="auto"/>
                      <w:kern w:val="0"/>
                      <w:sz w:val="21"/>
                      <w:szCs w:val="21"/>
                      <w:highlight w:val="none"/>
                      <w:lang w:val="en-US" w:eastAsia="zh-CN"/>
                    </w:rPr>
                    <w:t>产品</w:t>
                  </w:r>
                  <w:r>
                    <w:rPr>
                      <w:rFonts w:hint="default" w:ascii="Times New Roman" w:hAnsi="Times New Roman" w:cs="Times New Roman"/>
                      <w:color w:val="auto"/>
                      <w:kern w:val="0"/>
                      <w:sz w:val="21"/>
                      <w:szCs w:val="21"/>
                      <w:highlight w:val="none"/>
                      <w:lang w:val="en-US" w:eastAsia="zh-CN"/>
                    </w:rPr>
                    <w:t>，通过</w:t>
                  </w:r>
                  <w:r>
                    <w:rPr>
                      <w:rFonts w:hint="eastAsia" w:cs="Times New Roman"/>
                      <w:color w:val="auto"/>
                      <w:kern w:val="0"/>
                      <w:sz w:val="21"/>
                      <w:szCs w:val="21"/>
                      <w:highlight w:val="none"/>
                      <w:lang w:val="en-US" w:eastAsia="zh-CN"/>
                    </w:rPr>
                    <w:t>落实</w:t>
                  </w:r>
                  <w:r>
                    <w:rPr>
                      <w:rFonts w:hint="default" w:ascii="Times New Roman" w:hAnsi="Times New Roman" w:cs="Times New Roman"/>
                      <w:color w:val="auto"/>
                      <w:kern w:val="0"/>
                      <w:sz w:val="21"/>
                      <w:szCs w:val="21"/>
                      <w:highlight w:val="none"/>
                      <w:lang w:val="en-US" w:eastAsia="zh-CN"/>
                    </w:rPr>
                    <w:t>环评提出的各类污染防治措施，项目产生的废气、废水、噪声均可做到达标排放，固废可妥善处置，本项目不属于</w:t>
                  </w:r>
                  <w:r>
                    <w:rPr>
                      <w:rFonts w:hint="default" w:ascii="Times New Roman" w:hAnsi="Times New Roman" w:cs="Times New Roman"/>
                      <w:color w:val="auto"/>
                      <w:kern w:val="0"/>
                      <w:sz w:val="21"/>
                      <w:szCs w:val="21"/>
                      <w:highlight w:val="none"/>
                    </w:rPr>
                    <w:t>高投入、高能耗、高污染、低效益的</w:t>
                  </w:r>
                  <w:r>
                    <w:rPr>
                      <w:rFonts w:hint="eastAsia"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rPr>
                    <w:t>三高一低</w:t>
                  </w:r>
                  <w:r>
                    <w:rPr>
                      <w:rFonts w:hint="eastAsia"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rPr>
                    <w:t>企业</w:t>
                  </w:r>
                  <w:r>
                    <w:rPr>
                      <w:rFonts w:hint="default" w:ascii="Times New Roman" w:hAnsi="Times New Roman" w:cs="Times New Roman"/>
                      <w:color w:val="auto"/>
                      <w:kern w:val="0"/>
                      <w:sz w:val="21"/>
                      <w:szCs w:val="21"/>
                      <w:highlight w:val="none"/>
                      <w:lang w:eastAsia="zh-CN"/>
                    </w:rPr>
                    <w:t>。</w:t>
                  </w:r>
                </w:p>
              </w:tc>
              <w:tc>
                <w:tcPr>
                  <w:tcW w:w="501" w:type="pct"/>
                  <w:noWrap w:val="0"/>
                  <w:vAlign w:val="center"/>
                </w:tcPr>
                <w:p w14:paraId="7DF946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符合</w:t>
                  </w:r>
                </w:p>
              </w:tc>
            </w:tr>
            <w:tr w14:paraId="3C555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2" w:type="pct"/>
                  <w:vMerge w:val="continue"/>
                  <w:noWrap w:val="0"/>
                  <w:vAlign w:val="center"/>
                </w:tcPr>
                <w:p w14:paraId="737E54F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kern w:val="0"/>
                      <w:sz w:val="21"/>
                      <w:szCs w:val="21"/>
                      <w:highlight w:val="none"/>
                    </w:rPr>
                  </w:pPr>
                </w:p>
              </w:tc>
              <w:tc>
                <w:tcPr>
                  <w:tcW w:w="1961" w:type="pct"/>
                  <w:noWrap w:val="0"/>
                  <w:vAlign w:val="center"/>
                </w:tcPr>
                <w:p w14:paraId="047E8F4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auto"/>
                      <w:sz w:val="21"/>
                      <w:szCs w:val="21"/>
                      <w:lang w:val="en-US" w:eastAsia="zh-CN"/>
                    </w:rPr>
                  </w:pPr>
                  <w:r>
                    <w:rPr>
                      <w:rFonts w:hint="default" w:ascii="Times New Roman" w:hAnsi="Times New Roman" w:cs="Times New Roman"/>
                      <w:color w:val="auto"/>
                      <w:kern w:val="0"/>
                      <w:sz w:val="21"/>
                      <w:szCs w:val="21"/>
                      <w:highlight w:val="none"/>
                    </w:rPr>
                    <w:t>做好规划区项目的环境保护准入工作，限制规划定位的产业以外项目进入，并依法对具体建设项目进行环境影响评价，规划区内不得建设电镀生产线及涉重金属排放企业</w:t>
                  </w:r>
                </w:p>
              </w:tc>
              <w:tc>
                <w:tcPr>
                  <w:tcW w:w="1654" w:type="pct"/>
                  <w:noWrap w:val="0"/>
                  <w:vAlign w:val="center"/>
                </w:tcPr>
                <w:p w14:paraId="21FE0858">
                  <w:pPr>
                    <w:keepNext w:val="0"/>
                    <w:keepLines w:val="0"/>
                    <w:pageBreakBefore w:val="0"/>
                    <w:tabs>
                      <w:tab w:val="left" w:pos="720"/>
                    </w:tabs>
                    <w:kinsoku/>
                    <w:wordWrap/>
                    <w:overflowPunct/>
                    <w:topLinePunct w:val="0"/>
                    <w:autoSpaceDE/>
                    <w:autoSpaceDN/>
                    <w:bidi w:val="0"/>
                    <w:adjustRightInd/>
                    <w:snapToGrid/>
                    <w:spacing w:line="240" w:lineRule="auto"/>
                    <w:ind w:firstLine="0" w:firstLineChars="0"/>
                    <w:textAlignment w:val="auto"/>
                    <w:rPr>
                      <w:rFonts w:hint="default" w:eastAsia="宋体"/>
                      <w:color w:val="auto"/>
                      <w:sz w:val="21"/>
                      <w:szCs w:val="21"/>
                      <w:lang w:val="en-GB" w:eastAsia="zh-CN"/>
                    </w:rPr>
                  </w:pPr>
                  <w:r>
                    <w:rPr>
                      <w:rFonts w:hint="default" w:ascii="Times New Roman" w:hAnsi="Times New Roman" w:cs="Times New Roman"/>
                      <w:color w:val="auto"/>
                      <w:kern w:val="0"/>
                      <w:sz w:val="21"/>
                      <w:szCs w:val="21"/>
                      <w:highlight w:val="none"/>
                    </w:rPr>
                    <w:t>本项目符合规划产业定位，不属于电镀生产线及涉重金属排</w:t>
                  </w:r>
                  <w:r>
                    <w:rPr>
                      <w:rFonts w:hint="default" w:ascii="Times New Roman" w:hAnsi="Times New Roman" w:eastAsia="宋体" w:cs="Times New Roman"/>
                      <w:color w:val="auto"/>
                      <w:kern w:val="0"/>
                      <w:sz w:val="21"/>
                      <w:szCs w:val="21"/>
                      <w:highlight w:val="none"/>
                    </w:rPr>
                    <w:t>放企业</w:t>
                  </w:r>
                  <w:r>
                    <w:rPr>
                      <w:rFonts w:hint="default" w:ascii="Times New Roman" w:hAnsi="Times New Roman" w:eastAsia="宋体" w:cs="Times New Roman"/>
                      <w:color w:val="auto"/>
                      <w:kern w:val="0"/>
                      <w:sz w:val="21"/>
                      <w:szCs w:val="21"/>
                      <w:highlight w:val="none"/>
                      <w:lang w:eastAsia="zh-CN"/>
                    </w:rPr>
                    <w:t>。</w:t>
                  </w:r>
                  <w:r>
                    <w:rPr>
                      <w:rFonts w:hint="eastAsia" w:ascii="Times New Roman" w:hAnsi="Times New Roman" w:eastAsia="宋体" w:cs="Times New Roman"/>
                      <w:color w:val="auto"/>
                      <w:kern w:val="0"/>
                      <w:sz w:val="21"/>
                      <w:szCs w:val="21"/>
                      <w:highlight w:val="none"/>
                      <w:lang w:val="en-US" w:eastAsia="zh-CN"/>
                    </w:rPr>
                    <w:t>本次环评报告即为依法对本项目进行环境影响评价。</w:t>
                  </w:r>
                </w:p>
              </w:tc>
              <w:tc>
                <w:tcPr>
                  <w:tcW w:w="501" w:type="pct"/>
                  <w:noWrap w:val="0"/>
                  <w:vAlign w:val="center"/>
                </w:tcPr>
                <w:p w14:paraId="4B2D33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符合</w:t>
                  </w:r>
                </w:p>
              </w:tc>
            </w:tr>
            <w:tr w14:paraId="29ADC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2" w:type="pct"/>
                  <w:vMerge w:val="continue"/>
                  <w:noWrap w:val="0"/>
                  <w:vAlign w:val="center"/>
                </w:tcPr>
                <w:p w14:paraId="08C095C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kern w:val="0"/>
                      <w:sz w:val="21"/>
                      <w:szCs w:val="21"/>
                      <w:highlight w:val="none"/>
                    </w:rPr>
                  </w:pPr>
                </w:p>
              </w:tc>
              <w:tc>
                <w:tcPr>
                  <w:tcW w:w="1961" w:type="pct"/>
                  <w:noWrap w:val="0"/>
                  <w:vAlign w:val="center"/>
                </w:tcPr>
                <w:p w14:paraId="5A2B44D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auto"/>
                      <w:sz w:val="21"/>
                      <w:szCs w:val="21"/>
                      <w:lang w:val="en-US" w:eastAsia="zh-CN"/>
                    </w:rPr>
                  </w:pPr>
                  <w:r>
                    <w:rPr>
                      <w:rFonts w:hint="default" w:ascii="Times New Roman" w:hAnsi="Times New Roman" w:cs="Times New Roman"/>
                      <w:color w:val="auto"/>
                      <w:kern w:val="0"/>
                      <w:sz w:val="21"/>
                      <w:szCs w:val="21"/>
                      <w:highlight w:val="none"/>
                    </w:rPr>
                    <w:t>水环境保护对策和措施：严格环境准入制度，防治企业污染排放。在规划建设中，要设置相应的环保准入门槛，限制造纸、化工、食品饮料加工、皮革、电镀等高耗水、重污染行业进入</w:t>
                  </w:r>
                </w:p>
              </w:tc>
              <w:tc>
                <w:tcPr>
                  <w:tcW w:w="1654" w:type="pct"/>
                  <w:noWrap w:val="0"/>
                  <w:vAlign w:val="center"/>
                </w:tcPr>
                <w:p w14:paraId="63A6A509">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both"/>
                    <w:textAlignment w:val="auto"/>
                    <w:rPr>
                      <w:rFonts w:hint="default"/>
                      <w:color w:val="auto"/>
                      <w:kern w:val="0"/>
                      <w:sz w:val="21"/>
                      <w:szCs w:val="21"/>
                      <w:highlight w:val="none"/>
                      <w:lang w:val="en-US" w:eastAsia="zh-CN"/>
                    </w:rPr>
                  </w:pPr>
                  <w:r>
                    <w:rPr>
                      <w:rFonts w:hint="default"/>
                      <w:color w:val="auto"/>
                      <w:kern w:val="0"/>
                      <w:sz w:val="21"/>
                      <w:szCs w:val="21"/>
                      <w:highlight w:val="none"/>
                      <w:lang w:val="en-US" w:eastAsia="zh-CN"/>
                    </w:rPr>
                    <w:t>本项目运营期产生的废水主要为生活污水</w:t>
                  </w:r>
                  <w:r>
                    <w:rPr>
                      <w:rFonts w:hint="eastAsia"/>
                      <w:color w:val="auto"/>
                      <w:kern w:val="0"/>
                      <w:sz w:val="21"/>
                      <w:szCs w:val="21"/>
                      <w:highlight w:val="none"/>
                      <w:lang w:val="en-US" w:eastAsia="zh-CN"/>
                    </w:rPr>
                    <w:t>餐饮废水和实验综合废水</w:t>
                  </w:r>
                  <w:r>
                    <w:rPr>
                      <w:rFonts w:hint="default"/>
                      <w:color w:val="auto"/>
                      <w:kern w:val="0"/>
                      <w:sz w:val="21"/>
                      <w:szCs w:val="21"/>
                      <w:highlight w:val="none"/>
                      <w:lang w:val="en-US" w:eastAsia="zh-CN"/>
                    </w:rPr>
                    <w:t>，</w:t>
                  </w:r>
                  <w:r>
                    <w:rPr>
                      <w:rFonts w:hint="eastAsia"/>
                      <w:color w:val="auto"/>
                      <w:kern w:val="0"/>
                      <w:sz w:val="21"/>
                      <w:szCs w:val="21"/>
                      <w:highlight w:val="none"/>
                      <w:lang w:val="en-US" w:eastAsia="zh-CN"/>
                    </w:rPr>
                    <w:t>餐饮废水经油水分离器处理后接入室外污水管网，与其他废水一同经过化粪池处理后通过</w:t>
                  </w:r>
                  <w:r>
                    <w:rPr>
                      <w:rFonts w:hint="default"/>
                      <w:color w:val="auto"/>
                      <w:kern w:val="0"/>
                      <w:sz w:val="21"/>
                      <w:szCs w:val="21"/>
                      <w:highlight w:val="none"/>
                      <w:lang w:val="en-US" w:eastAsia="zh-CN"/>
                    </w:rPr>
                    <w:t>市政管网排入</w:t>
                  </w:r>
                  <w:r>
                    <w:rPr>
                      <w:rFonts w:hint="eastAsia"/>
                      <w:color w:val="auto"/>
                      <w:kern w:val="0"/>
                      <w:sz w:val="21"/>
                      <w:szCs w:val="21"/>
                      <w:highlight w:val="none"/>
                      <w:lang w:val="en-US" w:eastAsia="zh-CN"/>
                    </w:rPr>
                    <w:t>西咸新区沣东南污水处理厂</w:t>
                  </w:r>
                  <w:r>
                    <w:rPr>
                      <w:rFonts w:hint="default"/>
                      <w:color w:val="auto"/>
                      <w:kern w:val="0"/>
                      <w:sz w:val="21"/>
                      <w:szCs w:val="21"/>
                      <w:highlight w:val="none"/>
                      <w:lang w:val="en-US" w:eastAsia="zh-CN"/>
                    </w:rPr>
                    <w:t>。</w:t>
                  </w:r>
                </w:p>
                <w:p w14:paraId="524A97C5">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both"/>
                    <w:textAlignment w:val="auto"/>
                    <w:rPr>
                      <w:rFonts w:hint="default" w:eastAsia="宋体"/>
                      <w:color w:val="auto"/>
                      <w:sz w:val="21"/>
                      <w:szCs w:val="21"/>
                      <w:lang w:val="en-GB" w:eastAsia="zh-CN"/>
                    </w:rPr>
                  </w:pPr>
                  <w:r>
                    <w:rPr>
                      <w:rFonts w:hint="default"/>
                      <w:color w:val="auto"/>
                      <w:kern w:val="0"/>
                      <w:sz w:val="21"/>
                      <w:szCs w:val="21"/>
                      <w:highlight w:val="none"/>
                      <w:lang w:val="en-US" w:eastAsia="zh-CN"/>
                    </w:rPr>
                    <w:t>项目不属于造纸、化工、食品饮料加工、皮革、电镀等高耗水、重污染行业。</w:t>
                  </w:r>
                </w:p>
              </w:tc>
              <w:tc>
                <w:tcPr>
                  <w:tcW w:w="501" w:type="pct"/>
                  <w:noWrap w:val="0"/>
                  <w:vAlign w:val="center"/>
                </w:tcPr>
                <w:p w14:paraId="5C896D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符合</w:t>
                  </w:r>
                </w:p>
              </w:tc>
            </w:tr>
            <w:tr w14:paraId="694AC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2" w:type="pct"/>
                  <w:vMerge w:val="continue"/>
                  <w:noWrap w:val="0"/>
                  <w:vAlign w:val="center"/>
                </w:tcPr>
                <w:p w14:paraId="5021433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kern w:val="0"/>
                      <w:sz w:val="21"/>
                      <w:szCs w:val="21"/>
                      <w:highlight w:val="none"/>
                    </w:rPr>
                  </w:pPr>
                </w:p>
              </w:tc>
              <w:tc>
                <w:tcPr>
                  <w:tcW w:w="1961" w:type="pct"/>
                  <w:noWrap w:val="0"/>
                  <w:vAlign w:val="center"/>
                </w:tcPr>
                <w:p w14:paraId="5FC0304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auto"/>
                      <w:sz w:val="21"/>
                      <w:szCs w:val="21"/>
                      <w:lang w:val="en-US" w:eastAsia="zh-CN"/>
                    </w:rPr>
                  </w:pPr>
                  <w:r>
                    <w:rPr>
                      <w:rFonts w:hint="default" w:ascii="Times New Roman" w:hAnsi="Times New Roman" w:cs="Times New Roman"/>
                      <w:color w:val="auto"/>
                      <w:kern w:val="0"/>
                      <w:sz w:val="21"/>
                      <w:szCs w:val="21"/>
                      <w:highlight w:val="none"/>
                    </w:rPr>
                    <w:t>大气环境保护对策和措施：严格产业准入制度，控制企业污染排放。设置新城产业准入大气环境标准，对排污量大的行业进行限制，防止对新城产生影响</w:t>
                  </w:r>
                </w:p>
              </w:tc>
              <w:tc>
                <w:tcPr>
                  <w:tcW w:w="1654" w:type="pct"/>
                  <w:noWrap w:val="0"/>
                  <w:vAlign w:val="center"/>
                </w:tcPr>
                <w:p w14:paraId="5D8D0AF4">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eastAsia="宋体"/>
                      <w:color w:val="auto"/>
                      <w:sz w:val="21"/>
                      <w:szCs w:val="21"/>
                      <w:vertAlign w:val="baseline"/>
                      <w:lang w:val="en-US" w:eastAsia="zh-CN"/>
                    </w:rPr>
                  </w:pPr>
                  <w:r>
                    <w:rPr>
                      <w:rFonts w:hint="eastAsia" w:eastAsia="宋体" w:cs="Times New Roman"/>
                      <w:color w:val="auto"/>
                      <w:kern w:val="0"/>
                      <w:sz w:val="21"/>
                      <w:szCs w:val="21"/>
                      <w:highlight w:val="none"/>
                      <w:lang w:val="en-US" w:eastAsia="zh-CN"/>
                    </w:rPr>
                    <w:t>本项目运营期焊接工序产生的焊接烟尘</w:t>
                  </w:r>
                  <w:r>
                    <w:rPr>
                      <w:rFonts w:hint="default" w:eastAsia="宋体" w:cs="Times New Roman"/>
                      <w:color w:val="auto"/>
                      <w:kern w:val="0"/>
                      <w:sz w:val="21"/>
                      <w:szCs w:val="21"/>
                      <w:highlight w:val="none"/>
                      <w:lang w:val="en-US" w:eastAsia="zh-CN"/>
                    </w:rPr>
                    <w:t>经</w:t>
                  </w:r>
                  <w:r>
                    <w:rPr>
                      <w:rFonts w:hint="eastAsia" w:cs="Times New Roman"/>
                      <w:color w:val="auto"/>
                      <w:kern w:val="0"/>
                      <w:sz w:val="21"/>
                      <w:szCs w:val="21"/>
                      <w:highlight w:val="none"/>
                      <w:lang w:val="en-US" w:eastAsia="zh-CN"/>
                    </w:rPr>
                    <w:t>焊烟净化器</w:t>
                  </w:r>
                  <w:r>
                    <w:rPr>
                      <w:rFonts w:hint="default" w:eastAsia="宋体" w:cs="Times New Roman"/>
                      <w:color w:val="auto"/>
                      <w:kern w:val="0"/>
                      <w:sz w:val="21"/>
                      <w:szCs w:val="21"/>
                      <w:highlight w:val="none"/>
                      <w:lang w:val="en-US" w:eastAsia="zh-CN"/>
                    </w:rPr>
                    <w:t>处理</w:t>
                  </w:r>
                  <w:r>
                    <w:rPr>
                      <w:rFonts w:hint="eastAsia" w:eastAsia="宋体" w:cs="Times New Roman"/>
                      <w:color w:val="auto"/>
                      <w:kern w:val="0"/>
                      <w:sz w:val="21"/>
                      <w:szCs w:val="21"/>
                      <w:highlight w:val="none"/>
                      <w:lang w:val="en-US" w:eastAsia="zh-CN"/>
                    </w:rPr>
                    <w:t>后无组织排放；研发过程中产生的HCl、NOx等酸性废气通过内置SDG酸性气体吸附剂通风橱收集处理后无组织排放；非甲烷总烃废气通过</w:t>
                  </w:r>
                  <w:r>
                    <w:rPr>
                      <w:rFonts w:hint="eastAsia" w:cs="Times New Roman"/>
                      <w:color w:val="auto"/>
                      <w:kern w:val="0"/>
                      <w:sz w:val="21"/>
                      <w:szCs w:val="21"/>
                      <w:highlight w:val="none"/>
                      <w:lang w:val="en-US" w:eastAsia="zh-CN"/>
                    </w:rPr>
                    <w:t>两级</w:t>
                  </w:r>
                  <w:r>
                    <w:rPr>
                      <w:rFonts w:hint="eastAsia" w:eastAsia="宋体" w:cs="Times New Roman"/>
                      <w:color w:val="auto"/>
                      <w:kern w:val="0"/>
                      <w:sz w:val="21"/>
                      <w:szCs w:val="21"/>
                      <w:highlight w:val="none"/>
                      <w:lang w:val="en-US" w:eastAsia="zh-CN"/>
                    </w:rPr>
                    <w:t>活性炭</w:t>
                  </w:r>
                  <w:r>
                    <w:rPr>
                      <w:rFonts w:hint="eastAsia" w:cs="Times New Roman"/>
                      <w:color w:val="auto"/>
                      <w:kern w:val="0"/>
                      <w:sz w:val="21"/>
                      <w:szCs w:val="21"/>
                      <w:highlight w:val="none"/>
                      <w:lang w:val="en-US" w:eastAsia="zh-CN"/>
                    </w:rPr>
                    <w:t>处理后经通风排气设备无组织排放</w:t>
                  </w:r>
                  <w:r>
                    <w:rPr>
                      <w:rFonts w:hint="eastAsia" w:eastAsia="宋体" w:cs="Times New Roman"/>
                      <w:color w:val="auto"/>
                      <w:kern w:val="0"/>
                      <w:sz w:val="21"/>
                      <w:szCs w:val="21"/>
                      <w:highlight w:val="none"/>
                      <w:lang w:val="en-US" w:eastAsia="zh-CN"/>
                    </w:rPr>
                    <w:t>；餐厅油</w:t>
                  </w:r>
                  <w:r>
                    <w:rPr>
                      <w:rFonts w:hint="eastAsia" w:cs="Times New Roman"/>
                      <w:color w:val="auto"/>
                      <w:kern w:val="2"/>
                      <w:sz w:val="21"/>
                      <w:szCs w:val="21"/>
                      <w:highlight w:val="none"/>
                      <w:lang w:val="en-US" w:eastAsia="zh-CN" w:bidi="ar-SA"/>
                    </w:rPr>
                    <w:t>烟经过油烟净化器处理后引至屋顶排放。</w:t>
                  </w:r>
                </w:p>
              </w:tc>
              <w:tc>
                <w:tcPr>
                  <w:tcW w:w="501" w:type="pct"/>
                  <w:noWrap w:val="0"/>
                  <w:vAlign w:val="center"/>
                </w:tcPr>
                <w:p w14:paraId="7D0E4F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符合</w:t>
                  </w:r>
                </w:p>
              </w:tc>
            </w:tr>
            <w:tr w14:paraId="57785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0" w:hRule="atLeast"/>
                <w:jc w:val="center"/>
              </w:trPr>
              <w:tc>
                <w:tcPr>
                  <w:tcW w:w="882" w:type="pct"/>
                  <w:vMerge w:val="continue"/>
                  <w:noWrap w:val="0"/>
                  <w:vAlign w:val="center"/>
                </w:tcPr>
                <w:p w14:paraId="2544604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kern w:val="0"/>
                      <w:sz w:val="21"/>
                      <w:szCs w:val="21"/>
                      <w:highlight w:val="none"/>
                    </w:rPr>
                  </w:pPr>
                </w:p>
              </w:tc>
              <w:tc>
                <w:tcPr>
                  <w:tcW w:w="1961" w:type="pct"/>
                  <w:noWrap w:val="0"/>
                  <w:vAlign w:val="center"/>
                </w:tcPr>
                <w:p w14:paraId="5A9CE9D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654" w:type="pct"/>
                  <w:noWrap w:val="0"/>
                  <w:vAlign w:val="center"/>
                </w:tcPr>
                <w:p w14:paraId="4EDBF50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auto"/>
                      <w:sz w:val="21"/>
                      <w:szCs w:val="21"/>
                      <w:lang w:val="en-GB" w:eastAsia="zh-CN"/>
                    </w:rPr>
                  </w:pPr>
                  <w:r>
                    <w:rPr>
                      <w:rFonts w:hint="default" w:ascii="Times New Roman" w:hAnsi="Times New Roman" w:cs="Times New Roman"/>
                      <w:color w:val="auto"/>
                      <w:kern w:val="0"/>
                      <w:sz w:val="21"/>
                      <w:szCs w:val="21"/>
                      <w:highlight w:val="none"/>
                    </w:rPr>
                    <w:t>本项目运营期设备均优先选用低噪声设备，并采取基础减振</w:t>
                  </w:r>
                  <w:r>
                    <w:rPr>
                      <w:rFonts w:hint="eastAsia"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rPr>
                    <w:t>隔声等措施</w:t>
                  </w:r>
                  <w:r>
                    <w:rPr>
                      <w:rFonts w:hint="default" w:ascii="Times New Roman" w:hAnsi="Times New Roman" w:cs="Times New Roman"/>
                      <w:color w:val="auto"/>
                      <w:kern w:val="0"/>
                      <w:sz w:val="21"/>
                      <w:szCs w:val="21"/>
                      <w:highlight w:val="none"/>
                      <w:lang w:eastAsia="zh-CN"/>
                    </w:rPr>
                    <w:t>。</w:t>
                  </w:r>
                </w:p>
              </w:tc>
              <w:tc>
                <w:tcPr>
                  <w:tcW w:w="501" w:type="pct"/>
                  <w:noWrap w:val="0"/>
                  <w:vAlign w:val="center"/>
                </w:tcPr>
                <w:p w14:paraId="215B63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符合</w:t>
                  </w:r>
                </w:p>
              </w:tc>
            </w:tr>
            <w:tr w14:paraId="0D2B0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2" w:type="pct"/>
                  <w:vMerge w:val="continue"/>
                  <w:noWrap w:val="0"/>
                  <w:vAlign w:val="center"/>
                </w:tcPr>
                <w:p w14:paraId="70218A8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kern w:val="0"/>
                      <w:sz w:val="21"/>
                      <w:szCs w:val="21"/>
                      <w:highlight w:val="none"/>
                    </w:rPr>
                  </w:pPr>
                </w:p>
              </w:tc>
              <w:tc>
                <w:tcPr>
                  <w:tcW w:w="1961" w:type="pct"/>
                  <w:noWrap w:val="0"/>
                  <w:vAlign w:val="center"/>
                </w:tcPr>
                <w:p w14:paraId="581D26E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固体废物综合整治对策：提高全民的环境意识，提倡节约，减少城市生活垃圾产生量，推行生活垃圾分类收集，提高生活垃圾无害化处理率和固体废物的综合利用率。提高危险固废和医疗垃圾的安全处理、处置能力。建立危险废物和医疗废物的收集、运输、处置的全过程环境监督管理体系</w:t>
                  </w:r>
                </w:p>
              </w:tc>
              <w:tc>
                <w:tcPr>
                  <w:tcW w:w="1654" w:type="pct"/>
                  <w:noWrap w:val="0"/>
                  <w:vAlign w:val="center"/>
                </w:tcPr>
                <w:p w14:paraId="46AD7B1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auto"/>
                      <w:sz w:val="21"/>
                      <w:szCs w:val="21"/>
                      <w:lang w:val="en-GB" w:eastAsia="zh-CN"/>
                    </w:rPr>
                  </w:pPr>
                  <w:r>
                    <w:rPr>
                      <w:rFonts w:hint="default" w:ascii="Times New Roman" w:hAnsi="Times New Roman" w:cs="Times New Roman"/>
                      <w:color w:val="auto"/>
                      <w:kern w:val="0"/>
                      <w:sz w:val="21"/>
                      <w:szCs w:val="21"/>
                      <w:highlight w:val="none"/>
                    </w:rPr>
                    <w:t>本项目生活垃圾分类收集，委托环卫部门清运处置；危险废物设置</w:t>
                  </w:r>
                  <w:r>
                    <w:rPr>
                      <w:rFonts w:hint="default" w:ascii="Times New Roman" w:hAnsi="Times New Roman" w:cs="Times New Roman"/>
                      <w:color w:val="auto"/>
                      <w:kern w:val="0"/>
                      <w:sz w:val="21"/>
                      <w:szCs w:val="21"/>
                      <w:highlight w:val="none"/>
                      <w:lang w:eastAsia="zh-CN"/>
                    </w:rPr>
                    <w:t>危废</w:t>
                  </w:r>
                  <w:r>
                    <w:rPr>
                      <w:rFonts w:hint="eastAsia" w:cs="Times New Roman"/>
                      <w:color w:val="auto"/>
                      <w:kern w:val="0"/>
                      <w:sz w:val="21"/>
                      <w:szCs w:val="21"/>
                      <w:highlight w:val="none"/>
                      <w:lang w:val="en-US" w:eastAsia="zh-CN"/>
                    </w:rPr>
                    <w:t>贮</w:t>
                  </w:r>
                  <w:r>
                    <w:rPr>
                      <w:rFonts w:hint="default" w:ascii="Times New Roman" w:hAnsi="Times New Roman" w:cs="Times New Roman"/>
                      <w:color w:val="auto"/>
                      <w:kern w:val="0"/>
                      <w:sz w:val="21"/>
                      <w:szCs w:val="21"/>
                      <w:highlight w:val="none"/>
                      <w:lang w:eastAsia="zh-CN"/>
                    </w:rPr>
                    <w:t>存库</w:t>
                  </w:r>
                  <w:r>
                    <w:rPr>
                      <w:rFonts w:hint="default" w:ascii="Times New Roman" w:hAnsi="Times New Roman" w:cs="Times New Roman"/>
                      <w:color w:val="auto"/>
                      <w:kern w:val="0"/>
                      <w:sz w:val="21"/>
                      <w:szCs w:val="21"/>
                      <w:highlight w:val="none"/>
                    </w:rPr>
                    <w:t>，委托有资质单位</w:t>
                  </w:r>
                  <w:r>
                    <w:rPr>
                      <w:rFonts w:hint="eastAsia" w:cs="Times New Roman"/>
                      <w:color w:val="auto"/>
                      <w:kern w:val="0"/>
                      <w:sz w:val="21"/>
                      <w:szCs w:val="21"/>
                      <w:highlight w:val="none"/>
                      <w:lang w:eastAsia="zh-CN"/>
                    </w:rPr>
                    <w:t>集中</w:t>
                  </w:r>
                  <w:r>
                    <w:rPr>
                      <w:rFonts w:hint="default" w:ascii="Times New Roman" w:hAnsi="Times New Roman" w:cs="Times New Roman"/>
                      <w:color w:val="auto"/>
                      <w:kern w:val="0"/>
                      <w:sz w:val="21"/>
                      <w:szCs w:val="21"/>
                      <w:highlight w:val="none"/>
                    </w:rPr>
                    <w:t>处置</w:t>
                  </w:r>
                  <w:r>
                    <w:rPr>
                      <w:rFonts w:hint="eastAsia" w:ascii="Times New Roman" w:hAnsi="Times New Roman" w:cs="Times New Roman"/>
                      <w:color w:val="auto"/>
                      <w:kern w:val="0"/>
                      <w:sz w:val="21"/>
                      <w:szCs w:val="21"/>
                      <w:highlight w:val="none"/>
                      <w:lang w:eastAsia="zh-CN"/>
                    </w:rPr>
                    <w:t>，</w:t>
                  </w:r>
                  <w:r>
                    <w:rPr>
                      <w:rFonts w:hint="eastAsia" w:ascii="Times New Roman" w:hAnsi="Times New Roman" w:cs="Times New Roman"/>
                      <w:color w:val="auto"/>
                      <w:kern w:val="0"/>
                      <w:sz w:val="21"/>
                      <w:szCs w:val="21"/>
                      <w:highlight w:val="none"/>
                      <w:lang w:val="en-US" w:eastAsia="zh-CN"/>
                    </w:rPr>
                    <w:t>并建立危险废物的收集、暂存过程环境监督管理体系</w:t>
                  </w:r>
                  <w:r>
                    <w:rPr>
                      <w:rFonts w:hint="default" w:ascii="Times New Roman" w:hAnsi="Times New Roman" w:cs="Times New Roman"/>
                      <w:color w:val="auto"/>
                      <w:kern w:val="0"/>
                      <w:sz w:val="21"/>
                      <w:szCs w:val="21"/>
                      <w:highlight w:val="none"/>
                    </w:rPr>
                    <w:t>；</w:t>
                  </w:r>
                  <w:r>
                    <w:rPr>
                      <w:rFonts w:hint="default" w:ascii="Times New Roman" w:hAnsi="Times New Roman" w:cs="Times New Roman"/>
                      <w:color w:val="auto"/>
                      <w:kern w:val="0"/>
                      <w:sz w:val="21"/>
                      <w:szCs w:val="21"/>
                      <w:highlight w:val="none"/>
                      <w:lang w:val="en-US" w:eastAsia="zh-CN"/>
                    </w:rPr>
                    <w:t>一般工业固体废物外售，</w:t>
                  </w:r>
                  <w:r>
                    <w:rPr>
                      <w:rFonts w:hint="default" w:ascii="Times New Roman" w:hAnsi="Times New Roman" w:cs="Times New Roman"/>
                      <w:color w:val="auto"/>
                      <w:kern w:val="0"/>
                      <w:sz w:val="21"/>
                      <w:szCs w:val="21"/>
                      <w:highlight w:val="none"/>
                      <w:shd w:val="clear" w:color="auto" w:fill="auto"/>
                      <w:lang w:val="en-US" w:eastAsia="zh-CN"/>
                    </w:rPr>
                    <w:t>提高了固体废物的综合利用率。</w:t>
                  </w:r>
                </w:p>
              </w:tc>
              <w:tc>
                <w:tcPr>
                  <w:tcW w:w="501" w:type="pct"/>
                  <w:noWrap w:val="0"/>
                  <w:vAlign w:val="center"/>
                </w:tcPr>
                <w:p w14:paraId="20B9A9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符合</w:t>
                  </w:r>
                </w:p>
              </w:tc>
            </w:tr>
          </w:tbl>
          <w:p w14:paraId="65591C27">
            <w:pPr>
              <w:rPr>
                <w:rFonts w:hint="default"/>
                <w:color w:val="auto"/>
                <w:lang w:val="en-US" w:eastAsia="zh-CN"/>
              </w:rPr>
            </w:pPr>
          </w:p>
        </w:tc>
      </w:tr>
      <w:tr w14:paraId="30E550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54" w:type="dxa"/>
            <w:noWrap w:val="0"/>
            <w:vAlign w:val="center"/>
          </w:tcPr>
          <w:p w14:paraId="713B8450">
            <w:pPr>
              <w:spacing w:line="360" w:lineRule="atLeast"/>
              <w:ind w:firstLine="0" w:firstLineChars="0"/>
              <w:jc w:val="center"/>
              <w:rPr>
                <w:color w:val="auto"/>
                <w:kern w:val="0"/>
              </w:rPr>
            </w:pPr>
            <w:r>
              <w:rPr>
                <w:color w:val="auto"/>
                <w:kern w:val="0"/>
              </w:rPr>
              <w:t>其他符合性分析</w:t>
            </w:r>
          </w:p>
        </w:tc>
        <w:tc>
          <w:tcPr>
            <w:tcW w:w="7016" w:type="dxa"/>
            <w:gridSpan w:val="3"/>
            <w:noWrap w:val="0"/>
            <w:vAlign w:val="center"/>
          </w:tcPr>
          <w:p w14:paraId="7D2267E8">
            <w:pPr>
              <w:ind w:firstLine="482"/>
              <w:rPr>
                <w:rFonts w:hint="default" w:ascii="Times New Roman" w:hAnsi="Times New Roman" w:eastAsia="宋体" w:cs="宋体"/>
                <w:b/>
                <w:bCs/>
                <w:color w:val="auto"/>
                <w:kern w:val="0"/>
                <w:sz w:val="24"/>
                <w:szCs w:val="28"/>
                <w:lang w:val="zh-CN" w:eastAsia="zh-CN" w:bidi="zh-CN"/>
              </w:rPr>
            </w:pPr>
            <w:r>
              <w:rPr>
                <w:rFonts w:hint="eastAsia" w:ascii="Times New Roman" w:hAnsi="Times New Roman" w:eastAsia="宋体" w:cs="宋体"/>
                <w:b/>
                <w:bCs/>
                <w:color w:val="auto"/>
                <w:kern w:val="0"/>
                <w:sz w:val="24"/>
                <w:szCs w:val="28"/>
                <w:lang w:val="en-US" w:eastAsia="zh-CN" w:bidi="zh-CN"/>
              </w:rPr>
              <w:t>1</w:t>
            </w:r>
            <w:r>
              <w:rPr>
                <w:rFonts w:hint="default" w:ascii="Times New Roman" w:hAnsi="Times New Roman" w:eastAsia="宋体" w:cs="宋体"/>
                <w:b/>
                <w:bCs/>
                <w:color w:val="auto"/>
                <w:kern w:val="0"/>
                <w:sz w:val="24"/>
                <w:szCs w:val="28"/>
                <w:lang w:val="zh-CN" w:eastAsia="zh-CN" w:bidi="zh-CN"/>
              </w:rPr>
              <w:t>、产业政策符合性分析</w:t>
            </w:r>
          </w:p>
          <w:p w14:paraId="575E7236">
            <w:pPr>
              <w:rPr>
                <w:rFonts w:ascii="Times New Roman" w:hAnsi="Times New Roman" w:eastAsia="宋体" w:cs="Times New Roman"/>
                <w:color w:val="auto"/>
              </w:rPr>
            </w:pPr>
            <w:r>
              <w:rPr>
                <w:color w:val="auto"/>
              </w:rPr>
              <w:t>根据《</w:t>
            </w:r>
            <w:r>
              <w:rPr>
                <w:color w:val="auto"/>
              </w:rPr>
              <w:fldChar w:fldCharType="begin"/>
            </w:r>
            <w:r>
              <w:rPr>
                <w:color w:val="auto"/>
              </w:rPr>
              <w:instrText xml:space="preserve"> HYPERLINK "http://www.gov.cn/xinwen/2019-11/06/5449193/files/26c9d25f713f4ed5b8dc51ae40ef37af.pdf" \t "_blank" </w:instrText>
            </w:r>
            <w:r>
              <w:rPr>
                <w:color w:val="auto"/>
              </w:rPr>
              <w:fldChar w:fldCharType="separate"/>
            </w:r>
            <w:r>
              <w:rPr>
                <w:color w:val="auto"/>
              </w:rPr>
              <w:t>产业结构调整指导目录》（20</w:t>
            </w:r>
            <w:r>
              <w:rPr>
                <w:rFonts w:hint="eastAsia"/>
                <w:color w:val="auto"/>
                <w:lang w:val="en-US" w:eastAsia="zh-CN"/>
              </w:rPr>
              <w:t>24</w:t>
            </w:r>
            <w:r>
              <w:rPr>
                <w:color w:val="auto"/>
              </w:rPr>
              <w:t>年本）</w:t>
            </w:r>
            <w:r>
              <w:rPr>
                <w:color w:val="auto"/>
              </w:rPr>
              <w:fldChar w:fldCharType="end"/>
            </w:r>
            <w:r>
              <w:rPr>
                <w:color w:val="auto"/>
              </w:rPr>
              <w:t>，本项目属于</w:t>
            </w:r>
            <w:r>
              <w:rPr>
                <w:rFonts w:hint="eastAsia"/>
                <w:color w:val="auto"/>
              </w:rPr>
              <w:t>“</w:t>
            </w:r>
            <w:r>
              <w:rPr>
                <w:rFonts w:hint="eastAsia"/>
                <w:color w:val="auto"/>
                <w:lang w:eastAsia="zh-CN"/>
              </w:rPr>
              <w:t>第一类</w:t>
            </w:r>
            <w:r>
              <w:rPr>
                <w:rFonts w:hint="eastAsia"/>
                <w:color w:val="auto"/>
                <w:lang w:val="en-US" w:eastAsia="zh-CN"/>
              </w:rPr>
              <w:t xml:space="preserve"> </w:t>
            </w:r>
            <w:r>
              <w:rPr>
                <w:color w:val="auto"/>
              </w:rPr>
              <w:t>鼓励类</w:t>
            </w:r>
            <w:r>
              <w:rPr>
                <w:rFonts w:hint="eastAsia"/>
                <w:color w:val="auto"/>
                <w:lang w:val="en-US" w:eastAsia="zh-CN"/>
              </w:rPr>
              <w:t>-</w:t>
            </w:r>
            <w:r>
              <w:rPr>
                <w:color w:val="auto"/>
              </w:rPr>
              <w:t>三十一、科技服务业-</w:t>
            </w:r>
            <w:r>
              <w:rPr>
                <w:rFonts w:hint="eastAsia"/>
                <w:color w:val="auto"/>
                <w:lang w:val="en-US" w:eastAsia="zh-CN"/>
              </w:rPr>
              <w:t>5</w:t>
            </w:r>
            <w:r>
              <w:rPr>
                <w:color w:val="auto"/>
              </w:rPr>
              <w:t>、</w:t>
            </w:r>
            <w:r>
              <w:rPr>
                <w:rFonts w:hint="eastAsia"/>
                <w:color w:val="auto"/>
              </w:rPr>
              <w:t>分析、试验、测试以及相关技术咨询与研发服务”</w:t>
            </w:r>
            <w:r>
              <w:rPr>
                <w:color w:val="auto"/>
              </w:rPr>
              <w:t>。因此，本项目的建设符合国</w:t>
            </w:r>
            <w:r>
              <w:rPr>
                <w:rFonts w:ascii="Times New Roman" w:hAnsi="Times New Roman" w:eastAsia="宋体" w:cs="Times New Roman"/>
                <w:color w:val="auto"/>
              </w:rPr>
              <w:t>家产业政策要求。</w:t>
            </w:r>
            <w:r>
              <w:rPr>
                <w:rFonts w:hint="eastAsia" w:ascii="Times New Roman" w:hAnsi="Times New Roman" w:eastAsia="宋体" w:cs="Times New Roman"/>
                <w:color w:val="auto"/>
                <w:lang w:val="zh-CN"/>
              </w:rPr>
              <w:t>对照《市场准入负面清单》（202</w:t>
            </w:r>
            <w:r>
              <w:rPr>
                <w:rFonts w:hint="eastAsia" w:cs="Times New Roman"/>
                <w:color w:val="auto"/>
                <w:lang w:val="en-US" w:eastAsia="zh-CN"/>
              </w:rPr>
              <w:t>5</w:t>
            </w:r>
            <w:r>
              <w:rPr>
                <w:rFonts w:hint="eastAsia" w:ascii="Times New Roman" w:hAnsi="Times New Roman" w:eastAsia="宋体" w:cs="Times New Roman"/>
                <w:color w:val="auto"/>
                <w:lang w:val="zh-CN"/>
              </w:rPr>
              <w:t>年版），本项目不在清单中禁止准入类或许可准入类之列，可依法平等进入。</w:t>
            </w:r>
          </w:p>
          <w:p w14:paraId="1EAEED3D">
            <w:pPr>
              <w:keepNext w:val="0"/>
              <w:keepLines w:val="0"/>
              <w:pageBreakBefore w:val="0"/>
              <w:suppressLineNumbers w:val="0"/>
              <w:kinsoku/>
              <w:overflowPunct/>
              <w:topLinePunct w:val="0"/>
              <w:bidi w:val="0"/>
              <w:snapToGrid/>
              <w:spacing w:before="0" w:beforeAutospacing="0" w:after="0" w:afterAutospacing="0"/>
              <w:ind w:left="0" w:right="0" w:firstLine="480"/>
              <w:rPr>
                <w:rFonts w:hint="default" w:ascii="Times New Roman" w:hAnsi="Times New Roman" w:cs="Times New Roman"/>
                <w:color w:val="auto"/>
                <w:lang w:val="en-US" w:eastAsia="zh-CN"/>
              </w:rPr>
            </w:pPr>
            <w:r>
              <w:rPr>
                <w:rFonts w:hint="eastAsia" w:cs="Times New Roman"/>
                <w:color w:val="auto"/>
                <w:lang w:val="en-US" w:eastAsia="zh-CN"/>
              </w:rPr>
              <w:t>且项目已于2023年7月24日取得项目备案确认书，项目代码为</w:t>
            </w:r>
            <w:r>
              <w:rPr>
                <w:rFonts w:hint="default" w:cs="Times New Roman"/>
                <w:color w:val="auto"/>
                <w:lang w:val="en-US" w:eastAsia="zh-CN"/>
              </w:rPr>
              <w:t>2307-611203-04-01-546689</w:t>
            </w:r>
            <w:r>
              <w:rPr>
                <w:rFonts w:hint="eastAsia" w:cs="Times New Roman"/>
                <w:color w:val="auto"/>
                <w:lang w:val="en-US" w:eastAsia="zh-CN"/>
              </w:rPr>
              <w:t>。</w:t>
            </w:r>
          </w:p>
          <w:p w14:paraId="214D048E">
            <w:pPr>
              <w:ind w:firstLine="482"/>
              <w:rPr>
                <w:rFonts w:hint="eastAsia"/>
                <w:b/>
                <w:bCs/>
                <w:color w:val="auto"/>
                <w:lang w:val="en-US" w:eastAsia="zh-CN"/>
              </w:rPr>
            </w:pPr>
            <w:r>
              <w:rPr>
                <w:rFonts w:hint="default" w:ascii="Times New Roman" w:hAnsi="Times New Roman" w:cs="Times New Roman"/>
                <w:color w:val="auto"/>
              </w:rPr>
              <w:t>因此，本项目的建设符合国家</w:t>
            </w:r>
            <w:r>
              <w:rPr>
                <w:rFonts w:hint="eastAsia" w:cs="Times New Roman"/>
                <w:color w:val="auto"/>
                <w:lang w:val="en-US" w:eastAsia="zh-CN"/>
              </w:rPr>
              <w:t>和地方</w:t>
            </w:r>
            <w:r>
              <w:rPr>
                <w:rFonts w:hint="default" w:ascii="Times New Roman" w:hAnsi="Times New Roman" w:cs="Times New Roman"/>
                <w:color w:val="auto"/>
              </w:rPr>
              <w:t>现行产业政策。</w:t>
            </w:r>
          </w:p>
          <w:p w14:paraId="70569E84">
            <w:pPr>
              <w:ind w:firstLine="482"/>
              <w:rPr>
                <w:rFonts w:hint="default" w:ascii="Times New Roman" w:hAnsi="Times New Roman" w:eastAsia="宋体" w:cs="宋体"/>
                <w:b/>
                <w:bCs/>
                <w:color w:val="auto"/>
                <w:kern w:val="0"/>
                <w:sz w:val="24"/>
                <w:szCs w:val="28"/>
                <w:lang w:val="zh-CN" w:eastAsia="zh-CN" w:bidi="zh-CN"/>
              </w:rPr>
            </w:pPr>
            <w:r>
              <w:rPr>
                <w:rFonts w:hint="eastAsia" w:ascii="Times New Roman" w:hAnsi="Times New Roman" w:eastAsia="宋体" w:cs="宋体"/>
                <w:b/>
                <w:bCs/>
                <w:color w:val="auto"/>
                <w:kern w:val="0"/>
                <w:sz w:val="24"/>
                <w:szCs w:val="28"/>
                <w:lang w:val="en-US" w:eastAsia="zh-CN" w:bidi="zh-CN"/>
              </w:rPr>
              <w:t>2</w:t>
            </w:r>
            <w:r>
              <w:rPr>
                <w:rFonts w:hint="default" w:ascii="Times New Roman" w:hAnsi="Times New Roman" w:eastAsia="宋体" w:cs="宋体"/>
                <w:b/>
                <w:bCs/>
                <w:color w:val="auto"/>
                <w:kern w:val="0"/>
                <w:sz w:val="24"/>
                <w:szCs w:val="28"/>
                <w:lang w:val="zh-CN" w:eastAsia="zh-CN" w:bidi="zh-CN"/>
              </w:rPr>
              <w:t>、与</w:t>
            </w:r>
            <w:r>
              <w:rPr>
                <w:rFonts w:hint="eastAsia" w:ascii="Times New Roman" w:hAnsi="Times New Roman" w:eastAsia="宋体" w:cs="宋体"/>
                <w:b/>
                <w:bCs/>
                <w:color w:val="auto"/>
                <w:kern w:val="0"/>
                <w:sz w:val="24"/>
                <w:szCs w:val="28"/>
                <w:lang w:val="zh-CN" w:eastAsia="zh-CN" w:bidi="zh-CN"/>
              </w:rPr>
              <w:t>“</w:t>
            </w:r>
            <w:r>
              <w:rPr>
                <w:rFonts w:hint="default" w:ascii="Times New Roman" w:hAnsi="Times New Roman" w:eastAsia="宋体" w:cs="宋体"/>
                <w:b/>
                <w:bCs/>
                <w:color w:val="auto"/>
                <w:kern w:val="0"/>
                <w:sz w:val="24"/>
                <w:szCs w:val="28"/>
                <w:lang w:val="zh-CN" w:eastAsia="zh-CN" w:bidi="zh-CN"/>
              </w:rPr>
              <w:t>三线一单</w:t>
            </w:r>
            <w:r>
              <w:rPr>
                <w:rFonts w:hint="eastAsia" w:ascii="Times New Roman" w:hAnsi="Times New Roman" w:eastAsia="宋体" w:cs="宋体"/>
                <w:b/>
                <w:bCs/>
                <w:color w:val="auto"/>
                <w:kern w:val="0"/>
                <w:sz w:val="24"/>
                <w:szCs w:val="28"/>
                <w:lang w:val="zh-CN" w:eastAsia="zh-CN" w:bidi="zh-CN"/>
              </w:rPr>
              <w:t>”</w:t>
            </w:r>
            <w:r>
              <w:rPr>
                <w:rFonts w:hint="default" w:ascii="Times New Roman" w:hAnsi="Times New Roman" w:eastAsia="宋体" w:cs="宋体"/>
                <w:b/>
                <w:bCs/>
                <w:color w:val="auto"/>
                <w:kern w:val="0"/>
                <w:sz w:val="24"/>
                <w:szCs w:val="28"/>
                <w:lang w:val="zh-CN" w:eastAsia="zh-CN" w:bidi="zh-CN"/>
              </w:rPr>
              <w:t>符合性分析</w:t>
            </w:r>
          </w:p>
          <w:p w14:paraId="1F7532D0">
            <w:pPr>
              <w:bidi w:val="0"/>
              <w:rPr>
                <w:rFonts w:hint="eastAsia" w:ascii="Times New Roman" w:hAnsi="Times New Roman" w:cs="Times New Roman"/>
                <w:color w:val="auto"/>
                <w:kern w:val="0"/>
                <w:szCs w:val="21"/>
                <w:lang w:val="zh-CN"/>
              </w:rPr>
            </w:pPr>
            <w:r>
              <w:rPr>
                <w:rFonts w:hint="eastAsia" w:ascii="Times New Roman" w:hAnsi="Times New Roman" w:cs="Times New Roman"/>
                <w:color w:val="auto"/>
                <w:sz w:val="24"/>
                <w:lang w:eastAsia="zh-CN"/>
              </w:rPr>
              <w:t>本项目已在陕西省生态环境厅发布的陕西省“三线一单”数据管理系统查询，并取得《陕西省“三线一单”生态环境管控单元对照分析报告》</w:t>
            </w:r>
            <w:r>
              <w:rPr>
                <w:rFonts w:hint="eastAsia" w:ascii="Times New Roman" w:hAnsi="Times New Roman" w:cs="Times New Roman"/>
                <w:color w:val="auto"/>
                <w:sz w:val="24"/>
                <w:highlight w:val="none"/>
                <w:lang w:eastAsia="zh-CN"/>
              </w:rPr>
              <w:t>（</w:t>
            </w:r>
            <w:r>
              <w:rPr>
                <w:rFonts w:hint="eastAsia" w:cs="Times New Roman"/>
                <w:color w:val="auto"/>
                <w:sz w:val="24"/>
                <w:highlight w:val="none"/>
                <w:lang w:val="en-US" w:eastAsia="zh-CN"/>
              </w:rPr>
              <w:t>见</w:t>
            </w:r>
            <w:r>
              <w:rPr>
                <w:rFonts w:hint="eastAsia" w:ascii="Times New Roman" w:hAnsi="Times New Roman" w:cs="Times New Roman"/>
                <w:color w:val="auto"/>
                <w:sz w:val="24"/>
                <w:highlight w:val="none"/>
                <w:lang w:eastAsia="zh-CN"/>
              </w:rPr>
              <w:t>附件</w:t>
            </w:r>
            <w:r>
              <w:rPr>
                <w:rFonts w:hint="eastAsia" w:cs="Times New Roman"/>
                <w:color w:val="auto"/>
                <w:sz w:val="24"/>
                <w:highlight w:val="none"/>
                <w:lang w:val="en-US" w:eastAsia="zh-CN"/>
              </w:rPr>
              <w:t>4</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lang w:eastAsia="zh-CN"/>
              </w:rPr>
              <w:t>。</w:t>
            </w:r>
            <w:r>
              <w:rPr>
                <w:rFonts w:hint="default"/>
                <w:color w:val="auto"/>
              </w:rPr>
              <w:t>根据</w:t>
            </w:r>
            <w:r>
              <w:rPr>
                <w:rFonts w:hint="eastAsia"/>
                <w:color w:val="auto"/>
                <w:u w:color="000000"/>
                <w:lang w:eastAsia="zh-CN"/>
              </w:rPr>
              <w:t>《</w:t>
            </w:r>
            <w:r>
              <w:rPr>
                <w:rFonts w:hint="eastAsia"/>
                <w:color w:val="auto"/>
                <w:u w:color="000000"/>
              </w:rPr>
              <w:t>陕西省生态环境厅办公室关于印发</w:t>
            </w:r>
            <w:r>
              <w:rPr>
                <w:rFonts w:hint="eastAsia"/>
                <w:color w:val="auto"/>
                <w:u w:color="000000"/>
                <w:lang w:val="en-US" w:eastAsia="zh-CN"/>
              </w:rPr>
              <w:t>&lt;</w:t>
            </w:r>
            <w:r>
              <w:rPr>
                <w:rFonts w:hint="eastAsia"/>
                <w:color w:val="auto"/>
                <w:u w:color="000000"/>
              </w:rPr>
              <w:t>陕西省“三线一单”生态环境分区管控应用技术指南：环境影响评价（试行）</w:t>
            </w:r>
            <w:r>
              <w:rPr>
                <w:rFonts w:hint="eastAsia"/>
                <w:color w:val="auto"/>
                <w:u w:color="000000"/>
                <w:lang w:val="en-US" w:eastAsia="zh-CN"/>
              </w:rPr>
              <w:t>&gt;</w:t>
            </w:r>
            <w:r>
              <w:rPr>
                <w:rFonts w:hint="eastAsia"/>
                <w:color w:val="auto"/>
                <w:u w:color="000000"/>
              </w:rPr>
              <w:t>的通知</w:t>
            </w:r>
            <w:r>
              <w:rPr>
                <w:rFonts w:hint="eastAsia"/>
                <w:color w:val="auto"/>
                <w:u w:color="000000"/>
                <w:lang w:eastAsia="zh-CN"/>
              </w:rPr>
              <w:t>》</w:t>
            </w:r>
            <w:r>
              <w:rPr>
                <w:rFonts w:hint="eastAsia"/>
                <w:color w:val="auto"/>
                <w:u w:color="000000"/>
              </w:rPr>
              <w:t>（陕环办发〔2022〕76号）</w:t>
            </w:r>
            <w:r>
              <w:rPr>
                <w:rFonts w:hint="eastAsia"/>
                <w:color w:val="auto"/>
                <w:u w:color="000000"/>
                <w:lang w:eastAsia="zh-CN"/>
              </w:rPr>
              <w:t>、</w:t>
            </w:r>
            <w:r>
              <w:rPr>
                <w:rFonts w:hint="default"/>
                <w:color w:val="auto"/>
              </w:rPr>
              <w:t>《西安市生态环境保护委员会办公室关于印发&lt;2023年西安市生态环境分区管控调整方案&gt;的通知》（市生态委办发〔2024〕16号），</w:t>
            </w:r>
            <w:r>
              <w:rPr>
                <w:rFonts w:hint="eastAsia"/>
                <w:color w:val="auto"/>
                <w:lang w:val="en-US" w:eastAsia="zh-CN"/>
              </w:rPr>
              <w:t>项目</w:t>
            </w:r>
            <w:r>
              <w:rPr>
                <w:rFonts w:hint="default"/>
                <w:color w:val="auto"/>
              </w:rPr>
              <w:t>所在区</w:t>
            </w:r>
            <w:r>
              <w:rPr>
                <w:rFonts w:hint="default"/>
                <w:color w:val="auto"/>
                <w:highlight w:val="none"/>
              </w:rPr>
              <w:t>域属于重点管控单元</w:t>
            </w:r>
            <w:r>
              <w:rPr>
                <w:rFonts w:hint="default"/>
                <w:color w:val="auto"/>
                <w:kern w:val="0"/>
              </w:rPr>
              <w:t>。</w:t>
            </w:r>
            <w:r>
              <w:rPr>
                <w:rFonts w:hint="eastAsia" w:ascii="Times New Roman" w:hAnsi="Times New Roman" w:cs="Times New Roman"/>
                <w:color w:val="auto"/>
                <w:sz w:val="24"/>
                <w:lang w:eastAsia="zh-CN"/>
              </w:rPr>
              <w:t>对</w:t>
            </w:r>
            <w:r>
              <w:rPr>
                <w:rFonts w:hint="eastAsia" w:ascii="Times New Roman" w:hAnsi="Times New Roman" w:cs="Times New Roman"/>
                <w:color w:val="auto"/>
                <w:sz w:val="24"/>
                <w:lang w:val="en-US" w:eastAsia="zh-CN"/>
              </w:rPr>
              <w:t>公司</w:t>
            </w:r>
            <w:r>
              <w:rPr>
                <w:rFonts w:hint="eastAsia" w:ascii="Times New Roman" w:hAnsi="Times New Roman" w:cs="Times New Roman"/>
                <w:color w:val="auto"/>
                <w:sz w:val="24"/>
                <w:lang w:eastAsia="zh-CN"/>
              </w:rPr>
              <w:t>进行“一图一表一说明”分析。</w:t>
            </w:r>
          </w:p>
          <w:p w14:paraId="66BB2E91">
            <w:pPr>
              <w:bidi w:val="0"/>
              <w:rPr>
                <w:rFonts w:hint="eastAsia" w:ascii="Times New Roman" w:hAnsi="Times New Roman" w:cs="Times New Roman"/>
                <w:color w:val="auto"/>
                <w:sz w:val="24"/>
                <w:lang w:eastAsia="zh-CN"/>
              </w:rPr>
            </w:pPr>
            <w:r>
              <w:rPr>
                <w:rFonts w:hint="eastAsia"/>
                <w:b/>
                <w:bCs/>
                <w:color w:val="auto"/>
                <w:lang w:val="zh-CN"/>
              </w:rPr>
              <w:t>一图</w:t>
            </w:r>
            <w:r>
              <w:rPr>
                <w:rFonts w:hint="eastAsia"/>
                <w:color w:val="auto"/>
                <w:lang w:val="zh-CN"/>
              </w:rPr>
              <w:t>：</w:t>
            </w:r>
            <w:r>
              <w:rPr>
                <w:rFonts w:hint="eastAsia"/>
                <w:color w:val="auto"/>
                <w:lang w:val="en-US" w:eastAsia="zh-CN"/>
              </w:rPr>
              <w:t>公司所在地位于重点管控单元，</w:t>
            </w:r>
            <w:r>
              <w:rPr>
                <w:rFonts w:hint="eastAsia" w:ascii="Times New Roman" w:hAnsi="Times New Roman" w:cs="Times New Roman"/>
                <w:color w:val="auto"/>
                <w:sz w:val="24"/>
                <w:lang w:eastAsia="zh-CN"/>
              </w:rPr>
              <w:t>生态环境管控单元位置关系图见</w:t>
            </w:r>
            <w:r>
              <w:rPr>
                <w:rFonts w:hint="eastAsia" w:ascii="Times New Roman" w:hAnsi="Times New Roman" w:cs="Times New Roman"/>
                <w:color w:val="auto"/>
                <w:sz w:val="24"/>
                <w:highlight w:val="none"/>
                <w:lang w:eastAsia="zh-CN"/>
              </w:rPr>
              <w:t>图</w:t>
            </w:r>
            <w:r>
              <w:rPr>
                <w:rFonts w:hint="eastAsia" w:ascii="Times New Roman" w:hAnsi="Times New Roman" w:cs="Times New Roman"/>
                <w:color w:val="auto"/>
                <w:sz w:val="24"/>
                <w:highlight w:val="none"/>
                <w:lang w:val="en-US" w:eastAsia="zh-CN"/>
              </w:rPr>
              <w:t>1-1</w:t>
            </w:r>
            <w:r>
              <w:rPr>
                <w:rFonts w:hint="eastAsia" w:ascii="Times New Roman" w:hAnsi="Times New Roman" w:cs="Times New Roman"/>
                <w:color w:val="auto"/>
                <w:sz w:val="24"/>
                <w:lang w:eastAsia="zh-CN"/>
              </w:rPr>
              <w:t>。</w:t>
            </w:r>
          </w:p>
          <w:p w14:paraId="207D5424">
            <w:pPr>
              <w:keepNext w:val="0"/>
              <w:keepLines w:val="0"/>
              <w:pageBreakBefore w:val="0"/>
              <w:suppressLineNumbers w:val="0"/>
              <w:kinsoku/>
              <w:overflowPunct/>
              <w:topLinePunct w:val="0"/>
              <w:autoSpaceDE w:val="0"/>
              <w:autoSpaceDN w:val="0"/>
              <w:bidi w:val="0"/>
              <w:adjustRightInd w:val="0"/>
              <w:snapToGrid/>
              <w:spacing w:before="0" w:beforeAutospacing="0" w:after="0" w:afterAutospacing="0" w:line="520" w:lineRule="exact"/>
              <w:ind w:left="0" w:right="0" w:firstLine="482" w:firstLineChars="200"/>
              <w:rPr>
                <w:rFonts w:hint="eastAsia" w:ascii="Times New Roman" w:hAnsi="Times New Roman" w:cs="Times New Roman"/>
                <w:color w:val="auto"/>
                <w:sz w:val="24"/>
                <w:lang w:eastAsia="zh-CN"/>
              </w:rPr>
            </w:pPr>
            <w:r>
              <w:rPr>
                <w:rFonts w:hint="eastAsia" w:ascii="Times New Roman" w:hAnsi="Times New Roman" w:cs="Times New Roman"/>
                <w:b/>
                <w:bCs/>
                <w:color w:val="auto"/>
                <w:sz w:val="24"/>
                <w:lang w:eastAsia="zh-CN"/>
              </w:rPr>
              <w:t>一表：</w:t>
            </w:r>
            <w:r>
              <w:rPr>
                <w:rFonts w:hint="eastAsia" w:ascii="Times New Roman" w:hAnsi="Times New Roman" w:cs="Times New Roman"/>
                <w:color w:val="auto"/>
                <w:sz w:val="24"/>
                <w:lang w:eastAsia="zh-CN"/>
              </w:rPr>
              <w:t>本项目</w:t>
            </w:r>
            <w:r>
              <w:rPr>
                <w:rFonts w:hint="eastAsia" w:ascii="Times New Roman" w:hAnsi="Times New Roman" w:cs="Times New Roman"/>
                <w:color w:val="auto"/>
                <w:sz w:val="24"/>
                <w:lang w:val="en-US" w:eastAsia="zh-CN"/>
              </w:rPr>
              <w:t>与</w:t>
            </w:r>
            <w:r>
              <w:rPr>
                <w:rFonts w:hint="eastAsia" w:cs="Times New Roman"/>
                <w:color w:val="auto"/>
                <w:sz w:val="24"/>
                <w:lang w:val="en-US" w:eastAsia="zh-CN"/>
              </w:rPr>
              <w:t>重点管控单元</w:t>
            </w:r>
            <w:r>
              <w:rPr>
                <w:rFonts w:hint="eastAsia" w:ascii="Times New Roman" w:hAnsi="Times New Roman" w:cs="Times New Roman"/>
                <w:color w:val="auto"/>
                <w:sz w:val="24"/>
                <w:lang w:eastAsia="zh-CN"/>
              </w:rPr>
              <w:t>的管控要求及符合性分析见表1-</w:t>
            </w:r>
            <w:r>
              <w:rPr>
                <w:rFonts w:hint="eastAsia" w:cs="Times New Roman"/>
                <w:color w:val="auto"/>
                <w:sz w:val="24"/>
                <w:lang w:val="en-US" w:eastAsia="zh-CN"/>
              </w:rPr>
              <w:t>2</w:t>
            </w:r>
            <w:r>
              <w:rPr>
                <w:rFonts w:hint="eastAsia" w:ascii="Times New Roman" w:hAnsi="Times New Roman" w:cs="Times New Roman"/>
                <w:color w:val="auto"/>
                <w:sz w:val="24"/>
                <w:lang w:eastAsia="zh-CN"/>
              </w:rPr>
              <w:t>。</w:t>
            </w:r>
          </w:p>
          <w:p w14:paraId="116F9A1A">
            <w:pPr>
              <w:keepNext w:val="0"/>
              <w:keepLines w:val="0"/>
              <w:pageBreakBefore w:val="0"/>
              <w:suppressLineNumbers w:val="0"/>
              <w:kinsoku/>
              <w:overflowPunct/>
              <w:topLinePunct w:val="0"/>
              <w:autoSpaceDE w:val="0"/>
              <w:autoSpaceDN w:val="0"/>
              <w:bidi w:val="0"/>
              <w:adjustRightInd w:val="0"/>
              <w:snapToGrid/>
              <w:spacing w:before="0" w:beforeAutospacing="0" w:after="0" w:afterAutospacing="0" w:line="520" w:lineRule="exact"/>
              <w:ind w:left="0" w:right="0" w:firstLine="482" w:firstLineChars="200"/>
              <w:rPr>
                <w:rFonts w:hint="default" w:ascii="Times New Roman" w:hAnsi="Times New Roman" w:cs="Times New Roman"/>
                <w:color w:val="auto"/>
                <w:sz w:val="24"/>
                <w:lang w:val="en-US" w:eastAsia="zh-CN"/>
              </w:rPr>
            </w:pPr>
            <w:r>
              <w:rPr>
                <w:rFonts w:hint="eastAsia" w:ascii="Times New Roman" w:hAnsi="Times New Roman" w:cs="Times New Roman"/>
                <w:b/>
                <w:bCs/>
                <w:color w:val="auto"/>
                <w:sz w:val="24"/>
                <w:lang w:eastAsia="zh-CN"/>
              </w:rPr>
              <w:t>一说明：</w:t>
            </w:r>
            <w:r>
              <w:rPr>
                <w:rFonts w:hint="eastAsia"/>
                <w:color w:val="auto"/>
              </w:rPr>
              <w:t>通过生态环境管控单元对照图可知，</w:t>
            </w:r>
            <w:r>
              <w:rPr>
                <w:rFonts w:hint="default"/>
                <w:color w:val="auto"/>
              </w:rPr>
              <w:t>本项目位于</w:t>
            </w:r>
            <w:r>
              <w:rPr>
                <w:rFonts w:hint="eastAsia"/>
                <w:color w:val="auto"/>
                <w:lang w:val="en-US" w:eastAsia="zh-CN"/>
              </w:rPr>
              <w:t>西咸新区沣东新城</w:t>
            </w:r>
            <w:r>
              <w:rPr>
                <w:rFonts w:hint="default"/>
                <w:color w:val="auto"/>
              </w:rPr>
              <w:t>，</w:t>
            </w:r>
            <w:r>
              <w:rPr>
                <w:rFonts w:hint="eastAsia"/>
                <w:color w:val="auto"/>
              </w:rPr>
              <w:t>属于重点管控单元，项目不涉及生态环境敏感区；通过环境管控单元管控要求及符合性分析表可知，项目满足重点管控单元</w:t>
            </w:r>
            <w:r>
              <w:rPr>
                <w:rFonts w:hint="eastAsia"/>
                <w:color w:val="auto"/>
                <w:lang w:val="en-US" w:eastAsia="zh-CN"/>
              </w:rPr>
              <w:t>相关</w:t>
            </w:r>
            <w:r>
              <w:rPr>
                <w:rFonts w:hint="eastAsia"/>
                <w:color w:val="auto"/>
              </w:rPr>
              <w:t>要求。</w:t>
            </w:r>
          </w:p>
          <w:p w14:paraId="3C28FB0A">
            <w:pPr>
              <w:bidi w:val="0"/>
              <w:rPr>
                <w:rFonts w:hint="eastAsia" w:ascii="Times New Roman" w:hAnsi="Times New Roman" w:cs="Times New Roman"/>
                <w:color w:val="auto"/>
                <w:sz w:val="24"/>
                <w:lang w:eastAsia="zh-CN"/>
              </w:rPr>
            </w:pPr>
          </w:p>
          <w:p w14:paraId="45591ED8">
            <w:pPr>
              <w:bidi w:val="0"/>
              <w:rPr>
                <w:rFonts w:hint="eastAsia" w:ascii="Times New Roman" w:hAnsi="Times New Roman" w:cs="Times New Roman"/>
                <w:color w:val="auto"/>
                <w:sz w:val="24"/>
                <w:lang w:eastAsia="zh-CN"/>
              </w:rPr>
            </w:pPr>
          </w:p>
          <w:p w14:paraId="1770CAC6">
            <w:pPr>
              <w:bidi w:val="0"/>
              <w:rPr>
                <w:rFonts w:hint="eastAsia" w:ascii="Times New Roman" w:hAnsi="Times New Roman" w:cs="Times New Roman"/>
                <w:color w:val="auto"/>
                <w:sz w:val="24"/>
                <w:lang w:eastAsia="zh-CN"/>
              </w:rPr>
            </w:pPr>
          </w:p>
          <w:p w14:paraId="7BE20865">
            <w:pPr>
              <w:bidi w:val="0"/>
              <w:rPr>
                <w:rFonts w:hint="eastAsia" w:ascii="Times New Roman" w:hAnsi="Times New Roman" w:cs="Times New Roman"/>
                <w:color w:val="auto"/>
                <w:sz w:val="24"/>
                <w:lang w:eastAsia="zh-CN"/>
              </w:rPr>
            </w:pPr>
          </w:p>
          <w:p w14:paraId="491247F0">
            <w:pPr>
              <w:bidi w:val="0"/>
              <w:rPr>
                <w:rFonts w:hint="eastAsia" w:ascii="Times New Roman" w:hAnsi="Times New Roman" w:cs="Times New Roman"/>
                <w:color w:val="auto"/>
                <w:sz w:val="24"/>
                <w:lang w:eastAsia="zh-CN"/>
              </w:rPr>
            </w:pPr>
          </w:p>
          <w:p w14:paraId="3B23F203">
            <w:pPr>
              <w:bidi w:val="0"/>
              <w:rPr>
                <w:rFonts w:hint="eastAsia" w:ascii="Times New Roman" w:hAnsi="Times New Roman" w:cs="Times New Roman"/>
                <w:color w:val="auto"/>
                <w:sz w:val="24"/>
                <w:lang w:eastAsia="zh-CN"/>
              </w:rPr>
            </w:pPr>
          </w:p>
          <w:p w14:paraId="4B3B10A6">
            <w:pPr>
              <w:bidi w:val="0"/>
              <w:rPr>
                <w:rFonts w:hint="eastAsia" w:ascii="Times New Roman" w:hAnsi="Times New Roman" w:cs="Times New Roman"/>
                <w:color w:val="auto"/>
                <w:sz w:val="24"/>
                <w:lang w:eastAsia="zh-CN"/>
              </w:rPr>
            </w:pPr>
          </w:p>
          <w:p w14:paraId="616B3DF6">
            <w:pPr>
              <w:bidi w:val="0"/>
              <w:rPr>
                <w:rFonts w:hint="eastAsia" w:ascii="Times New Roman" w:hAnsi="Times New Roman" w:cs="Times New Roman"/>
                <w:color w:val="auto"/>
                <w:sz w:val="24"/>
                <w:lang w:eastAsia="zh-CN"/>
              </w:rPr>
            </w:pPr>
          </w:p>
          <w:p w14:paraId="03566113">
            <w:pPr>
              <w:bidi w:val="0"/>
              <w:rPr>
                <w:rFonts w:hint="eastAsia" w:ascii="Times New Roman" w:hAnsi="Times New Roman" w:cs="Times New Roman"/>
                <w:color w:val="auto"/>
                <w:sz w:val="24"/>
                <w:lang w:eastAsia="zh-CN"/>
              </w:rPr>
            </w:pPr>
          </w:p>
          <w:p w14:paraId="23E38169">
            <w:pPr>
              <w:bidi w:val="0"/>
              <w:rPr>
                <w:rFonts w:hint="eastAsia" w:ascii="Times New Roman" w:hAnsi="Times New Roman" w:cs="Times New Roman"/>
                <w:color w:val="auto"/>
                <w:sz w:val="24"/>
                <w:lang w:eastAsia="zh-CN"/>
              </w:rPr>
            </w:pPr>
          </w:p>
          <w:p w14:paraId="709DE89C">
            <w:pPr>
              <w:bidi w:val="0"/>
              <w:rPr>
                <w:rFonts w:hint="eastAsia" w:ascii="Times New Roman" w:hAnsi="Times New Roman" w:cs="Times New Roman"/>
                <w:color w:val="auto"/>
                <w:sz w:val="24"/>
                <w:lang w:eastAsia="zh-CN"/>
              </w:rPr>
            </w:pPr>
          </w:p>
          <w:p w14:paraId="4B4EAC14">
            <w:pPr>
              <w:bidi w:val="0"/>
              <w:rPr>
                <w:rFonts w:hint="eastAsia" w:ascii="Times New Roman" w:hAnsi="Times New Roman" w:cs="Times New Roman"/>
                <w:color w:val="auto"/>
                <w:sz w:val="24"/>
                <w:lang w:eastAsia="zh-CN"/>
              </w:rPr>
            </w:pPr>
          </w:p>
          <w:p w14:paraId="6105A9FF">
            <w:pPr>
              <w:bidi w:val="0"/>
              <w:rPr>
                <w:rFonts w:hint="eastAsia" w:ascii="Times New Roman" w:hAnsi="Times New Roman" w:cs="Times New Roman"/>
                <w:color w:val="auto"/>
                <w:sz w:val="24"/>
                <w:lang w:eastAsia="zh-CN"/>
              </w:rPr>
            </w:pPr>
          </w:p>
          <w:p w14:paraId="14D03A31">
            <w:pPr>
              <w:bidi w:val="0"/>
              <w:rPr>
                <w:rFonts w:hint="eastAsia" w:ascii="Times New Roman" w:hAnsi="Times New Roman" w:cs="Times New Roman"/>
                <w:color w:val="auto"/>
                <w:sz w:val="24"/>
                <w:lang w:eastAsia="zh-CN"/>
              </w:rPr>
            </w:pPr>
          </w:p>
          <w:p w14:paraId="017AC41D">
            <w:pPr>
              <w:bidi w:val="0"/>
              <w:rPr>
                <w:rFonts w:hint="eastAsia" w:ascii="Times New Roman" w:hAnsi="Times New Roman" w:cs="Times New Roman"/>
                <w:color w:val="auto"/>
                <w:sz w:val="24"/>
                <w:lang w:eastAsia="zh-CN"/>
              </w:rPr>
            </w:pPr>
          </w:p>
          <w:p w14:paraId="30EE5844">
            <w:pPr>
              <w:bidi w:val="0"/>
              <w:rPr>
                <w:rFonts w:hint="eastAsia" w:ascii="Times New Roman" w:hAnsi="Times New Roman" w:cs="Times New Roman"/>
                <w:color w:val="auto"/>
                <w:sz w:val="24"/>
                <w:lang w:eastAsia="zh-CN"/>
              </w:rPr>
            </w:pPr>
          </w:p>
          <w:p w14:paraId="2A977006">
            <w:pPr>
              <w:bidi w:val="0"/>
              <w:rPr>
                <w:rFonts w:hint="eastAsia" w:ascii="Times New Roman" w:hAnsi="Times New Roman" w:cs="Times New Roman"/>
                <w:color w:val="auto"/>
                <w:sz w:val="24"/>
                <w:lang w:eastAsia="zh-CN"/>
              </w:rPr>
            </w:pPr>
          </w:p>
          <w:p w14:paraId="75AE14AD">
            <w:pPr>
              <w:bidi w:val="0"/>
              <w:rPr>
                <w:rFonts w:hint="eastAsia" w:ascii="Times New Roman" w:hAnsi="Times New Roman" w:cs="Times New Roman"/>
                <w:color w:val="auto"/>
                <w:sz w:val="24"/>
                <w:lang w:eastAsia="zh-CN"/>
              </w:rPr>
            </w:pPr>
          </w:p>
          <w:p w14:paraId="28840A64">
            <w:pPr>
              <w:bidi w:val="0"/>
              <w:rPr>
                <w:rFonts w:hint="eastAsia" w:ascii="Times New Roman" w:hAnsi="Times New Roman" w:cs="Times New Roman"/>
                <w:color w:val="auto"/>
                <w:sz w:val="24"/>
                <w:lang w:eastAsia="zh-CN"/>
              </w:rPr>
            </w:pPr>
          </w:p>
          <w:p w14:paraId="70F0C62A">
            <w:pPr>
              <w:bidi w:val="0"/>
              <w:rPr>
                <w:rFonts w:hint="eastAsia" w:ascii="Times New Roman" w:hAnsi="Times New Roman" w:cs="Times New Roman"/>
                <w:color w:val="auto"/>
                <w:sz w:val="24"/>
                <w:lang w:eastAsia="zh-CN"/>
              </w:rPr>
            </w:pPr>
          </w:p>
          <w:p w14:paraId="24572119">
            <w:pPr>
              <w:bidi w:val="0"/>
              <w:spacing w:line="240" w:lineRule="auto"/>
              <w:ind w:left="0" w:leftChars="0" w:firstLine="0" w:firstLineChars="0"/>
              <w:jc w:val="center"/>
              <w:rPr>
                <w:color w:val="auto"/>
              </w:rPr>
            </w:pPr>
            <w:r>
              <w:rPr>
                <w:rFonts w:hint="eastAsia" w:eastAsia="宋体"/>
                <w:lang w:eastAsia="zh-CN"/>
              </w:rPr>
              <w:drawing>
                <wp:anchor distT="0" distB="0" distL="114300" distR="114300" simplePos="0" relativeHeight="251661312" behindDoc="0" locked="0" layoutInCell="1" allowOverlap="1">
                  <wp:simplePos x="0" y="0"/>
                  <wp:positionH relativeFrom="column">
                    <wp:posOffset>3378200</wp:posOffset>
                  </wp:positionH>
                  <wp:positionV relativeFrom="paragraph">
                    <wp:posOffset>47625</wp:posOffset>
                  </wp:positionV>
                  <wp:extent cx="518795" cy="539750"/>
                  <wp:effectExtent l="0" t="0" r="14605" b="12700"/>
                  <wp:wrapNone/>
                  <wp:docPr id="12" name="图片 12" descr="西安市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西安市1"/>
                          <pic:cNvPicPr>
                            <a:picLocks noChangeAspect="1"/>
                          </pic:cNvPicPr>
                        </pic:nvPicPr>
                        <pic:blipFill>
                          <a:blip r:embed="rId13"/>
                          <a:stretch>
                            <a:fillRect/>
                          </a:stretch>
                        </pic:blipFill>
                        <pic:spPr>
                          <a:xfrm>
                            <a:off x="0" y="0"/>
                            <a:ext cx="518795" cy="539750"/>
                          </a:xfrm>
                          <a:prstGeom prst="rect">
                            <a:avLst/>
                          </a:prstGeom>
                        </pic:spPr>
                      </pic:pic>
                    </a:graphicData>
                  </a:graphic>
                </wp:anchor>
              </w:drawing>
            </w: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452120</wp:posOffset>
                      </wp:positionH>
                      <wp:positionV relativeFrom="paragraph">
                        <wp:posOffset>4425950</wp:posOffset>
                      </wp:positionV>
                      <wp:extent cx="771525" cy="762000"/>
                      <wp:effectExtent l="4445" t="4445" r="5080" b="14605"/>
                      <wp:wrapNone/>
                      <wp:docPr id="8" name="文本框 8"/>
                      <wp:cNvGraphicFramePr/>
                      <a:graphic xmlns:a="http://schemas.openxmlformats.org/drawingml/2006/main">
                        <a:graphicData uri="http://schemas.microsoft.com/office/word/2010/wordprocessingShape">
                          <wps:wsp>
                            <wps:cNvSpPr txBox="1"/>
                            <wps:spPr>
                              <a:xfrm>
                                <a:off x="2525395" y="6395085"/>
                                <a:ext cx="771525" cy="762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D3E6E5A">
                                  <w:pPr>
                                    <w:spacing w:line="240" w:lineRule="auto"/>
                                    <w:ind w:left="0" w:leftChars="0" w:firstLine="0" w:firstLineChars="0"/>
                                  </w:pPr>
                                  <w:r>
                                    <w:rPr>
                                      <w:rFonts w:hint="eastAsia" w:eastAsia="宋体"/>
                                      <w:lang w:eastAsia="zh-CN"/>
                                    </w:rPr>
                                    <w:drawing>
                                      <wp:inline distT="0" distB="0" distL="114300" distR="114300">
                                        <wp:extent cx="654050" cy="655320"/>
                                        <wp:effectExtent l="0" t="0" r="12700" b="11430"/>
                                        <wp:docPr id="9" name="图片 10"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图片1"/>
                                                <pic:cNvPicPr>
                                                  <a:picLocks noChangeAspect="1"/>
                                                </pic:cNvPicPr>
                                              </pic:nvPicPr>
                                              <pic:blipFill>
                                                <a:blip r:embed="rId14"/>
                                                <a:srcRect b="19691"/>
                                                <a:stretch>
                                                  <a:fillRect/>
                                                </a:stretch>
                                              </pic:blipFill>
                                              <pic:spPr>
                                                <a:xfrm>
                                                  <a:off x="0" y="0"/>
                                                  <a:ext cx="654050" cy="65532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6pt;margin-top:348.5pt;height:60pt;width:60.75pt;z-index:251659264;mso-width-relative:page;mso-height-relative:page;" fillcolor="#FFFFFF [3201]" filled="t" stroked="t" coordsize="21600,21600" o:gfxdata="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LaitY1gAAAAoBAAAPAAAAAAAAAAEAIAAAACIAAABkcnMvZG93bnJldi54bWxQSwECFAAUAAAA&#10;CACHTuJAC8Ej62ICAADCBAAADgAAAAAAAAABACAAAAAlAQAAZHJzL2Uyb0RvYy54bWxQSwUGAAAA&#10;AAYABgBZAQAA+QUAAAAA&#10;">
                      <v:fill on="t" focussize="0,0"/>
                      <v:stroke weight="0.5pt" color="#000000 [3204]" joinstyle="round"/>
                      <v:imagedata o:title=""/>
                      <o:lock v:ext="edit" aspectratio="f"/>
                      <v:textbox>
                        <w:txbxContent>
                          <w:p w14:paraId="7D3E6E5A">
                            <w:pPr>
                              <w:spacing w:line="240" w:lineRule="auto"/>
                              <w:ind w:left="0" w:leftChars="0" w:firstLine="0" w:firstLineChars="0"/>
                            </w:pPr>
                            <w:r>
                              <w:rPr>
                                <w:rFonts w:hint="eastAsia" w:eastAsia="宋体"/>
                                <w:lang w:eastAsia="zh-CN"/>
                              </w:rPr>
                              <w:drawing>
                                <wp:inline distT="0" distB="0" distL="114300" distR="114300">
                                  <wp:extent cx="654050" cy="655320"/>
                                  <wp:effectExtent l="0" t="0" r="12700" b="11430"/>
                                  <wp:docPr id="9" name="图片 10"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图片1"/>
                                          <pic:cNvPicPr>
                                            <a:picLocks noChangeAspect="1"/>
                                          </pic:cNvPicPr>
                                        </pic:nvPicPr>
                                        <pic:blipFill>
                                          <a:blip r:embed="rId14"/>
                                          <a:srcRect b="19691"/>
                                          <a:stretch>
                                            <a:fillRect/>
                                          </a:stretch>
                                        </pic:blipFill>
                                        <pic:spPr>
                                          <a:xfrm>
                                            <a:off x="0" y="0"/>
                                            <a:ext cx="654050" cy="655320"/>
                                          </a:xfrm>
                                          <a:prstGeom prst="rect">
                                            <a:avLst/>
                                          </a:prstGeom>
                                          <a:noFill/>
                                          <a:ln>
                                            <a:noFill/>
                                          </a:ln>
                                        </pic:spPr>
                                      </pic:pic>
                                    </a:graphicData>
                                  </a:graphic>
                                </wp:inline>
                              </w:drawing>
                            </w:r>
                          </w:p>
                        </w:txbxContent>
                      </v:textbox>
                    </v:shape>
                  </w:pict>
                </mc:Fallback>
              </mc:AlternateContent>
            </w: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3138170</wp:posOffset>
                      </wp:positionH>
                      <wp:positionV relativeFrom="paragraph">
                        <wp:posOffset>15875</wp:posOffset>
                      </wp:positionV>
                      <wp:extent cx="714375" cy="638175"/>
                      <wp:effectExtent l="0" t="0" r="0" b="0"/>
                      <wp:wrapNone/>
                      <wp:docPr id="10" name="文本框 10"/>
                      <wp:cNvGraphicFramePr/>
                      <a:graphic xmlns:a="http://schemas.openxmlformats.org/drawingml/2006/main">
                        <a:graphicData uri="http://schemas.microsoft.com/office/word/2010/wordprocessingShape">
                          <wps:wsp>
                            <wps:cNvSpPr txBox="1"/>
                            <wps:spPr>
                              <a:xfrm>
                                <a:off x="4944745" y="2470785"/>
                                <a:ext cx="714375" cy="638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50F298">
                                  <w:pPr>
                                    <w:spacing w:line="240" w:lineRule="auto"/>
                                    <w:ind w:left="0" w:leftChars="0" w:firstLine="0" w:firstLineChars="0"/>
                                    <w:rPr>
                                      <w:rFonts w:hint="eastAsia" w:eastAsia="宋体"/>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7.1pt;margin-top:1.25pt;height:50.25pt;width:56.25pt;z-index:251660288;mso-width-relative:page;mso-height-relative:page;" filled="f" stroked="f" coordsize="21600,21600" o:gfxdata="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vWg7y2gAAAAkBAAAPAAAAAAAAAAEA&#10;IAAAACIAAABkcnMvZG93bnJldi54bWxQSwECFAAUAAAACACHTuJAHVZhikYCAABzBAAADgAAAAAA&#10;AAABACAAAAApAQAAZHJzL2Uyb0RvYy54bWxQSwUGAAAAAAYABgBZAQAA4QUAAAAA&#10;">
                      <v:fill on="f" focussize="0,0"/>
                      <v:stroke on="f" weight="0.5pt"/>
                      <v:imagedata o:title=""/>
                      <o:lock v:ext="edit" aspectratio="f"/>
                      <v:textbox>
                        <w:txbxContent>
                          <w:p w14:paraId="6E50F298">
                            <w:pPr>
                              <w:spacing w:line="240" w:lineRule="auto"/>
                              <w:ind w:left="0" w:leftChars="0" w:firstLine="0" w:firstLineChars="0"/>
                              <w:rPr>
                                <w:rFonts w:hint="eastAsia" w:eastAsia="宋体"/>
                                <w:lang w:eastAsia="zh-CN"/>
                              </w:rPr>
                            </w:pPr>
                          </w:p>
                        </w:txbxContent>
                      </v:textbox>
                    </v:shape>
                  </w:pict>
                </mc:Fallback>
              </mc:AlternateContent>
            </w:r>
            <w:r>
              <w:drawing>
                <wp:inline distT="0" distB="0" distL="114300" distR="114300">
                  <wp:extent cx="3552825" cy="55765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5"/>
                          <a:srcRect b="5874"/>
                          <a:stretch>
                            <a:fillRect/>
                          </a:stretch>
                        </pic:blipFill>
                        <pic:spPr>
                          <a:xfrm>
                            <a:off x="0" y="0"/>
                            <a:ext cx="3552825" cy="5576570"/>
                          </a:xfrm>
                          <a:prstGeom prst="rect">
                            <a:avLst/>
                          </a:prstGeom>
                          <a:noFill/>
                          <a:ln>
                            <a:noFill/>
                          </a:ln>
                        </pic:spPr>
                      </pic:pic>
                    </a:graphicData>
                  </a:graphic>
                </wp:inline>
              </w:drawing>
            </w:r>
          </w:p>
          <w:p w14:paraId="758AD89B">
            <w:pPr>
              <w:bidi w:val="0"/>
              <w:spacing w:line="240" w:lineRule="auto"/>
              <w:ind w:left="0" w:leftChars="0" w:firstLine="0" w:firstLineChars="0"/>
              <w:jc w:val="center"/>
              <w:rPr>
                <w:rFonts w:hint="default" w:eastAsia="宋体"/>
                <w:color w:val="auto"/>
                <w:lang w:val="en-US" w:eastAsia="zh-CN"/>
              </w:rPr>
            </w:pPr>
            <w:r>
              <w:rPr>
                <w:rFonts w:hint="eastAsia"/>
                <w:b/>
                <w:bCs/>
                <w:color w:val="auto"/>
                <w:lang w:val="en-US" w:eastAsia="zh-CN"/>
              </w:rPr>
              <w:t>图1-1  “三线一单”比对图</w:t>
            </w:r>
          </w:p>
          <w:p w14:paraId="6AE2A069">
            <w:pPr>
              <w:bidi w:val="0"/>
              <w:rPr>
                <w:rFonts w:hint="eastAsia"/>
                <w:color w:val="auto"/>
                <w:lang w:eastAsia="zh-CN"/>
              </w:rPr>
            </w:pPr>
          </w:p>
          <w:p w14:paraId="49D5B0C1">
            <w:pPr>
              <w:bidi w:val="0"/>
              <w:rPr>
                <w:rFonts w:hint="eastAsia"/>
                <w:color w:val="auto"/>
                <w:lang w:eastAsia="zh-CN"/>
              </w:rPr>
            </w:pPr>
          </w:p>
          <w:p w14:paraId="11DD3FE6">
            <w:pPr>
              <w:bidi w:val="0"/>
              <w:rPr>
                <w:rFonts w:hint="eastAsia"/>
                <w:color w:val="auto"/>
                <w:lang w:eastAsia="zh-CN"/>
              </w:rPr>
            </w:pPr>
          </w:p>
          <w:p w14:paraId="335F9FA0">
            <w:pPr>
              <w:bidi w:val="0"/>
              <w:rPr>
                <w:rFonts w:hint="eastAsia"/>
                <w:color w:val="auto"/>
                <w:lang w:eastAsia="zh-CN"/>
              </w:rPr>
            </w:pPr>
          </w:p>
          <w:p w14:paraId="3A0C44F1">
            <w:pPr>
              <w:bidi w:val="0"/>
              <w:rPr>
                <w:rFonts w:hint="eastAsia"/>
                <w:color w:val="auto"/>
                <w:lang w:eastAsia="zh-CN"/>
              </w:rPr>
            </w:pPr>
          </w:p>
          <w:p w14:paraId="1B279830">
            <w:pPr>
              <w:bidi w:val="0"/>
              <w:rPr>
                <w:rFonts w:hint="eastAsia"/>
                <w:color w:val="auto"/>
                <w:lang w:eastAsia="zh-CN"/>
              </w:rPr>
            </w:pPr>
          </w:p>
          <w:p w14:paraId="1BF6F37D">
            <w:pPr>
              <w:bidi w:val="0"/>
              <w:rPr>
                <w:rFonts w:hint="eastAsia"/>
                <w:color w:val="auto"/>
                <w:lang w:eastAsia="zh-CN"/>
              </w:rPr>
            </w:pPr>
          </w:p>
        </w:tc>
      </w:tr>
    </w:tbl>
    <w:p w14:paraId="62C466E8">
      <w:pPr>
        <w:rPr>
          <w:color w:val="auto"/>
        </w:rPr>
        <w:sectPr>
          <w:footerReference r:id="rId11"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tbl>
      <w:tblPr>
        <w:tblStyle w:val="1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29"/>
        <w:gridCol w:w="12120"/>
      </w:tblGrid>
      <w:tr w14:paraId="77405D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35" w:hRule="atLeast"/>
          <w:jc w:val="center"/>
        </w:trPr>
        <w:tc>
          <w:tcPr>
            <w:tcW w:w="560" w:type="pct"/>
            <w:noWrap w:val="0"/>
            <w:vAlign w:val="center"/>
          </w:tcPr>
          <w:p w14:paraId="44D33657">
            <w:pPr>
              <w:spacing w:line="360" w:lineRule="atLeast"/>
              <w:ind w:firstLine="0" w:firstLineChars="0"/>
              <w:jc w:val="center"/>
              <w:rPr>
                <w:color w:val="auto"/>
                <w:kern w:val="0"/>
              </w:rPr>
            </w:pPr>
            <w:r>
              <w:rPr>
                <w:color w:val="auto"/>
                <w:kern w:val="0"/>
              </w:rPr>
              <w:t>其他符合性分析</w:t>
            </w:r>
          </w:p>
        </w:tc>
        <w:tc>
          <w:tcPr>
            <w:tcW w:w="4439" w:type="pct"/>
            <w:noWrap w:val="0"/>
            <w:vAlign w:val="center"/>
          </w:tcPr>
          <w:p w14:paraId="23994608">
            <w:pPr>
              <w:bidi w:val="0"/>
              <w:jc w:val="center"/>
              <w:rPr>
                <w:rFonts w:hint="default"/>
                <w:b/>
                <w:bCs/>
                <w:color w:val="auto"/>
                <w:lang w:val="en-US" w:eastAsia="zh-CN"/>
              </w:rPr>
            </w:pPr>
            <w:r>
              <w:rPr>
                <w:rFonts w:hint="eastAsia"/>
                <w:b/>
                <w:bCs/>
                <w:color w:val="auto"/>
                <w:lang w:val="en-US" w:eastAsia="zh-CN"/>
              </w:rPr>
              <w:t>表1-2  建设项目范围涉及的生态环境管控单元准入清单</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9"/>
              <w:gridCol w:w="505"/>
              <w:gridCol w:w="450"/>
              <w:gridCol w:w="887"/>
              <w:gridCol w:w="709"/>
              <w:gridCol w:w="668"/>
              <w:gridCol w:w="3676"/>
              <w:gridCol w:w="3374"/>
              <w:gridCol w:w="818"/>
              <w:gridCol w:w="441"/>
            </w:tblGrid>
            <w:tr w14:paraId="7740F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 w:type="pct"/>
                  <w:tcBorders>
                    <w:tl2br w:val="nil"/>
                    <w:tr2bl w:val="nil"/>
                  </w:tcBorders>
                  <w:noWrap w:val="0"/>
                  <w:vAlign w:val="center"/>
                </w:tcPr>
                <w:p w14:paraId="06718BD2">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序号</w:t>
                  </w:r>
                </w:p>
              </w:tc>
              <w:tc>
                <w:tcPr>
                  <w:tcW w:w="212" w:type="pct"/>
                  <w:tcBorders>
                    <w:tl2br w:val="nil"/>
                    <w:tr2bl w:val="nil"/>
                  </w:tcBorders>
                  <w:noWrap w:val="0"/>
                  <w:vAlign w:val="center"/>
                </w:tcPr>
                <w:p w14:paraId="0D117DFC">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市（区）</w:t>
                  </w:r>
                </w:p>
              </w:tc>
              <w:tc>
                <w:tcPr>
                  <w:tcW w:w="189" w:type="pct"/>
                  <w:tcBorders>
                    <w:tl2br w:val="nil"/>
                    <w:tr2bl w:val="nil"/>
                  </w:tcBorders>
                  <w:noWrap w:val="0"/>
                  <w:vAlign w:val="center"/>
                </w:tcPr>
                <w:p w14:paraId="55AEA4F3">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区县</w:t>
                  </w:r>
                </w:p>
              </w:tc>
              <w:tc>
                <w:tcPr>
                  <w:tcW w:w="373" w:type="pct"/>
                  <w:tcBorders>
                    <w:tl2br w:val="nil"/>
                    <w:tr2bl w:val="nil"/>
                  </w:tcBorders>
                  <w:noWrap w:val="0"/>
                  <w:vAlign w:val="center"/>
                </w:tcPr>
                <w:p w14:paraId="4278772A">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环境管控单元名称</w:t>
                  </w:r>
                </w:p>
              </w:tc>
              <w:tc>
                <w:tcPr>
                  <w:tcW w:w="298" w:type="pct"/>
                  <w:tcBorders>
                    <w:tl2br w:val="nil"/>
                    <w:tr2bl w:val="nil"/>
                  </w:tcBorders>
                  <w:noWrap w:val="0"/>
                  <w:vAlign w:val="center"/>
                </w:tcPr>
                <w:p w14:paraId="7DA31C6F">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单元要素属性</w:t>
                  </w:r>
                </w:p>
              </w:tc>
              <w:tc>
                <w:tcPr>
                  <w:tcW w:w="280" w:type="pct"/>
                  <w:tcBorders>
                    <w:tl2br w:val="nil"/>
                    <w:tr2bl w:val="nil"/>
                  </w:tcBorders>
                  <w:noWrap w:val="0"/>
                  <w:vAlign w:val="center"/>
                </w:tcPr>
                <w:p w14:paraId="5431AD81">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管控单元分类</w:t>
                  </w:r>
                </w:p>
              </w:tc>
              <w:tc>
                <w:tcPr>
                  <w:tcW w:w="1546" w:type="pct"/>
                  <w:tcBorders>
                    <w:tl2br w:val="nil"/>
                    <w:tr2bl w:val="nil"/>
                  </w:tcBorders>
                  <w:noWrap w:val="0"/>
                  <w:vAlign w:val="center"/>
                </w:tcPr>
                <w:p w14:paraId="4F47E25F">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管控要求</w:t>
                  </w:r>
                </w:p>
              </w:tc>
              <w:tc>
                <w:tcPr>
                  <w:tcW w:w="1419" w:type="pct"/>
                  <w:tcBorders>
                    <w:tl2br w:val="nil"/>
                    <w:tr2bl w:val="nil"/>
                  </w:tcBorders>
                  <w:noWrap w:val="0"/>
                  <w:vAlign w:val="center"/>
                </w:tcPr>
                <w:p w14:paraId="73DF12FA">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本项目情况</w:t>
                  </w:r>
                </w:p>
              </w:tc>
              <w:tc>
                <w:tcPr>
                  <w:tcW w:w="344" w:type="pct"/>
                  <w:tcBorders>
                    <w:tl2br w:val="nil"/>
                    <w:tr2bl w:val="nil"/>
                  </w:tcBorders>
                  <w:noWrap w:val="0"/>
                  <w:vAlign w:val="center"/>
                </w:tcPr>
                <w:p w14:paraId="68AE51BB">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占地面积（m</w:t>
                  </w:r>
                  <w:r>
                    <w:rPr>
                      <w:rFonts w:hint="eastAsia" w:ascii="Times New Roman" w:hAnsi="Times New Roman" w:cs="Times New Roman"/>
                      <w:b/>
                      <w:bCs/>
                      <w:color w:val="auto"/>
                      <w:sz w:val="21"/>
                      <w:szCs w:val="21"/>
                      <w:vertAlign w:val="superscript"/>
                      <w:lang w:val="en-US" w:eastAsia="zh-CN"/>
                    </w:rPr>
                    <w:t>2</w:t>
                  </w:r>
                  <w:r>
                    <w:rPr>
                      <w:rFonts w:hint="eastAsia" w:ascii="Times New Roman" w:hAnsi="Times New Roman" w:cs="Times New Roman"/>
                      <w:b/>
                      <w:bCs/>
                      <w:color w:val="auto"/>
                      <w:sz w:val="21"/>
                      <w:szCs w:val="21"/>
                      <w:lang w:val="en-US" w:eastAsia="zh-CN"/>
                    </w:rPr>
                    <w:t>）</w:t>
                  </w:r>
                </w:p>
              </w:tc>
              <w:tc>
                <w:tcPr>
                  <w:tcW w:w="185" w:type="pct"/>
                  <w:tcBorders>
                    <w:tl2br w:val="nil"/>
                    <w:tr2bl w:val="nil"/>
                  </w:tcBorders>
                  <w:noWrap w:val="0"/>
                  <w:vAlign w:val="center"/>
                </w:tcPr>
                <w:p w14:paraId="7607A4F8">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符合性</w:t>
                  </w:r>
                </w:p>
              </w:tc>
            </w:tr>
            <w:tr w14:paraId="610A8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0" w:hRule="atLeast"/>
                <w:jc w:val="center"/>
              </w:trPr>
              <w:tc>
                <w:tcPr>
                  <w:tcW w:w="151" w:type="pct"/>
                  <w:vMerge w:val="restart"/>
                  <w:tcBorders>
                    <w:tl2br w:val="nil"/>
                    <w:tr2bl w:val="nil"/>
                  </w:tcBorders>
                  <w:noWrap w:val="0"/>
                  <w:vAlign w:val="center"/>
                </w:tcPr>
                <w:p w14:paraId="2F0E50CE">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212" w:type="pct"/>
                  <w:vMerge w:val="restart"/>
                  <w:tcBorders>
                    <w:tl2br w:val="nil"/>
                    <w:tr2bl w:val="nil"/>
                  </w:tcBorders>
                  <w:noWrap w:val="0"/>
                  <w:vAlign w:val="center"/>
                </w:tcPr>
                <w:p w14:paraId="2F6E611F">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西安市</w:t>
                  </w:r>
                </w:p>
              </w:tc>
              <w:tc>
                <w:tcPr>
                  <w:tcW w:w="189" w:type="pct"/>
                  <w:vMerge w:val="restart"/>
                  <w:tcBorders>
                    <w:tl2br w:val="nil"/>
                    <w:tr2bl w:val="nil"/>
                  </w:tcBorders>
                  <w:noWrap w:val="0"/>
                  <w:vAlign w:val="center"/>
                </w:tcPr>
                <w:p w14:paraId="70558EA3">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长安</w:t>
                  </w:r>
                  <w:r>
                    <w:rPr>
                      <w:rFonts w:hint="eastAsia" w:ascii="Times New Roman" w:hAnsi="Times New Roman" w:cs="Times New Roman"/>
                      <w:color w:val="auto"/>
                      <w:sz w:val="21"/>
                      <w:szCs w:val="21"/>
                      <w:lang w:val="en-US" w:eastAsia="zh-CN"/>
                    </w:rPr>
                    <w:t>区</w:t>
                  </w:r>
                </w:p>
              </w:tc>
              <w:tc>
                <w:tcPr>
                  <w:tcW w:w="373" w:type="pct"/>
                  <w:vMerge w:val="restart"/>
                  <w:tcBorders>
                    <w:tl2br w:val="nil"/>
                    <w:tr2bl w:val="nil"/>
                  </w:tcBorders>
                  <w:noWrap w:val="0"/>
                  <w:vAlign w:val="center"/>
                </w:tcPr>
                <w:p w14:paraId="18A24DFC">
                  <w:pPr>
                    <w:spacing w:beforeLines="0" w:afterLines="0"/>
                    <w:ind w:left="0" w:leftChars="0" w:firstLine="0" w:firstLineChars="0"/>
                    <w:jc w:val="both"/>
                    <w:rPr>
                      <w:rFonts w:hint="default" w:ascii="Times New Roman" w:hAnsi="Times New Roman"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陕西省西安市长安区重点管控单元4</w:t>
                  </w:r>
                </w:p>
              </w:tc>
              <w:tc>
                <w:tcPr>
                  <w:tcW w:w="298" w:type="pct"/>
                  <w:vMerge w:val="restart"/>
                  <w:tcBorders>
                    <w:tl2br w:val="nil"/>
                    <w:tr2bl w:val="nil"/>
                  </w:tcBorders>
                  <w:noWrap w:val="0"/>
                  <w:vAlign w:val="center"/>
                </w:tcPr>
                <w:p w14:paraId="49214E6B">
                  <w:pPr>
                    <w:spacing w:beforeLines="0" w:afterLines="0"/>
                    <w:ind w:left="0" w:leftChars="0" w:firstLine="0" w:firstLineChars="0"/>
                    <w:jc w:val="left"/>
                    <w:rPr>
                      <w:rFonts w:hint="default" w:ascii="Times New Roman" w:hAnsi="Times New Roman"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大气环境布局敏感重点管控区、水环境城镇生活污染重点管控区、高污染燃料禁燃区</w:t>
                  </w:r>
                </w:p>
              </w:tc>
              <w:tc>
                <w:tcPr>
                  <w:tcW w:w="280" w:type="pct"/>
                  <w:tcBorders>
                    <w:tl2br w:val="nil"/>
                    <w:tr2bl w:val="nil"/>
                  </w:tcBorders>
                  <w:shd w:val="clear" w:color="auto" w:fill="auto"/>
                  <w:noWrap w:val="0"/>
                  <w:vAlign w:val="center"/>
                </w:tcPr>
                <w:p w14:paraId="2275D7AF">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zh-CN" w:eastAsia="zh-CN"/>
                    </w:rPr>
                    <w:t>空间约束要求</w:t>
                  </w:r>
                </w:p>
              </w:tc>
              <w:tc>
                <w:tcPr>
                  <w:tcW w:w="1546" w:type="pct"/>
                  <w:tcBorders>
                    <w:tl2br w:val="nil"/>
                    <w:tr2bl w:val="nil"/>
                  </w:tcBorders>
                  <w:noWrap w:val="0"/>
                  <w:vAlign w:val="center"/>
                </w:tcPr>
                <w:p w14:paraId="5BF10F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大气环境高排放重点管控区：</w:t>
                  </w:r>
                </w:p>
                <w:p w14:paraId="3E3B1557">
                  <w:pPr>
                    <w:keepNext w:val="0"/>
                    <w:keepLines w:val="0"/>
                    <w:pageBreakBefore w:val="0"/>
                    <w:widowControl w:val="0"/>
                    <w:numPr>
                      <w:ilvl w:val="0"/>
                      <w:numId w:val="2"/>
                    </w:numPr>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严格控制新增《陕西省“两高”项目管理暂行目录》行业项目（民生等项目除外，后续对“两高”范围国家如有新规定的，从其规定）。</w:t>
                  </w:r>
                </w:p>
                <w:p w14:paraId="34F647E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both"/>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cs="Times New Roman"/>
                      <w:color w:val="auto"/>
                      <w:sz w:val="21"/>
                      <w:szCs w:val="21"/>
                      <w:lang w:val="en-US" w:eastAsia="zh-CN"/>
                    </w:rPr>
                    <w:t>严禁新增钢铁、焦化、水泥熟料、平板玻璃、电解铝、氧化铝、煤化工产能。</w:t>
                  </w:r>
                </w:p>
                <w:p w14:paraId="3437AFA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both"/>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3.推动重污染企业搬迁入园或依法关闭。</w:t>
                  </w:r>
                </w:p>
                <w:p w14:paraId="51CFF2D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both"/>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b/>
                      <w:bCs/>
                      <w:color w:val="auto"/>
                      <w:sz w:val="21"/>
                      <w:szCs w:val="21"/>
                      <w:lang w:val="en-US" w:eastAsia="zh-CN"/>
                    </w:rPr>
                    <w:t>水环境城镇生活污染重点管控区</w:t>
                  </w:r>
                  <w:r>
                    <w:rPr>
                      <w:rFonts w:hint="default" w:ascii="Times New Roman" w:hAnsi="Times New Roman" w:cs="Times New Roman"/>
                      <w:color w:val="auto"/>
                      <w:sz w:val="21"/>
                      <w:szCs w:val="21"/>
                      <w:lang w:val="en-US" w:eastAsia="zh-CN"/>
                    </w:rPr>
                    <w:t>：</w:t>
                  </w:r>
                </w:p>
                <w:p w14:paraId="74219F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1.持续推进城中村、老旧城区、城乡结合部污水截流、收集和城市雨污管道新建、改建。</w:t>
                  </w:r>
                </w:p>
              </w:tc>
              <w:tc>
                <w:tcPr>
                  <w:tcW w:w="1419" w:type="pct"/>
                  <w:tcBorders>
                    <w:tl2br w:val="nil"/>
                    <w:tr2bl w:val="nil"/>
                  </w:tcBorders>
                  <w:noWrap w:val="0"/>
                  <w:vAlign w:val="center"/>
                </w:tcPr>
                <w:p w14:paraId="0776ED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大气环境高排放重点管控区：</w:t>
                  </w:r>
                </w:p>
                <w:p w14:paraId="2B1B5F31">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1.项目为专业实验室、研发（试验）基地项目，不属于《陕西省“两高”项目管理暂行目录》中的行业项目。</w:t>
                  </w:r>
                </w:p>
                <w:p w14:paraId="50CFABA1">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2.项目不涉及新增钢铁、焦化、水泥熟料、平板玻璃、电解铝、氧化铝、煤化工产能。</w:t>
                  </w:r>
                </w:p>
                <w:p w14:paraId="11A034C1">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3.项目不属于重污染企业。</w:t>
                  </w:r>
                </w:p>
                <w:p w14:paraId="15F877AC">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cs="Times New Roman"/>
                      <w:color w:val="auto"/>
                      <w:sz w:val="21"/>
                      <w:szCs w:val="21"/>
                      <w:highlight w:val="none"/>
                    </w:rPr>
                  </w:pPr>
                  <w:r>
                    <w:rPr>
                      <w:rFonts w:hint="eastAsia" w:ascii="Times New Roman" w:hAnsi="Times New Roman" w:eastAsia="宋体" w:cs="Times New Roman"/>
                      <w:b/>
                      <w:bCs/>
                      <w:color w:val="auto"/>
                      <w:sz w:val="21"/>
                      <w:szCs w:val="21"/>
                      <w:highlight w:val="none"/>
                      <w:lang w:val="en-US" w:eastAsia="zh-CN"/>
                    </w:rPr>
                    <w:t>水环境城镇生活污染重点管控区：</w:t>
                  </w:r>
                </w:p>
                <w:p w14:paraId="5A500B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highlight w:val="none"/>
                      <w:lang w:val="en-US" w:eastAsia="zh-CN"/>
                    </w:rPr>
                    <w:t>项目位于城镇建成区</w:t>
                  </w:r>
                  <w:r>
                    <w:rPr>
                      <w:rFonts w:hint="eastAsia" w:eastAsia="宋体" w:cs="Times New Roman"/>
                      <w:color w:val="auto"/>
                      <w:sz w:val="21"/>
                      <w:szCs w:val="21"/>
                      <w:highlight w:val="none"/>
                      <w:lang w:val="en-US" w:eastAsia="zh-CN"/>
                    </w:rPr>
                    <w:t>，周边市政雨污管道齐全</w:t>
                  </w:r>
                  <w:r>
                    <w:rPr>
                      <w:rFonts w:hint="default" w:eastAsia="宋体" w:cs="Times New Roman"/>
                      <w:color w:val="auto"/>
                      <w:sz w:val="21"/>
                      <w:szCs w:val="21"/>
                      <w:highlight w:val="none"/>
                      <w:lang w:val="en-US" w:eastAsia="zh-CN"/>
                    </w:rPr>
                    <w:t>。</w:t>
                  </w:r>
                  <w:r>
                    <w:rPr>
                      <w:rFonts w:hint="eastAsia" w:eastAsia="宋体" w:cs="Times New Roman"/>
                      <w:color w:val="auto"/>
                      <w:sz w:val="21"/>
                      <w:szCs w:val="21"/>
                      <w:highlight w:val="none"/>
                      <w:lang w:val="en-US" w:eastAsia="zh-CN"/>
                    </w:rPr>
                    <w:t>本项目废水主要为生活污水</w:t>
                  </w:r>
                  <w:r>
                    <w:rPr>
                      <w:rFonts w:hint="eastAsia" w:cs="Times New Roman"/>
                      <w:color w:val="auto"/>
                      <w:sz w:val="21"/>
                      <w:szCs w:val="21"/>
                      <w:highlight w:val="none"/>
                      <w:lang w:val="en-US" w:eastAsia="zh-CN"/>
                    </w:rPr>
                    <w:t>、餐饮废水和实验综合废水</w:t>
                  </w:r>
                  <w:r>
                    <w:rPr>
                      <w:rFonts w:hint="eastAsia"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餐饮废水</w:t>
                  </w:r>
                  <w:r>
                    <w:rPr>
                      <w:rFonts w:hint="eastAsia" w:eastAsia="宋体" w:cs="Times New Roman"/>
                      <w:color w:val="auto"/>
                      <w:sz w:val="21"/>
                      <w:szCs w:val="21"/>
                      <w:highlight w:val="none"/>
                      <w:lang w:val="en-US" w:eastAsia="zh-CN"/>
                    </w:rPr>
                    <w:t>经过油水分离器处理后与其他</w:t>
                  </w:r>
                  <w:r>
                    <w:rPr>
                      <w:rFonts w:hint="eastAsia" w:cs="Times New Roman"/>
                      <w:color w:val="auto"/>
                      <w:sz w:val="21"/>
                      <w:szCs w:val="21"/>
                      <w:highlight w:val="none"/>
                      <w:lang w:val="en-US" w:eastAsia="zh-CN"/>
                    </w:rPr>
                    <w:t>废水</w:t>
                  </w:r>
                  <w:r>
                    <w:rPr>
                      <w:rFonts w:hint="eastAsia" w:eastAsia="宋体" w:cs="Times New Roman"/>
                      <w:color w:val="auto"/>
                      <w:sz w:val="21"/>
                      <w:szCs w:val="21"/>
                      <w:highlight w:val="none"/>
                      <w:lang w:val="en-US" w:eastAsia="zh-CN"/>
                    </w:rPr>
                    <w:t>一同经化粪池处理后，由市政污水管网排入西咸新区沣东南污水处理厂。</w:t>
                  </w:r>
                </w:p>
              </w:tc>
              <w:tc>
                <w:tcPr>
                  <w:tcW w:w="344" w:type="pct"/>
                  <w:vMerge w:val="restart"/>
                  <w:tcBorders>
                    <w:tl2br w:val="nil"/>
                    <w:tr2bl w:val="nil"/>
                  </w:tcBorders>
                  <w:noWrap w:val="0"/>
                  <w:vAlign w:val="center"/>
                </w:tcPr>
                <w:p w14:paraId="1513D395">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r>
                    <w:rPr>
                      <w:rFonts w:hint="eastAsia"/>
                      <w:color w:val="auto"/>
                      <w:lang w:val="en-US" w:eastAsia="zh-CN"/>
                    </w:rPr>
                    <w:t>20667</w:t>
                  </w:r>
                </w:p>
              </w:tc>
              <w:tc>
                <w:tcPr>
                  <w:tcW w:w="185" w:type="pct"/>
                  <w:tcBorders>
                    <w:tl2br w:val="nil"/>
                    <w:tr2bl w:val="nil"/>
                  </w:tcBorders>
                  <w:noWrap w:val="0"/>
                  <w:vAlign w:val="center"/>
                </w:tcPr>
                <w:p w14:paraId="6FF91BA6">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14:paraId="302A2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6" w:hRule="atLeast"/>
                <w:jc w:val="center"/>
              </w:trPr>
              <w:tc>
                <w:tcPr>
                  <w:tcW w:w="151" w:type="pct"/>
                  <w:vMerge w:val="continue"/>
                  <w:tcBorders>
                    <w:tl2br w:val="nil"/>
                    <w:tr2bl w:val="nil"/>
                  </w:tcBorders>
                  <w:noWrap w:val="0"/>
                  <w:vAlign w:val="center"/>
                </w:tcPr>
                <w:p w14:paraId="2328348B">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p>
              </w:tc>
              <w:tc>
                <w:tcPr>
                  <w:tcW w:w="212" w:type="pct"/>
                  <w:vMerge w:val="continue"/>
                  <w:tcBorders>
                    <w:tl2br w:val="nil"/>
                    <w:tr2bl w:val="nil"/>
                  </w:tcBorders>
                  <w:noWrap w:val="0"/>
                  <w:vAlign w:val="center"/>
                </w:tcPr>
                <w:p w14:paraId="670C7812">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p>
              </w:tc>
              <w:tc>
                <w:tcPr>
                  <w:tcW w:w="189" w:type="pct"/>
                  <w:vMerge w:val="continue"/>
                  <w:tcBorders>
                    <w:tl2br w:val="nil"/>
                    <w:tr2bl w:val="nil"/>
                  </w:tcBorders>
                  <w:noWrap w:val="0"/>
                  <w:vAlign w:val="center"/>
                </w:tcPr>
                <w:p w14:paraId="695875AC">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p>
              </w:tc>
              <w:tc>
                <w:tcPr>
                  <w:tcW w:w="373" w:type="pct"/>
                  <w:vMerge w:val="continue"/>
                  <w:tcBorders>
                    <w:tl2br w:val="nil"/>
                    <w:tr2bl w:val="nil"/>
                  </w:tcBorders>
                  <w:noWrap w:val="0"/>
                  <w:vAlign w:val="center"/>
                </w:tcPr>
                <w:p w14:paraId="1FCA1A39">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p>
              </w:tc>
              <w:tc>
                <w:tcPr>
                  <w:tcW w:w="298" w:type="pct"/>
                  <w:vMerge w:val="continue"/>
                  <w:tcBorders>
                    <w:tl2br w:val="nil"/>
                    <w:tr2bl w:val="nil"/>
                  </w:tcBorders>
                  <w:noWrap w:val="0"/>
                  <w:vAlign w:val="center"/>
                </w:tcPr>
                <w:p w14:paraId="3D72DCF4">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p>
              </w:tc>
              <w:tc>
                <w:tcPr>
                  <w:tcW w:w="280" w:type="pct"/>
                  <w:tcBorders>
                    <w:tl2br w:val="nil"/>
                    <w:tr2bl w:val="nil"/>
                  </w:tcBorders>
                  <w:shd w:val="clear" w:color="auto" w:fill="auto"/>
                  <w:noWrap w:val="0"/>
                  <w:vAlign w:val="center"/>
                </w:tcPr>
                <w:p w14:paraId="5B4AA471">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zh-CN" w:eastAsia="zh-CN"/>
                    </w:rPr>
                    <w:t>污染物排放管控</w:t>
                  </w:r>
                </w:p>
              </w:tc>
              <w:tc>
                <w:tcPr>
                  <w:tcW w:w="1546" w:type="pct"/>
                  <w:tcBorders>
                    <w:tl2br w:val="nil"/>
                    <w:tr2bl w:val="nil"/>
                  </w:tcBorders>
                  <w:noWrap w:val="0"/>
                  <w:vAlign w:val="center"/>
                </w:tcPr>
                <w:p w14:paraId="5688C0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大气环境高排放重点管控区：</w:t>
                  </w:r>
                </w:p>
                <w:p w14:paraId="2B5AFD7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both"/>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1.鼓励将老旧车辆和非道路移动机械替换为清洁能源车辆。推进新能源或清洁能源汽车使用。</w:t>
                  </w:r>
                </w:p>
                <w:p w14:paraId="1CF00F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水环境城镇生活污染重点管控区：</w:t>
                  </w:r>
                </w:p>
                <w:p w14:paraId="2103D23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both"/>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1.加强城镇污水收集处理设施建设与提标改造。城镇生活污水处理达到《陕西省黄河流域污水综合排放标准》（DB61/224-2018）排放限值要求。</w:t>
                  </w:r>
                </w:p>
                <w:p w14:paraId="6D80426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both"/>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2.城镇新区管网建设及老旧城区管网升级改造中实行雨污分流，鼓励推进初期雨水收集、处理和资源化利用，建设人工湿地水质净化工程，对处理达标后的尾水进一步净化。</w:t>
                  </w:r>
                </w:p>
                <w:p w14:paraId="7EB5703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both"/>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3.污水处理厂出水用于绿化、农灌等用途的，合理确定管控要求，确保达到相应污水再生利用标准。</w:t>
                  </w:r>
                </w:p>
              </w:tc>
              <w:tc>
                <w:tcPr>
                  <w:tcW w:w="1419" w:type="pct"/>
                  <w:tcBorders>
                    <w:tl2br w:val="nil"/>
                    <w:tr2bl w:val="nil"/>
                  </w:tcBorders>
                  <w:noWrap w:val="0"/>
                  <w:vAlign w:val="center"/>
                </w:tcPr>
                <w:p w14:paraId="5803D6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大气环境高排放重点管控区：</w:t>
                  </w:r>
                </w:p>
                <w:p w14:paraId="24AFAC6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both"/>
                    <w:textAlignment w:val="auto"/>
                    <w:rPr>
                      <w:rFonts w:hint="default" w:eastAsia="宋体" w:cs="Times New Roman"/>
                      <w:color w:val="auto"/>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1.</w:t>
                  </w:r>
                  <w:r>
                    <w:rPr>
                      <w:rFonts w:hint="default" w:ascii="Times New Roman" w:hAnsi="Times New Roman" w:eastAsia="宋体" w:cs="Times New Roman"/>
                      <w:color w:val="auto"/>
                      <w:sz w:val="21"/>
                      <w:szCs w:val="21"/>
                      <w:highlight w:val="none"/>
                      <w:lang w:val="en-US" w:eastAsia="zh-CN"/>
                    </w:rPr>
                    <w:t>项目</w:t>
                  </w:r>
                  <w:r>
                    <w:rPr>
                      <w:rFonts w:hint="eastAsia" w:eastAsia="宋体" w:cs="Times New Roman"/>
                      <w:color w:val="auto"/>
                      <w:sz w:val="21"/>
                      <w:szCs w:val="21"/>
                      <w:highlight w:val="none"/>
                      <w:lang w:val="en-US" w:eastAsia="zh-CN"/>
                    </w:rPr>
                    <w:t>不涉及车辆。</w:t>
                  </w:r>
                </w:p>
                <w:p w14:paraId="4FA2D4F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水环境城镇生活污染重点管控区：</w:t>
                  </w:r>
                </w:p>
                <w:p w14:paraId="2C4258EB">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1.项目经油水分离器处理过的餐饮废水与生活污水和实验综合废水在化粪池处理后</w:t>
                  </w:r>
                  <w:r>
                    <w:rPr>
                      <w:rFonts w:hint="eastAsia" w:ascii="Times New Roman" w:hAnsi="Times New Roman" w:eastAsia="宋体" w:cs="Times New Roman"/>
                      <w:color w:val="auto"/>
                      <w:sz w:val="21"/>
                      <w:szCs w:val="21"/>
                      <w:highlight w:val="none"/>
                      <w:lang w:val="en-US" w:eastAsia="zh-CN"/>
                    </w:rPr>
                    <w:t>排入</w:t>
                  </w:r>
                  <w:r>
                    <w:rPr>
                      <w:rFonts w:hint="eastAsia" w:ascii="Times New Roman" w:hAnsi="Times New Roman" w:eastAsia="宋体" w:cs="Times New Roman"/>
                      <w:color w:val="auto"/>
                      <w:kern w:val="0"/>
                      <w:sz w:val="21"/>
                      <w:szCs w:val="21"/>
                      <w:highlight w:val="none"/>
                      <w:lang w:val="en-US" w:eastAsia="zh-CN"/>
                    </w:rPr>
                    <w:t>西咸新区沣东南污水处理厂</w:t>
                  </w:r>
                  <w:r>
                    <w:rPr>
                      <w:rFonts w:hint="eastAsia" w:ascii="Times New Roman" w:hAnsi="Times New Roman" w:eastAsia="宋体" w:cs="Times New Roman"/>
                      <w:color w:val="auto"/>
                      <w:sz w:val="21"/>
                      <w:szCs w:val="21"/>
                      <w:highlight w:val="none"/>
                      <w:lang w:val="en-US" w:eastAsia="zh-CN"/>
                    </w:rPr>
                    <w:t>，本项目废水可满足《污水综合排放标准》（GB8978-1996）中三级标准及《污水排入城镇下水道水质标准》（GB/T31962-2015）中A级标准相关限值要求。</w:t>
                  </w:r>
                </w:p>
                <w:p w14:paraId="331CABB0">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2.项目实行雨污分流，雨水通过雨水口、雨水检查井、雨水管道有组织收集排至市政雨水管网。</w:t>
                  </w:r>
                </w:p>
                <w:p w14:paraId="0A4AAE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highlight w:val="none"/>
                      <w:lang w:val="en-US" w:eastAsia="zh-CN"/>
                    </w:rPr>
                    <w:t>3.本项目不涉及污水处理厂出水。</w:t>
                  </w:r>
                </w:p>
              </w:tc>
              <w:tc>
                <w:tcPr>
                  <w:tcW w:w="344" w:type="pct"/>
                  <w:vMerge w:val="continue"/>
                  <w:tcBorders>
                    <w:tl2br w:val="nil"/>
                    <w:tr2bl w:val="nil"/>
                  </w:tcBorders>
                  <w:noWrap w:val="0"/>
                  <w:vAlign w:val="center"/>
                </w:tcPr>
                <w:p w14:paraId="2E64226D">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both"/>
                    <w:textAlignment w:val="auto"/>
                    <w:rPr>
                      <w:rFonts w:hint="default" w:ascii="Times New Roman" w:hAnsi="Times New Roman" w:cs="Times New Roman"/>
                      <w:color w:val="auto"/>
                      <w:sz w:val="21"/>
                      <w:szCs w:val="21"/>
                      <w:lang w:val="en-US" w:eastAsia="zh-CN"/>
                    </w:rPr>
                  </w:pPr>
                </w:p>
              </w:tc>
              <w:tc>
                <w:tcPr>
                  <w:tcW w:w="185" w:type="pct"/>
                  <w:tcBorders>
                    <w:tl2br w:val="nil"/>
                    <w:tr2bl w:val="nil"/>
                  </w:tcBorders>
                  <w:noWrap w:val="0"/>
                  <w:vAlign w:val="center"/>
                </w:tcPr>
                <w:p w14:paraId="6B38028E">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14:paraId="21F9E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8" w:hRule="atLeast"/>
                <w:jc w:val="center"/>
              </w:trPr>
              <w:tc>
                <w:tcPr>
                  <w:tcW w:w="151" w:type="pct"/>
                  <w:vMerge w:val="continue"/>
                  <w:tcBorders>
                    <w:tl2br w:val="nil"/>
                    <w:tr2bl w:val="nil"/>
                  </w:tcBorders>
                  <w:noWrap w:val="0"/>
                  <w:vAlign w:val="center"/>
                </w:tcPr>
                <w:p w14:paraId="28791A43">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p>
              </w:tc>
              <w:tc>
                <w:tcPr>
                  <w:tcW w:w="212" w:type="pct"/>
                  <w:vMerge w:val="continue"/>
                  <w:tcBorders>
                    <w:tl2br w:val="nil"/>
                    <w:tr2bl w:val="nil"/>
                  </w:tcBorders>
                  <w:noWrap w:val="0"/>
                  <w:vAlign w:val="center"/>
                </w:tcPr>
                <w:p w14:paraId="41E2C9F5">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p>
              </w:tc>
              <w:tc>
                <w:tcPr>
                  <w:tcW w:w="189" w:type="pct"/>
                  <w:vMerge w:val="continue"/>
                  <w:tcBorders>
                    <w:tl2br w:val="nil"/>
                    <w:tr2bl w:val="nil"/>
                  </w:tcBorders>
                  <w:noWrap w:val="0"/>
                  <w:vAlign w:val="center"/>
                </w:tcPr>
                <w:p w14:paraId="47F19765">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p>
              </w:tc>
              <w:tc>
                <w:tcPr>
                  <w:tcW w:w="373" w:type="pct"/>
                  <w:vMerge w:val="continue"/>
                  <w:tcBorders>
                    <w:tl2br w:val="nil"/>
                    <w:tr2bl w:val="nil"/>
                  </w:tcBorders>
                  <w:noWrap w:val="0"/>
                  <w:vAlign w:val="center"/>
                </w:tcPr>
                <w:p w14:paraId="0122CB3D">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p>
              </w:tc>
              <w:tc>
                <w:tcPr>
                  <w:tcW w:w="298" w:type="pct"/>
                  <w:vMerge w:val="continue"/>
                  <w:tcBorders>
                    <w:tl2br w:val="nil"/>
                    <w:tr2bl w:val="nil"/>
                  </w:tcBorders>
                  <w:noWrap w:val="0"/>
                  <w:vAlign w:val="center"/>
                </w:tcPr>
                <w:p w14:paraId="70CE7EB9">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p>
              </w:tc>
              <w:tc>
                <w:tcPr>
                  <w:tcW w:w="280" w:type="pct"/>
                  <w:tcBorders>
                    <w:tl2br w:val="nil"/>
                    <w:tr2bl w:val="nil"/>
                  </w:tcBorders>
                  <w:shd w:val="clear" w:color="auto" w:fill="auto"/>
                  <w:noWrap w:val="0"/>
                  <w:vAlign w:val="center"/>
                </w:tcPr>
                <w:p w14:paraId="28FDD2F5">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zh-CN" w:eastAsia="zh-CN"/>
                    </w:rPr>
                  </w:pPr>
                  <w:r>
                    <w:rPr>
                      <w:rFonts w:hint="default" w:ascii="Times New Roman" w:hAnsi="Times New Roman" w:cs="Times New Roman"/>
                      <w:color w:val="auto"/>
                      <w:sz w:val="21"/>
                      <w:szCs w:val="21"/>
                      <w:lang w:val="zh-CN" w:eastAsia="zh-CN"/>
                    </w:rPr>
                    <w:t>资源开发效率要求</w:t>
                  </w:r>
                </w:p>
              </w:tc>
              <w:tc>
                <w:tcPr>
                  <w:tcW w:w="1546" w:type="pct"/>
                  <w:tcBorders>
                    <w:tl2br w:val="nil"/>
                    <w:tr2bl w:val="nil"/>
                  </w:tcBorders>
                  <w:noWrap w:val="0"/>
                  <w:vAlign w:val="center"/>
                </w:tcPr>
                <w:p w14:paraId="55981DA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both"/>
                    <w:textAlignment w:val="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高污染燃料禁燃区：</w:t>
                  </w:r>
                </w:p>
                <w:p w14:paraId="48D6C02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1.</w:t>
                  </w:r>
                  <w:r>
                    <w:rPr>
                      <w:rFonts w:hint="eastAsia" w:ascii="Times New Roman" w:hAnsi="Times New Roman" w:eastAsia="宋体" w:cs="Times New Roman"/>
                      <w:color w:val="auto"/>
                      <w:sz w:val="21"/>
                      <w:szCs w:val="21"/>
                      <w:lang w:val="en-US" w:eastAsia="zh-CN"/>
                    </w:rPr>
                    <w:t>禁止销售、使用高污染燃料。禁止新建、扩建燃用高污染燃料的设施。已建成的，应当在市人民政府规定的期限内停止使用或者改用天然气、页岩气、煤层气、液化石油气、干热岩、电、太阳能或者其他清洁能源。</w:t>
                  </w:r>
                </w:p>
                <w:p w14:paraId="6B2A9CB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2.禁止</w:t>
                  </w:r>
                  <w:r>
                    <w:rPr>
                      <w:rFonts w:hint="eastAsia" w:ascii="Times New Roman" w:hAnsi="Times New Roman" w:cs="Times New Roman"/>
                      <w:color w:val="auto"/>
                      <w:sz w:val="21"/>
                      <w:szCs w:val="21"/>
                      <w:lang w:val="en-US" w:eastAsia="zh-CN"/>
                    </w:rPr>
                    <w:t>燃放烟花爆竹。</w:t>
                  </w:r>
                </w:p>
              </w:tc>
              <w:tc>
                <w:tcPr>
                  <w:tcW w:w="1419" w:type="pct"/>
                  <w:tcBorders>
                    <w:tl2br w:val="nil"/>
                    <w:tr2bl w:val="nil"/>
                  </w:tcBorders>
                  <w:noWrap w:val="0"/>
                  <w:vAlign w:val="center"/>
                </w:tcPr>
                <w:p w14:paraId="6882945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both"/>
                    <w:textAlignment w:val="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高污染燃料禁燃区：</w:t>
                  </w:r>
                </w:p>
                <w:p w14:paraId="04001D6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1.项目不涉及</w:t>
                  </w:r>
                  <w:r>
                    <w:rPr>
                      <w:rFonts w:hint="eastAsia" w:ascii="Times New Roman" w:hAnsi="Times New Roman" w:eastAsia="宋体" w:cs="Times New Roman"/>
                      <w:color w:val="auto"/>
                      <w:sz w:val="21"/>
                      <w:szCs w:val="21"/>
                      <w:highlight w:val="none"/>
                      <w:lang w:val="en-US" w:eastAsia="zh-CN"/>
                    </w:rPr>
                    <w:t>销售、使用高污染燃料。</w:t>
                  </w:r>
                </w:p>
                <w:p w14:paraId="12B853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lang w:val="en-US" w:eastAsia="zh-CN"/>
                    </w:rPr>
                  </w:pPr>
                  <w:r>
                    <w:rPr>
                      <w:rFonts w:hint="eastAsia" w:ascii="Times New Roman" w:hAnsi="Times New Roman" w:eastAsia="宋体" w:cs="Times New Roman"/>
                      <w:color w:val="auto"/>
                      <w:sz w:val="21"/>
                      <w:szCs w:val="21"/>
                      <w:highlight w:val="none"/>
                      <w:lang w:val="en-US" w:eastAsia="zh-CN"/>
                    </w:rPr>
                    <w:t>2.项目不燃放烟花爆竹。</w:t>
                  </w:r>
                </w:p>
              </w:tc>
              <w:tc>
                <w:tcPr>
                  <w:tcW w:w="344" w:type="pct"/>
                  <w:vMerge w:val="continue"/>
                  <w:tcBorders>
                    <w:tl2br w:val="nil"/>
                    <w:tr2bl w:val="nil"/>
                  </w:tcBorders>
                  <w:noWrap w:val="0"/>
                  <w:vAlign w:val="center"/>
                </w:tcPr>
                <w:p w14:paraId="38E1B982">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both"/>
                    <w:textAlignment w:val="auto"/>
                    <w:rPr>
                      <w:rFonts w:hint="default" w:ascii="Times New Roman" w:hAnsi="Times New Roman" w:cs="Times New Roman"/>
                      <w:color w:val="auto"/>
                      <w:sz w:val="21"/>
                      <w:szCs w:val="21"/>
                      <w:lang w:val="en-US" w:eastAsia="zh-CN"/>
                    </w:rPr>
                  </w:pPr>
                </w:p>
              </w:tc>
              <w:tc>
                <w:tcPr>
                  <w:tcW w:w="185" w:type="pct"/>
                  <w:tcBorders>
                    <w:tl2br w:val="nil"/>
                    <w:tr2bl w:val="nil"/>
                  </w:tcBorders>
                  <w:noWrap w:val="0"/>
                  <w:vAlign w:val="center"/>
                </w:tcPr>
                <w:p w14:paraId="0947D374">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符合</w:t>
                  </w:r>
                </w:p>
              </w:tc>
            </w:tr>
          </w:tbl>
          <w:p w14:paraId="7CFFCFE6">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eastAsia="宋体"/>
                <w:color w:val="auto"/>
                <w:lang w:eastAsia="zh-CN"/>
              </w:rPr>
            </w:pPr>
          </w:p>
        </w:tc>
      </w:tr>
    </w:tbl>
    <w:p w14:paraId="3FC039B3">
      <w:pPr>
        <w:rPr>
          <w:color w:val="auto"/>
        </w:rPr>
        <w:sectPr>
          <w:pgSz w:w="16838" w:h="11906" w:orient="landscape"/>
          <w:pgMar w:top="1531" w:right="1701" w:bottom="1531" w:left="1701" w:header="851" w:footer="1077" w:gutter="0"/>
          <w:pgBorders>
            <w:top w:val="none" w:sz="0" w:space="0"/>
            <w:left w:val="none" w:sz="0" w:space="0"/>
            <w:bottom w:val="none" w:sz="0" w:space="0"/>
            <w:right w:val="none" w:sz="0" w:space="0"/>
          </w:pgBorders>
          <w:cols w:space="720" w:num="1"/>
          <w:docGrid w:linePitch="312" w:charSpace="0"/>
        </w:sectPr>
      </w:pP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94"/>
        <w:gridCol w:w="7876"/>
      </w:tblGrid>
      <w:tr w14:paraId="280407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62" w:hRule="atLeast"/>
          <w:jc w:val="center"/>
        </w:trPr>
        <w:tc>
          <w:tcPr>
            <w:tcW w:w="994" w:type="dxa"/>
            <w:noWrap w:val="0"/>
            <w:vAlign w:val="center"/>
          </w:tcPr>
          <w:p w14:paraId="55CF9AB9">
            <w:pPr>
              <w:spacing w:line="360" w:lineRule="atLeast"/>
              <w:ind w:firstLine="0" w:firstLineChars="0"/>
              <w:jc w:val="center"/>
              <w:rPr>
                <w:color w:val="auto"/>
                <w:kern w:val="0"/>
              </w:rPr>
            </w:pPr>
            <w:r>
              <w:rPr>
                <w:color w:val="auto"/>
                <w:kern w:val="0"/>
              </w:rPr>
              <w:t>其他符合性分析</w:t>
            </w:r>
          </w:p>
        </w:tc>
        <w:tc>
          <w:tcPr>
            <w:tcW w:w="7876" w:type="dxa"/>
            <w:noWrap w:val="0"/>
            <w:vAlign w:val="center"/>
          </w:tcPr>
          <w:p w14:paraId="4A9FE41E">
            <w:pPr>
              <w:keepNext w:val="0"/>
              <w:keepLines w:val="0"/>
              <w:pageBreakBefore w:val="0"/>
              <w:widowControl w:val="0"/>
              <w:kinsoku/>
              <w:wordWrap/>
              <w:overflowPunct/>
              <w:topLinePunct w:val="0"/>
              <w:autoSpaceDE/>
              <w:autoSpaceDN/>
              <w:bidi w:val="0"/>
              <w:adjustRightInd/>
              <w:snapToGrid/>
              <w:spacing w:line="480" w:lineRule="exact"/>
              <w:ind w:firstLine="482"/>
              <w:textAlignment w:val="auto"/>
              <w:rPr>
                <w:b/>
                <w:bCs/>
                <w:color w:val="auto"/>
              </w:rPr>
            </w:pPr>
            <w:r>
              <w:rPr>
                <w:rFonts w:hint="eastAsia"/>
                <w:b/>
                <w:bCs/>
                <w:color w:val="auto"/>
              </w:rPr>
              <w:t>3、与相关政策相符性分析</w:t>
            </w:r>
          </w:p>
          <w:p w14:paraId="6F39A71A">
            <w:pPr>
              <w:keepNext w:val="0"/>
              <w:keepLines w:val="0"/>
              <w:pageBreakBefore w:val="0"/>
              <w:widowControl w:val="0"/>
              <w:kinsoku/>
              <w:wordWrap/>
              <w:overflowPunct/>
              <w:topLinePunct w:val="0"/>
              <w:autoSpaceDE/>
              <w:autoSpaceDN/>
              <w:bidi w:val="0"/>
              <w:adjustRightInd/>
              <w:snapToGrid/>
              <w:spacing w:line="480" w:lineRule="exact"/>
              <w:textAlignment w:val="auto"/>
              <w:rPr>
                <w:color w:val="auto"/>
              </w:rPr>
            </w:pPr>
            <w:r>
              <w:rPr>
                <w:rFonts w:hint="eastAsia"/>
                <w:color w:val="auto"/>
              </w:rPr>
              <w:t>项目与相关政策、标准的符合性分析见表1-</w:t>
            </w:r>
            <w:r>
              <w:rPr>
                <w:rFonts w:hint="eastAsia"/>
                <w:color w:val="auto"/>
                <w:lang w:val="en-US" w:eastAsia="zh-CN"/>
              </w:rPr>
              <w:t>3</w:t>
            </w:r>
            <w:r>
              <w:rPr>
                <w:rFonts w:hint="eastAsia"/>
                <w:color w:val="auto"/>
              </w:rPr>
              <w:t>。</w:t>
            </w:r>
          </w:p>
          <w:p w14:paraId="3B075031">
            <w:pPr>
              <w:pStyle w:val="24"/>
              <w:bidi w:val="0"/>
              <w:rPr>
                <w:rFonts w:hint="eastAsia"/>
                <w:color w:val="auto"/>
                <w:sz w:val="24"/>
                <w:szCs w:val="24"/>
              </w:rPr>
            </w:pPr>
            <w:r>
              <w:rPr>
                <w:rFonts w:hint="eastAsia"/>
                <w:color w:val="auto"/>
                <w:sz w:val="24"/>
                <w:szCs w:val="24"/>
              </w:rPr>
              <w:t>表1-</w:t>
            </w:r>
            <w:r>
              <w:rPr>
                <w:rFonts w:hint="eastAsia"/>
                <w:color w:val="auto"/>
                <w:sz w:val="24"/>
                <w:szCs w:val="24"/>
                <w:lang w:val="en-US" w:eastAsia="zh-CN"/>
              </w:rPr>
              <w:t>3</w:t>
            </w:r>
            <w:r>
              <w:rPr>
                <w:rFonts w:hint="eastAsia"/>
                <w:color w:val="auto"/>
                <w:sz w:val="24"/>
                <w:szCs w:val="24"/>
              </w:rPr>
              <w:t xml:space="preserve">  与相关政策、标准的符合性分析</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6"/>
              <w:gridCol w:w="3400"/>
              <w:gridCol w:w="2381"/>
              <w:gridCol w:w="533"/>
            </w:tblGrid>
            <w:tr w14:paraId="1B1F6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noWrap w:val="0"/>
                  <w:vAlign w:val="center"/>
                </w:tcPr>
                <w:p w14:paraId="0DB90F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bCs/>
                      <w:color w:val="auto"/>
                      <w:sz w:val="21"/>
                      <w:szCs w:val="21"/>
                      <w:lang w:val="zh-CN" w:eastAsia="zh-CN"/>
                    </w:rPr>
                  </w:pPr>
                  <w:r>
                    <w:rPr>
                      <w:rFonts w:hint="eastAsia" w:ascii="Times New Roman" w:hAnsi="Times New Roman" w:cs="Times New Roman"/>
                      <w:b/>
                      <w:bCs/>
                      <w:color w:val="auto"/>
                      <w:sz w:val="21"/>
                      <w:szCs w:val="21"/>
                      <w:lang w:val="zh-CN" w:eastAsia="zh-CN"/>
                    </w:rPr>
                    <w:t>文件</w:t>
                  </w:r>
                </w:p>
              </w:tc>
              <w:tc>
                <w:tcPr>
                  <w:tcW w:w="2222" w:type="pct"/>
                  <w:noWrap w:val="0"/>
                  <w:vAlign w:val="center"/>
                </w:tcPr>
                <w:p w14:paraId="3314CE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bCs/>
                      <w:color w:val="auto"/>
                      <w:sz w:val="21"/>
                      <w:szCs w:val="21"/>
                      <w:lang w:val="zh-CN" w:eastAsia="zh-CN"/>
                    </w:rPr>
                  </w:pPr>
                  <w:r>
                    <w:rPr>
                      <w:rFonts w:hint="eastAsia" w:ascii="Times New Roman" w:hAnsi="Times New Roman" w:cs="Times New Roman"/>
                      <w:b/>
                      <w:bCs/>
                      <w:color w:val="auto"/>
                      <w:sz w:val="21"/>
                      <w:szCs w:val="21"/>
                      <w:lang w:val="zh-CN" w:eastAsia="zh-CN"/>
                    </w:rPr>
                    <w:t>内容</w:t>
                  </w:r>
                </w:p>
              </w:tc>
              <w:tc>
                <w:tcPr>
                  <w:tcW w:w="1556" w:type="pct"/>
                  <w:noWrap w:val="0"/>
                  <w:vAlign w:val="center"/>
                </w:tcPr>
                <w:p w14:paraId="455700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bCs/>
                      <w:color w:val="auto"/>
                      <w:sz w:val="21"/>
                      <w:szCs w:val="21"/>
                      <w:lang w:val="zh-CN" w:eastAsia="zh-CN"/>
                    </w:rPr>
                  </w:pPr>
                  <w:r>
                    <w:rPr>
                      <w:rFonts w:hint="eastAsia" w:ascii="Times New Roman" w:hAnsi="Times New Roman" w:cs="Times New Roman"/>
                      <w:b/>
                      <w:bCs/>
                      <w:color w:val="auto"/>
                      <w:sz w:val="21"/>
                      <w:szCs w:val="21"/>
                      <w:lang w:val="zh-CN" w:eastAsia="zh-CN"/>
                    </w:rPr>
                    <w:t>项目情况</w:t>
                  </w:r>
                </w:p>
              </w:tc>
              <w:tc>
                <w:tcPr>
                  <w:tcW w:w="348" w:type="pct"/>
                  <w:noWrap w:val="0"/>
                  <w:vAlign w:val="center"/>
                </w:tcPr>
                <w:p w14:paraId="32B286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bCs/>
                      <w:color w:val="auto"/>
                      <w:sz w:val="21"/>
                      <w:szCs w:val="21"/>
                      <w:lang w:val="zh-CN" w:eastAsia="zh-CN"/>
                    </w:rPr>
                  </w:pPr>
                  <w:r>
                    <w:rPr>
                      <w:rFonts w:hint="eastAsia" w:ascii="Times New Roman" w:hAnsi="Times New Roman" w:cs="Times New Roman"/>
                      <w:b/>
                      <w:bCs/>
                      <w:color w:val="auto"/>
                      <w:sz w:val="21"/>
                      <w:szCs w:val="21"/>
                      <w:lang w:val="zh-CN" w:eastAsia="zh-CN"/>
                    </w:rPr>
                    <w:t>符合性</w:t>
                  </w:r>
                </w:p>
              </w:tc>
            </w:tr>
            <w:tr w14:paraId="2D05E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noWrap w:val="0"/>
                  <w:vAlign w:val="center"/>
                </w:tcPr>
                <w:p w14:paraId="74C83E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《关于加强重点行业涉新污染物建设项目环境影响评价工作的意见》（环环平〔2025〕28号）</w:t>
                  </w:r>
                </w:p>
              </w:tc>
              <w:tc>
                <w:tcPr>
                  <w:tcW w:w="2222" w:type="pct"/>
                  <w:noWrap w:val="0"/>
                  <w:vAlign w:val="center"/>
                </w:tcPr>
                <w:p w14:paraId="12B3BECC">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重点关注重点管控新污染物清单、有毒有害污染物名录、优先控制化学品名录以及《关于持久性有机污染物的斯德哥尔摩公约》（简称《斯德哥尔摩公约》）附件中已发布环境质量标准、污染物排放标准、环境监测方法标准或其他具有污染治理技术的污染物。重点关注石化、涂料、纺织印染、橡胶、农药、医药等重点行业建设项目，在建设项目环评工作中做好上述新污染物识别，涉及上述新污染物的，执行本意见要求；不涉及新污染物的，无需开展相关工作。</w:t>
                  </w:r>
                </w:p>
              </w:tc>
              <w:tc>
                <w:tcPr>
                  <w:tcW w:w="1556" w:type="pct"/>
                  <w:noWrap w:val="0"/>
                  <w:vAlign w:val="center"/>
                </w:tcPr>
                <w:p w14:paraId="50EBFF4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auto"/>
                      <w:sz w:val="21"/>
                      <w:szCs w:val="21"/>
                      <w:lang w:val="en-US" w:eastAsia="zh-CN"/>
                    </w:rPr>
                  </w:pPr>
                  <w:r>
                    <w:rPr>
                      <w:rFonts w:hint="eastAsia" w:cs="Times New Roman"/>
                      <w:color w:val="auto"/>
                      <w:sz w:val="21"/>
                      <w:szCs w:val="21"/>
                      <w:lang w:val="en-US" w:eastAsia="zh-CN"/>
                    </w:rPr>
                    <w:t>本项目污染物主要为HCl、NO</w:t>
                  </w:r>
                  <w:r>
                    <w:rPr>
                      <w:rFonts w:hint="eastAsia" w:cs="Times New Roman"/>
                      <w:color w:val="auto"/>
                      <w:sz w:val="21"/>
                      <w:szCs w:val="21"/>
                      <w:vertAlign w:val="subscript"/>
                      <w:lang w:val="en-US" w:eastAsia="zh-CN"/>
                    </w:rPr>
                    <w:t>X</w:t>
                  </w:r>
                  <w:r>
                    <w:rPr>
                      <w:rFonts w:hint="eastAsia" w:cs="Times New Roman"/>
                      <w:color w:val="auto"/>
                      <w:sz w:val="21"/>
                      <w:szCs w:val="21"/>
                      <w:lang w:val="en-US" w:eastAsia="zh-CN"/>
                    </w:rPr>
                    <w:t>、非甲烷总烃，均不属于新污染物、有毒有害污染物、优先控制化学品名录及</w:t>
                  </w:r>
                  <w:r>
                    <w:rPr>
                      <w:rFonts w:hint="eastAsia" w:ascii="Times New Roman" w:hAnsi="Times New Roman" w:cs="Times New Roman"/>
                      <w:color w:val="auto"/>
                      <w:sz w:val="21"/>
                      <w:szCs w:val="21"/>
                      <w:lang w:val="en-US" w:eastAsia="zh-CN"/>
                    </w:rPr>
                    <w:t>《斯德哥尔摩公约》</w:t>
                  </w:r>
                  <w:r>
                    <w:rPr>
                      <w:rFonts w:hint="eastAsia" w:cs="Times New Roman"/>
                      <w:color w:val="auto"/>
                      <w:sz w:val="21"/>
                      <w:szCs w:val="21"/>
                      <w:lang w:val="en-US" w:eastAsia="zh-CN"/>
                    </w:rPr>
                    <w:t>附件中相关污染物。</w:t>
                  </w:r>
                </w:p>
                <w:p w14:paraId="7273DB9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cs="Times New Roman"/>
                      <w:color w:val="auto"/>
                      <w:sz w:val="21"/>
                      <w:szCs w:val="21"/>
                      <w:lang w:val="en-US" w:eastAsia="zh-CN"/>
                    </w:rPr>
                  </w:pPr>
                  <w:r>
                    <w:rPr>
                      <w:rFonts w:hint="eastAsia" w:cs="Times New Roman"/>
                      <w:color w:val="auto"/>
                      <w:sz w:val="21"/>
                      <w:szCs w:val="21"/>
                      <w:lang w:val="en-US" w:eastAsia="zh-CN"/>
                    </w:rPr>
                    <w:t>且本项目属于研发、实验室等，不属于石化、涂料、纺织印染、橡胶、农药、医药等重点行业。故无需开展相关工作。</w:t>
                  </w:r>
                </w:p>
              </w:tc>
              <w:tc>
                <w:tcPr>
                  <w:tcW w:w="348" w:type="pct"/>
                  <w:noWrap w:val="0"/>
                  <w:vAlign w:val="center"/>
                </w:tcPr>
                <w:p w14:paraId="7F9929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符合</w:t>
                  </w:r>
                </w:p>
              </w:tc>
            </w:tr>
            <w:tr w14:paraId="0F906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5" w:hRule="atLeast"/>
                <w:jc w:val="center"/>
              </w:trPr>
              <w:tc>
                <w:tcPr>
                  <w:tcW w:w="873" w:type="pct"/>
                  <w:vMerge w:val="restart"/>
                  <w:noWrap w:val="0"/>
                  <w:vAlign w:val="center"/>
                </w:tcPr>
                <w:p w14:paraId="320202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s="Times New Roman"/>
                      <w:color w:val="auto"/>
                      <w:sz w:val="21"/>
                      <w:szCs w:val="21"/>
                      <w:lang w:val="en-US" w:eastAsia="zh-CN"/>
                    </w:rPr>
                  </w:pPr>
                  <w:r>
                    <w:rPr>
                      <w:rFonts w:hint="eastAsia"/>
                      <w:color w:val="auto"/>
                      <w:kern w:val="0"/>
                      <w:szCs w:val="21"/>
                      <w:highlight w:val="none"/>
                    </w:rPr>
                    <w:t>《</w:t>
                  </w:r>
                  <w:r>
                    <w:rPr>
                      <w:rFonts w:hint="eastAsia" w:ascii="Times New Roman" w:hAnsi="Times New Roman" w:eastAsia="宋体" w:cs="Times New Roman"/>
                      <w:color w:val="auto"/>
                      <w:sz w:val="21"/>
                      <w:szCs w:val="21"/>
                      <w:lang w:val="en-US" w:eastAsia="zh-CN"/>
                    </w:rPr>
                    <w:t>挥发性有机物无组织排放控制标准》（GB</w:t>
                  </w:r>
                  <w:r>
                    <w:rPr>
                      <w:rFonts w:hint="eastAsia" w:ascii="Times New Roman" w:hAnsi="Times New Roman" w:eastAsia="宋体" w:cs="Times New Roman"/>
                      <w:color w:val="auto"/>
                      <w:sz w:val="21"/>
                      <w:szCs w:val="21"/>
                      <w:lang w:val="en" w:eastAsia="zh-CN"/>
                    </w:rPr>
                    <w:t xml:space="preserve"> 37822-2019）</w:t>
                  </w:r>
                </w:p>
              </w:tc>
              <w:tc>
                <w:tcPr>
                  <w:tcW w:w="2222" w:type="pct"/>
                  <w:noWrap w:val="0"/>
                  <w:vAlign w:val="center"/>
                </w:tcPr>
                <w:p w14:paraId="7EE4231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VOCs物料应储存于密闭的容器、包装袋、储罐、储库、料仓中。盛装VOCs物料的容器或包装袋应存放于室内，或存放于设置有雨棚、遮阳和防渗设施的专用场地。盛装VOCs物料的容器或包装袋在非取用状态时应加盖、封口，保持密闭。</w:t>
                  </w:r>
                </w:p>
              </w:tc>
              <w:tc>
                <w:tcPr>
                  <w:tcW w:w="1556" w:type="pct"/>
                  <w:noWrap w:val="0"/>
                  <w:vAlign w:val="center"/>
                </w:tcPr>
                <w:p w14:paraId="7448E35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auto"/>
                      <w:sz w:val="21"/>
                      <w:szCs w:val="21"/>
                      <w:lang w:val="en-US" w:eastAsia="zh-CN"/>
                    </w:rPr>
                  </w:pPr>
                  <w:r>
                    <w:rPr>
                      <w:rFonts w:hint="eastAsia" w:ascii="Times New Roman" w:hAnsi="Times New Roman" w:eastAsia="宋体" w:cs="Times New Roman"/>
                      <w:color w:val="auto"/>
                      <w:sz w:val="21"/>
                      <w:szCs w:val="21"/>
                      <w:highlight w:val="none"/>
                      <w:lang w:val="en-US" w:eastAsia="zh-CN"/>
                    </w:rPr>
                    <w:t>项目使用的含VOCs物料均密闭保存在包装容器内，并在库</w:t>
                  </w:r>
                  <w:r>
                    <w:rPr>
                      <w:rFonts w:hint="eastAsia" w:cs="Times New Roman"/>
                      <w:color w:val="auto"/>
                      <w:sz w:val="21"/>
                      <w:szCs w:val="21"/>
                      <w:highlight w:val="none"/>
                      <w:lang w:val="en-US" w:eastAsia="zh-CN"/>
                    </w:rPr>
                    <w:t>房</w:t>
                  </w:r>
                  <w:r>
                    <w:rPr>
                      <w:rFonts w:hint="eastAsia" w:ascii="Times New Roman" w:hAnsi="Times New Roman" w:eastAsia="宋体" w:cs="Times New Roman"/>
                      <w:color w:val="auto"/>
                      <w:sz w:val="21"/>
                      <w:szCs w:val="21"/>
                      <w:highlight w:val="none"/>
                      <w:lang w:val="en-US" w:eastAsia="zh-CN"/>
                    </w:rPr>
                    <w:t>中划分固定区域进行存放。</w:t>
                  </w:r>
                  <w:r>
                    <w:rPr>
                      <w:rFonts w:hint="eastAsia" w:cs="Times New Roman"/>
                      <w:color w:val="auto"/>
                      <w:sz w:val="21"/>
                      <w:szCs w:val="21"/>
                      <w:highlight w:val="none"/>
                      <w:lang w:val="en-US" w:eastAsia="zh-CN"/>
                    </w:rPr>
                    <w:t>库房采取</w:t>
                  </w:r>
                  <w:r>
                    <w:rPr>
                      <w:rFonts w:hint="eastAsia" w:ascii="Times New Roman" w:hAnsi="Times New Roman" w:eastAsia="宋体" w:cs="Times New Roman"/>
                      <w:color w:val="auto"/>
                      <w:sz w:val="21"/>
                      <w:szCs w:val="21"/>
                      <w:highlight w:val="none"/>
                      <w:lang w:val="en-US" w:eastAsia="zh-CN"/>
                    </w:rPr>
                    <w:t>防渗措施</w:t>
                  </w:r>
                  <w:r>
                    <w:rPr>
                      <w:rFonts w:hint="eastAsia"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盛装VOCs物料的包装</w:t>
                  </w:r>
                  <w:r>
                    <w:rPr>
                      <w:rFonts w:hint="eastAsia" w:cs="Times New Roman"/>
                      <w:color w:val="auto"/>
                      <w:sz w:val="21"/>
                      <w:szCs w:val="21"/>
                      <w:highlight w:val="none"/>
                      <w:lang w:val="en-US" w:eastAsia="zh-CN"/>
                    </w:rPr>
                    <w:t>容器</w:t>
                  </w:r>
                  <w:r>
                    <w:rPr>
                      <w:rFonts w:hint="eastAsia" w:ascii="Times New Roman" w:hAnsi="Times New Roman" w:eastAsia="宋体" w:cs="Times New Roman"/>
                      <w:color w:val="auto"/>
                      <w:sz w:val="21"/>
                      <w:szCs w:val="21"/>
                      <w:highlight w:val="none"/>
                      <w:lang w:val="en-US" w:eastAsia="zh-CN"/>
                    </w:rPr>
                    <w:t>在非取用状态时加盖、封口，保持密闭。</w:t>
                  </w:r>
                </w:p>
              </w:tc>
              <w:tc>
                <w:tcPr>
                  <w:tcW w:w="348" w:type="pct"/>
                  <w:noWrap w:val="0"/>
                  <w:vAlign w:val="center"/>
                </w:tcPr>
                <w:p w14:paraId="18A2B1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符合</w:t>
                  </w:r>
                </w:p>
              </w:tc>
            </w:tr>
            <w:tr w14:paraId="4B964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continue"/>
                  <w:noWrap w:val="0"/>
                  <w:vAlign w:val="center"/>
                </w:tcPr>
                <w:p w14:paraId="015914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auto"/>
                      <w:sz w:val="21"/>
                      <w:szCs w:val="21"/>
                      <w:lang w:val="en-US" w:eastAsia="zh-CN"/>
                    </w:rPr>
                  </w:pPr>
                </w:p>
              </w:tc>
              <w:tc>
                <w:tcPr>
                  <w:tcW w:w="2222" w:type="pct"/>
                  <w:noWrap w:val="0"/>
                  <w:vAlign w:val="center"/>
                </w:tcPr>
                <w:p w14:paraId="60456361">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企业应建立台账，记录含VOCs原辅材料和含VOCs产品的名称、使用量、回收量、废弃量、去向以及VOCs含量等信息。台账保存期限不少于3年。</w:t>
                  </w:r>
                </w:p>
              </w:tc>
              <w:tc>
                <w:tcPr>
                  <w:tcW w:w="1556" w:type="pct"/>
                  <w:noWrap w:val="0"/>
                  <w:vAlign w:val="center"/>
                </w:tcPr>
                <w:p w14:paraId="399A2EB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环评要求企业建立</w:t>
                  </w:r>
                  <w:r>
                    <w:rPr>
                      <w:rFonts w:hint="eastAsia" w:cs="Times New Roman"/>
                      <w:color w:val="auto"/>
                      <w:sz w:val="21"/>
                      <w:szCs w:val="21"/>
                      <w:lang w:val="en-US" w:eastAsia="zh-CN"/>
                    </w:rPr>
                    <w:t>含VOCs物料使用</w:t>
                  </w:r>
                  <w:r>
                    <w:rPr>
                      <w:rFonts w:hint="eastAsia" w:ascii="Times New Roman" w:hAnsi="Times New Roman" w:eastAsia="宋体" w:cs="Times New Roman"/>
                      <w:color w:val="auto"/>
                      <w:sz w:val="21"/>
                      <w:szCs w:val="21"/>
                      <w:lang w:val="en-US" w:eastAsia="zh-CN"/>
                    </w:rPr>
                    <w:t>台账，记录含VOCs原辅材料相关信息，并保存台账不少于3年。</w:t>
                  </w:r>
                </w:p>
              </w:tc>
              <w:tc>
                <w:tcPr>
                  <w:tcW w:w="348" w:type="pct"/>
                  <w:noWrap w:val="0"/>
                  <w:vAlign w:val="center"/>
                </w:tcPr>
                <w:p w14:paraId="05DBE9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符合</w:t>
                  </w:r>
                </w:p>
              </w:tc>
            </w:tr>
            <w:tr w14:paraId="7FCC3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6" w:hRule="atLeast"/>
                <w:jc w:val="center"/>
              </w:trPr>
              <w:tc>
                <w:tcPr>
                  <w:tcW w:w="873" w:type="pct"/>
                  <w:vMerge w:val="continue"/>
                  <w:noWrap w:val="0"/>
                  <w:vAlign w:val="center"/>
                </w:tcPr>
                <w:p w14:paraId="720E6B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auto"/>
                      <w:sz w:val="21"/>
                      <w:szCs w:val="21"/>
                      <w:lang w:val="en-US" w:eastAsia="zh-CN"/>
                    </w:rPr>
                  </w:pPr>
                </w:p>
              </w:tc>
              <w:tc>
                <w:tcPr>
                  <w:tcW w:w="2222" w:type="pct"/>
                  <w:noWrap w:val="0"/>
                  <w:vAlign w:val="center"/>
                </w:tcPr>
                <w:p w14:paraId="29B9E88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企业应建立台账，记录废气收集系统、VOCs处理设施的主要运行和维护信息，如运行时间、废气处理量、操作温度、停留时间、吸附剂再生/更换周期和更换量、催化剂更换周期和更换量、吸收液pH值等关键运行参数。台账保存期限不少于3年。</w:t>
                  </w:r>
                </w:p>
              </w:tc>
              <w:tc>
                <w:tcPr>
                  <w:tcW w:w="1556" w:type="pct"/>
                  <w:noWrap w:val="0"/>
                  <w:vAlign w:val="center"/>
                </w:tcPr>
                <w:p w14:paraId="200C95E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环评要求企业建立</w:t>
                  </w:r>
                  <w:r>
                    <w:rPr>
                      <w:rFonts w:hint="eastAsia" w:cs="Times New Roman"/>
                      <w:color w:val="auto"/>
                      <w:sz w:val="21"/>
                      <w:szCs w:val="21"/>
                      <w:lang w:val="en-US" w:eastAsia="zh-CN"/>
                    </w:rPr>
                    <w:t>VOCs废气处理设施运行</w:t>
                  </w:r>
                  <w:r>
                    <w:rPr>
                      <w:rFonts w:hint="eastAsia" w:ascii="Times New Roman" w:hAnsi="Times New Roman" w:eastAsia="宋体" w:cs="Times New Roman"/>
                      <w:color w:val="auto"/>
                      <w:sz w:val="21"/>
                      <w:szCs w:val="21"/>
                      <w:lang w:val="en-US" w:eastAsia="zh-CN"/>
                    </w:rPr>
                    <w:t>台账，记录废气收集系统、VOCs处理设施的主要运行和维护信息，并保存台账不少于3年。</w:t>
                  </w:r>
                </w:p>
              </w:tc>
              <w:tc>
                <w:tcPr>
                  <w:tcW w:w="348" w:type="pct"/>
                  <w:noWrap w:val="0"/>
                  <w:vAlign w:val="center"/>
                </w:tcPr>
                <w:p w14:paraId="42A5A1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符合</w:t>
                  </w:r>
                </w:p>
              </w:tc>
            </w:tr>
            <w:tr w14:paraId="4E423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noWrap w:val="0"/>
                  <w:vAlign w:val="center"/>
                </w:tcPr>
                <w:p w14:paraId="37D04A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en-US" w:eastAsia="zh-CN"/>
                    </w:rPr>
                    <w:t>《陕西省“十四五”生态环境保护规划》</w:t>
                  </w:r>
                </w:p>
              </w:tc>
              <w:tc>
                <w:tcPr>
                  <w:tcW w:w="2222" w:type="pct"/>
                  <w:noWrap w:val="0"/>
                  <w:vAlign w:val="center"/>
                </w:tcPr>
                <w:p w14:paraId="64FC299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1、建立健全生态环境分区管控体系。立</w:t>
                  </w:r>
                  <w:r>
                    <w:rPr>
                      <w:rFonts w:hint="eastAsia" w:ascii="Times New Roman" w:hAnsi="Times New Roman" w:cs="Times New Roman"/>
                      <w:color w:val="auto"/>
                      <w:sz w:val="21"/>
                      <w:szCs w:val="21"/>
                      <w:highlight w:val="none"/>
                      <w:lang w:val="en-US" w:eastAsia="zh-CN"/>
                    </w:rPr>
                    <w:t>足资源环境承载能力，发挥各地比较优势，优化重大基础设施、重大生产力和公共资源布局，建立以“三线一单”为核心的全省生态环</w:t>
                  </w:r>
                  <w:r>
                    <w:rPr>
                      <w:rFonts w:hint="eastAsia" w:ascii="Times New Roman" w:hAnsi="Times New Roman" w:cs="Times New Roman"/>
                      <w:color w:val="auto"/>
                      <w:sz w:val="21"/>
                      <w:szCs w:val="21"/>
                      <w:lang w:val="en-US" w:eastAsia="zh-CN"/>
                    </w:rPr>
                    <w:t>境分区管控体系。</w:t>
                  </w:r>
                </w:p>
                <w:p w14:paraId="2184AF42">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持续推进工业污水治理。引导工业企业污水近零排放，降低污染负荷。强化工业集聚区污染治理，推进工业园区污水处理设施分类管理、分期升级改造和污水管网排查整治，省级以上工业集聚区污水集中处理设施实现规范运行。根据流域水质目标和主体功能区规划要求，实施差别化环境准入政策，严格限制增加氮磷污染物排放的工业项目。关中地区严格控制新建、扩建化学制浆造纸、化工、印染、果汁和淀粉加工等高耗水、高污染项目。</w:t>
                  </w:r>
                </w:p>
                <w:p w14:paraId="58661E4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en-US" w:eastAsia="zh-CN"/>
                    </w:rPr>
                    <w:t>3、强化危险废物全过程环境监管。深入开展危险废物规范化环境管理，完善危险废物重点监管单位清单。强化危险废物全过程环境监管，完善危险废物许可证审批与环境影响评价文件审批的有效衔接机制，严格落实危险废物污染防治设施“三同时”制度。</w:t>
                  </w:r>
                </w:p>
              </w:tc>
              <w:tc>
                <w:tcPr>
                  <w:tcW w:w="1556" w:type="pct"/>
                  <w:noWrap w:val="0"/>
                  <w:vAlign w:val="center"/>
                </w:tcPr>
                <w:p w14:paraId="19704B81">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val="zh-CN" w:eastAsia="zh-CN"/>
                    </w:rPr>
                    <w:t>本项目符合</w:t>
                  </w:r>
                  <w:r>
                    <w:rPr>
                      <w:rFonts w:hint="eastAsia" w:ascii="Times New Roman" w:hAnsi="Times New Roman" w:cs="Times New Roman"/>
                      <w:color w:val="auto"/>
                      <w:sz w:val="21"/>
                      <w:szCs w:val="21"/>
                      <w:lang w:val="en-US" w:eastAsia="zh-CN"/>
                    </w:rPr>
                    <w:t>“三线一单”的要求；</w:t>
                  </w:r>
                </w:p>
                <w:p w14:paraId="0CA5547E">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w:t>
                  </w:r>
                  <w:r>
                    <w:rPr>
                      <w:rFonts w:hint="eastAsia" w:cs="Times New Roman"/>
                      <w:color w:val="auto"/>
                      <w:sz w:val="21"/>
                      <w:szCs w:val="21"/>
                      <w:lang w:val="en-US" w:eastAsia="zh-CN"/>
                    </w:rPr>
                    <w:t>、</w:t>
                  </w:r>
                  <w:r>
                    <w:rPr>
                      <w:rFonts w:hint="eastAsia" w:cs="Times New Roman"/>
                      <w:color w:val="auto"/>
                      <w:sz w:val="21"/>
                      <w:szCs w:val="21"/>
                      <w:highlight w:val="none"/>
                      <w:lang w:val="en-US" w:eastAsia="zh-CN"/>
                    </w:rPr>
                    <w:t>项目经油水分离器处理过的餐饮废水与生活污水和实验综合废水经化粪池处理后</w:t>
                  </w:r>
                  <w:r>
                    <w:rPr>
                      <w:rFonts w:hint="eastAsia" w:ascii="Times New Roman" w:hAnsi="Times New Roman" w:eastAsia="宋体" w:cs="Times New Roman"/>
                      <w:color w:val="auto"/>
                      <w:sz w:val="21"/>
                      <w:szCs w:val="21"/>
                      <w:highlight w:val="none"/>
                      <w:lang w:val="en-US" w:eastAsia="zh-CN"/>
                    </w:rPr>
                    <w:t>排入</w:t>
                  </w:r>
                  <w:r>
                    <w:rPr>
                      <w:rFonts w:hint="eastAsia" w:ascii="Times New Roman" w:hAnsi="Times New Roman" w:eastAsia="宋体" w:cs="Times New Roman"/>
                      <w:color w:val="auto"/>
                      <w:kern w:val="0"/>
                      <w:sz w:val="21"/>
                      <w:szCs w:val="21"/>
                      <w:highlight w:val="none"/>
                      <w:lang w:val="en-US" w:eastAsia="zh-CN"/>
                    </w:rPr>
                    <w:t>西咸新区沣东南污水处理厂</w:t>
                  </w:r>
                  <w:r>
                    <w:rPr>
                      <w:rFonts w:hint="eastAsia" w:ascii="Times New Roman" w:hAnsi="Times New Roman" w:cs="Times New Roman"/>
                      <w:color w:val="auto"/>
                      <w:sz w:val="21"/>
                      <w:szCs w:val="21"/>
                      <w:highlight w:val="none"/>
                      <w:lang w:val="en-US" w:eastAsia="zh-CN"/>
                    </w:rPr>
                    <w:t>；</w:t>
                  </w:r>
                </w:p>
                <w:p w14:paraId="6F98401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en-US" w:eastAsia="zh-CN"/>
                    </w:rPr>
                    <w:t>3、</w:t>
                  </w:r>
                  <w:r>
                    <w:rPr>
                      <w:rFonts w:hint="eastAsia" w:cs="Times New Roman"/>
                      <w:color w:val="auto"/>
                      <w:sz w:val="21"/>
                      <w:szCs w:val="21"/>
                      <w:lang w:val="en-US" w:eastAsia="zh-CN"/>
                    </w:rPr>
                    <w:t>本次新建一座</w:t>
                  </w:r>
                  <w:r>
                    <w:rPr>
                      <w:rFonts w:hint="eastAsia" w:ascii="Times New Roman" w:hAnsi="Times New Roman" w:cs="Times New Roman"/>
                      <w:color w:val="auto"/>
                      <w:sz w:val="21"/>
                      <w:szCs w:val="21"/>
                      <w:lang w:val="en-US" w:eastAsia="zh-CN"/>
                    </w:rPr>
                    <w:t>危险废物</w:t>
                  </w:r>
                  <w:r>
                    <w:rPr>
                      <w:rFonts w:hint="eastAsia" w:cs="Times New Roman"/>
                      <w:color w:val="auto"/>
                      <w:sz w:val="21"/>
                      <w:szCs w:val="21"/>
                      <w:lang w:val="en-US" w:eastAsia="zh-CN"/>
                    </w:rPr>
                    <w:t>贮</w:t>
                  </w:r>
                  <w:r>
                    <w:rPr>
                      <w:rFonts w:hint="eastAsia" w:ascii="Times New Roman" w:hAnsi="Times New Roman" w:cs="Times New Roman"/>
                      <w:color w:val="auto"/>
                      <w:sz w:val="21"/>
                      <w:szCs w:val="21"/>
                      <w:lang w:val="en-US" w:eastAsia="zh-CN"/>
                    </w:rPr>
                    <w:t>存</w:t>
                  </w:r>
                  <w:r>
                    <w:rPr>
                      <w:rFonts w:hint="eastAsia" w:cs="Times New Roman"/>
                      <w:color w:val="auto"/>
                      <w:sz w:val="21"/>
                      <w:szCs w:val="21"/>
                      <w:lang w:val="en-US" w:eastAsia="zh-CN"/>
                    </w:rPr>
                    <w:t>库</w:t>
                  </w:r>
                  <w:r>
                    <w:rPr>
                      <w:rFonts w:hint="eastAsia" w:cs="Times New Roman"/>
                      <w:color w:val="auto"/>
                      <w:sz w:val="21"/>
                      <w:szCs w:val="21"/>
                      <w:highlight w:val="none"/>
                      <w:lang w:val="en-US" w:eastAsia="zh-CN"/>
                    </w:rPr>
                    <w:t>（15m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vertAlign w:val="baseline"/>
                      <w:lang w:val="en-US" w:eastAsia="zh-CN"/>
                    </w:rPr>
                    <w:t>，在1#楼1F西北侧</w:t>
                  </w:r>
                  <w:r>
                    <w:rPr>
                      <w:rFonts w:hint="eastAsia" w:cs="Times New Roman"/>
                      <w:color w:val="auto"/>
                      <w:sz w:val="21"/>
                      <w:szCs w:val="21"/>
                      <w:highlight w:val="none"/>
                      <w:lang w:val="en-US" w:eastAsia="zh-CN"/>
                    </w:rPr>
                    <w:t>）</w:t>
                  </w:r>
                  <w:r>
                    <w:rPr>
                      <w:rFonts w:hint="eastAsia" w:ascii="Times New Roman" w:hAnsi="Times New Roman" w:cs="Times New Roman"/>
                      <w:color w:val="auto"/>
                      <w:sz w:val="21"/>
                      <w:szCs w:val="21"/>
                      <w:lang w:val="en-US" w:eastAsia="zh-CN"/>
                    </w:rPr>
                    <w:t>，并设专人管理，严格落实危险废物污染防治设施“三同时”制度。</w:t>
                  </w:r>
                </w:p>
              </w:tc>
              <w:tc>
                <w:tcPr>
                  <w:tcW w:w="348" w:type="pct"/>
                  <w:noWrap w:val="0"/>
                  <w:vAlign w:val="center"/>
                </w:tcPr>
                <w:p w14:paraId="2E7020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40A6E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restart"/>
                  <w:noWrap w:val="0"/>
                  <w:vAlign w:val="center"/>
                </w:tcPr>
                <w:p w14:paraId="4E6A40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西安市人民政府关于印发“十四五”生态环境保护规划的通知（市政发</w:t>
                  </w:r>
                  <w:r>
                    <w:rPr>
                      <w:rFonts w:hint="eastAsia" w:cs="Times New Roman"/>
                      <w:color w:val="auto"/>
                      <w:sz w:val="21"/>
                      <w:szCs w:val="21"/>
                      <w:highlight w:val="none"/>
                      <w:lang w:val="en-US" w:eastAsia="zh-CN"/>
                    </w:rPr>
                    <w:t>〔2021〕21号</w:t>
                  </w:r>
                  <w:r>
                    <w:rPr>
                      <w:rFonts w:hint="eastAsia" w:ascii="Times New Roman" w:hAnsi="Times New Roman" w:cs="Times New Roman"/>
                      <w:color w:val="auto"/>
                      <w:sz w:val="21"/>
                      <w:szCs w:val="21"/>
                      <w:highlight w:val="none"/>
                      <w:lang w:val="en-US" w:eastAsia="zh-CN"/>
                    </w:rPr>
                    <w:t>）</w:t>
                  </w:r>
                </w:p>
              </w:tc>
              <w:tc>
                <w:tcPr>
                  <w:tcW w:w="2222" w:type="pct"/>
                  <w:noWrap w:val="0"/>
                  <w:vAlign w:val="center"/>
                </w:tcPr>
                <w:p w14:paraId="45D80B3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工业企业噪声防治。加强工业噪声环境监管力度，严厉查处工业企业噪声排放超标扰民行为。</w:t>
                  </w:r>
                </w:p>
              </w:tc>
              <w:tc>
                <w:tcPr>
                  <w:tcW w:w="1556" w:type="pct"/>
                  <w:noWrap w:val="0"/>
                  <w:vAlign w:val="center"/>
                </w:tcPr>
                <w:p w14:paraId="5365885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highlight w:val="none"/>
                      <w:lang w:val="zh-CN" w:eastAsia="zh-CN"/>
                    </w:rPr>
                  </w:pPr>
                  <w:r>
                    <w:rPr>
                      <w:rFonts w:hint="eastAsia" w:ascii="Times New Roman" w:hAnsi="Times New Roman" w:cs="Times New Roman"/>
                      <w:color w:val="auto"/>
                      <w:sz w:val="21"/>
                      <w:szCs w:val="21"/>
                      <w:highlight w:val="none"/>
                      <w:lang w:val="en-US" w:eastAsia="zh-CN"/>
                    </w:rPr>
                    <w:t>项目</w:t>
                  </w:r>
                  <w:r>
                    <w:rPr>
                      <w:rFonts w:hint="eastAsia" w:cs="Times New Roman"/>
                      <w:color w:val="auto"/>
                      <w:sz w:val="21"/>
                      <w:szCs w:val="21"/>
                      <w:highlight w:val="none"/>
                      <w:lang w:val="en-US" w:eastAsia="zh-CN"/>
                    </w:rPr>
                    <w:t>为专业实验室</w:t>
                  </w:r>
                  <w:r>
                    <w:rPr>
                      <w:rFonts w:hint="eastAsia" w:ascii="Times New Roman" w:hAnsi="Times New Roman" w:cs="Times New Roman"/>
                      <w:color w:val="auto"/>
                      <w:sz w:val="21"/>
                      <w:szCs w:val="21"/>
                      <w:highlight w:val="none"/>
                      <w:lang w:val="en-US" w:eastAsia="zh-CN"/>
                    </w:rPr>
                    <w:t>，以试验设备为主，均为低噪声设备，合理布局可有效控制噪声影响，厂界噪声可达标排放。</w:t>
                  </w:r>
                </w:p>
              </w:tc>
              <w:tc>
                <w:tcPr>
                  <w:tcW w:w="348" w:type="pct"/>
                  <w:noWrap w:val="0"/>
                  <w:vAlign w:val="center"/>
                </w:tcPr>
                <w:p w14:paraId="71C5B0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zh-CN" w:eastAsia="zh-CN"/>
                    </w:rPr>
                  </w:pPr>
                  <w:r>
                    <w:rPr>
                      <w:rFonts w:hint="eastAsia" w:cs="Times New Roman"/>
                      <w:color w:val="auto"/>
                      <w:sz w:val="21"/>
                      <w:szCs w:val="21"/>
                      <w:highlight w:val="none"/>
                      <w:lang w:val="zh-CN" w:eastAsia="zh-CN"/>
                    </w:rPr>
                    <w:t>符合</w:t>
                  </w:r>
                </w:p>
              </w:tc>
            </w:tr>
            <w:tr w14:paraId="0B9B5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jc w:val="center"/>
              </w:trPr>
              <w:tc>
                <w:tcPr>
                  <w:tcW w:w="873" w:type="pct"/>
                  <w:vMerge w:val="continue"/>
                  <w:noWrap w:val="0"/>
                  <w:vAlign w:val="center"/>
                </w:tcPr>
                <w:p w14:paraId="567E61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p>
              </w:tc>
              <w:tc>
                <w:tcPr>
                  <w:tcW w:w="2222" w:type="pct"/>
                  <w:noWrap w:val="0"/>
                  <w:vAlign w:val="center"/>
                </w:tcPr>
                <w:p w14:paraId="5AC51F01">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提升危险废物环境监管能力。加大对危险废物污染防治监管力度，规范危险废物环境管理，形成覆盖危险废物产生、收集、贮存、转移、运输、利用、处置等全过程的监管体系。</w:t>
                  </w:r>
                </w:p>
              </w:tc>
              <w:tc>
                <w:tcPr>
                  <w:tcW w:w="1556" w:type="pct"/>
                  <w:noWrap w:val="0"/>
                  <w:vAlign w:val="center"/>
                </w:tcPr>
                <w:p w14:paraId="6F87C281">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highlight w:val="none"/>
                      <w:lang w:val="zh-CN" w:eastAsia="zh-CN"/>
                    </w:rPr>
                  </w:pPr>
                  <w:r>
                    <w:rPr>
                      <w:rFonts w:hint="eastAsia" w:cs="Times New Roman"/>
                      <w:color w:val="auto"/>
                      <w:sz w:val="21"/>
                      <w:szCs w:val="21"/>
                      <w:highlight w:val="none"/>
                      <w:lang w:val="en-US" w:eastAsia="zh-CN"/>
                    </w:rPr>
                    <w:t>本次新建一座</w:t>
                  </w:r>
                  <w:r>
                    <w:rPr>
                      <w:rFonts w:hint="eastAsia" w:ascii="Times New Roman" w:hAnsi="Times New Roman" w:cs="Times New Roman"/>
                      <w:color w:val="auto"/>
                      <w:sz w:val="21"/>
                      <w:szCs w:val="21"/>
                      <w:highlight w:val="none"/>
                      <w:lang w:val="en-US" w:eastAsia="zh-CN"/>
                    </w:rPr>
                    <w:t>危险废物</w:t>
                  </w:r>
                  <w:r>
                    <w:rPr>
                      <w:rFonts w:hint="eastAsia" w:cs="Times New Roman"/>
                      <w:color w:val="auto"/>
                      <w:sz w:val="21"/>
                      <w:szCs w:val="21"/>
                      <w:highlight w:val="none"/>
                      <w:lang w:val="en-US" w:eastAsia="zh-CN"/>
                    </w:rPr>
                    <w:t>贮</w:t>
                  </w:r>
                  <w:r>
                    <w:rPr>
                      <w:rFonts w:hint="eastAsia" w:ascii="Times New Roman" w:hAnsi="Times New Roman" w:cs="Times New Roman"/>
                      <w:color w:val="auto"/>
                      <w:sz w:val="21"/>
                      <w:szCs w:val="21"/>
                      <w:highlight w:val="none"/>
                      <w:lang w:val="en-US" w:eastAsia="zh-CN"/>
                    </w:rPr>
                    <w:t>存</w:t>
                  </w:r>
                  <w:r>
                    <w:rPr>
                      <w:rFonts w:hint="eastAsia" w:cs="Times New Roman"/>
                      <w:color w:val="auto"/>
                      <w:sz w:val="21"/>
                      <w:szCs w:val="21"/>
                      <w:highlight w:val="none"/>
                      <w:lang w:val="en-US" w:eastAsia="zh-CN"/>
                    </w:rPr>
                    <w:t>库</w:t>
                  </w:r>
                  <w:r>
                    <w:rPr>
                      <w:rFonts w:hint="eastAsia" w:ascii="Times New Roman" w:hAnsi="Times New Roman" w:cs="Times New Roman"/>
                      <w:color w:val="auto"/>
                      <w:sz w:val="21"/>
                      <w:szCs w:val="21"/>
                      <w:highlight w:val="none"/>
                      <w:lang w:val="en-US" w:eastAsia="zh-CN"/>
                    </w:rPr>
                    <w:t>，并设有专人负责</w:t>
                  </w:r>
                  <w:r>
                    <w:rPr>
                      <w:rFonts w:hint="eastAsia" w:cs="Times New Roman"/>
                      <w:color w:val="auto"/>
                      <w:sz w:val="21"/>
                      <w:szCs w:val="21"/>
                      <w:highlight w:val="none"/>
                      <w:lang w:val="en-US" w:eastAsia="zh-CN"/>
                    </w:rPr>
                    <w:t>公司</w:t>
                  </w:r>
                  <w:r>
                    <w:rPr>
                      <w:rFonts w:hint="eastAsia" w:ascii="Times New Roman" w:hAnsi="Times New Roman" w:cs="Times New Roman"/>
                      <w:color w:val="auto"/>
                      <w:sz w:val="21"/>
                      <w:szCs w:val="21"/>
                      <w:highlight w:val="none"/>
                      <w:lang w:val="en-US" w:eastAsia="zh-CN"/>
                    </w:rPr>
                    <w:t>危险废物的全过程管理。</w:t>
                  </w:r>
                </w:p>
              </w:tc>
              <w:tc>
                <w:tcPr>
                  <w:tcW w:w="348" w:type="pct"/>
                  <w:noWrap w:val="0"/>
                  <w:vAlign w:val="center"/>
                </w:tcPr>
                <w:p w14:paraId="0EBFA4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zh-CN" w:eastAsia="zh-CN"/>
                    </w:rPr>
                  </w:pPr>
                  <w:r>
                    <w:rPr>
                      <w:rFonts w:hint="eastAsia" w:cs="Times New Roman"/>
                      <w:color w:val="auto"/>
                      <w:sz w:val="21"/>
                      <w:szCs w:val="21"/>
                      <w:highlight w:val="none"/>
                      <w:lang w:val="zh-CN" w:eastAsia="zh-CN"/>
                    </w:rPr>
                    <w:t>符合</w:t>
                  </w:r>
                </w:p>
              </w:tc>
            </w:tr>
            <w:tr w14:paraId="46AD1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pct"/>
                  <w:noWrap w:val="0"/>
                  <w:vAlign w:val="center"/>
                </w:tcPr>
                <w:p w14:paraId="4FDA1F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《西安市人民政府办公厅关于印发推进实现“十四五”空气质量目标暨大气污染治理专项行动2025年工作方案的通知》</w:t>
                  </w:r>
                </w:p>
              </w:tc>
              <w:tc>
                <w:tcPr>
                  <w:tcW w:w="2222" w:type="pct"/>
                  <w:noWrap w:val="0"/>
                  <w:vAlign w:val="center"/>
                </w:tcPr>
                <w:p w14:paraId="53B47C5F">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严格控制生产和使用高VOCs含量的涂料、油墨、胶黏剂、清洗剂等建设项目。坚持应替尽替原则，在工业企业、汽修、市政工程等方面集中开展低挥发性原辅材料源头替代工作，强化源头治理，减少挥发性有机物排放。</w:t>
                  </w:r>
                </w:p>
              </w:tc>
              <w:tc>
                <w:tcPr>
                  <w:tcW w:w="1556" w:type="pct"/>
                  <w:noWrap w:val="0"/>
                  <w:vAlign w:val="center"/>
                </w:tcPr>
                <w:p w14:paraId="3442AEE6">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本项目涉及到VOCs的原辅料主要为密封剂、固化剂、硬化剂、电路板保护剂</w:t>
                  </w:r>
                  <w:r>
                    <w:rPr>
                      <w:rFonts w:hint="eastAsia" w:ascii="Times New Roman" w:hAnsi="Times New Roman" w:eastAsia="宋体" w:cs="Times New Roman"/>
                      <w:i w:val="0"/>
                      <w:iCs w:val="0"/>
                      <w:color w:val="auto"/>
                      <w:sz w:val="21"/>
                      <w:szCs w:val="21"/>
                      <w:highlight w:val="none"/>
                      <w:lang w:val="en-US" w:eastAsia="zh-CN"/>
                    </w:rPr>
                    <w:t>、</w:t>
                  </w:r>
                  <w:r>
                    <w:rPr>
                      <w:rFonts w:hint="eastAsia" w:cs="Times New Roman"/>
                      <w:color w:val="auto"/>
                      <w:sz w:val="21"/>
                      <w:szCs w:val="21"/>
                      <w:highlight w:val="none"/>
                      <w:lang w:val="en-US" w:eastAsia="zh-CN"/>
                    </w:rPr>
                    <w:t>乙醇等试剂，本项目使用满足相应的标准限值VOCs要求的原辅材料。本项目主要为实验、研发，不属于生产和使用高VOCs含量的涂料、油墨、胶粘剂、清洗剂。</w:t>
                  </w:r>
                </w:p>
              </w:tc>
              <w:tc>
                <w:tcPr>
                  <w:tcW w:w="348" w:type="pct"/>
                  <w:noWrap w:val="0"/>
                  <w:vAlign w:val="center"/>
                </w:tcPr>
                <w:p w14:paraId="73CC30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符合</w:t>
                  </w:r>
                </w:p>
              </w:tc>
            </w:tr>
            <w:tr w14:paraId="4155E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restart"/>
                  <w:noWrap w:val="0"/>
                  <w:vAlign w:val="center"/>
                </w:tcPr>
                <w:p w14:paraId="0D1262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p>
                <w:p w14:paraId="2A9202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p>
                <w:p w14:paraId="18A80D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p>
                <w:p w14:paraId="4BD95B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p>
                <w:p w14:paraId="376C00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p>
                <w:p w14:paraId="56E917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p>
                <w:p w14:paraId="73D509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p>
                <w:p w14:paraId="607338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p>
                <w:p w14:paraId="481A8A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p>
                <w:p w14:paraId="0E82B1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p>
                <w:p w14:paraId="1B319E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p>
                <w:p w14:paraId="6E08E9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highlight w:val="none"/>
                      <w:lang w:val="en-US" w:eastAsia="zh-CN"/>
                    </w:rPr>
                    <w:t>《西安市大气污染治理专项行动方案(2023-2027年)》</w:t>
                  </w:r>
                </w:p>
              </w:tc>
              <w:tc>
                <w:tcPr>
                  <w:tcW w:w="2222" w:type="pct"/>
                  <w:noWrap w:val="0"/>
                  <w:vAlign w:val="center"/>
                </w:tcPr>
                <w:p w14:paraId="642F4EE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严格新改扩建涉气重点行业绩效评级限制条件。各区、开发区范围内新改扩建涉气重点行业企业应达到环保绩效 A级、绩效引领性水平，周至县、蓝田县应达到环保绩效 B级及以上水平。</w:t>
                  </w:r>
                </w:p>
              </w:tc>
              <w:tc>
                <w:tcPr>
                  <w:tcW w:w="1556" w:type="pct"/>
                  <w:noWrap w:val="0"/>
                  <w:vAlign w:val="center"/>
                </w:tcPr>
                <w:p w14:paraId="2103B20E">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smallCaps w:val="0"/>
                      <w:color w:val="auto"/>
                      <w:sz w:val="21"/>
                      <w:szCs w:val="21"/>
                      <w:highlight w:val="none"/>
                      <w:lang w:val="zh-CN"/>
                    </w:rPr>
                    <w:t>本项目不属于西安市大气污染治理专项行动方</w:t>
                  </w:r>
                  <w:r>
                    <w:rPr>
                      <w:rFonts w:hint="eastAsia" w:ascii="Times New Roman" w:hAnsi="Times New Roman" w:eastAsia="宋体"/>
                      <w:smallCaps w:val="0"/>
                      <w:color w:val="auto"/>
                      <w:sz w:val="21"/>
                      <w:szCs w:val="21"/>
                      <w:highlight w:val="none"/>
                      <w:lang w:val="en-US" w:eastAsia="zh-CN"/>
                    </w:rPr>
                    <w:t>案</w:t>
                  </w:r>
                  <w:r>
                    <w:rPr>
                      <w:rFonts w:hint="default" w:ascii="Times New Roman" w:hAnsi="Times New Roman" w:eastAsia="宋体"/>
                      <w:smallCaps w:val="0"/>
                      <w:color w:val="auto"/>
                      <w:sz w:val="21"/>
                      <w:szCs w:val="21"/>
                      <w:highlight w:val="none"/>
                      <w:lang w:val="zh-CN"/>
                    </w:rPr>
                    <w:t>（2023</w:t>
                  </w:r>
                  <w:r>
                    <w:rPr>
                      <w:rFonts w:hint="eastAsia" w:ascii="Times New Roman" w:hAnsi="Times New Roman" w:eastAsia="宋体"/>
                      <w:smallCaps w:val="0"/>
                      <w:color w:val="auto"/>
                      <w:sz w:val="21"/>
                      <w:szCs w:val="21"/>
                      <w:highlight w:val="none"/>
                      <w:lang w:val="zh-CN"/>
                    </w:rPr>
                    <w:t>—</w:t>
                  </w:r>
                  <w:r>
                    <w:rPr>
                      <w:rFonts w:hint="default" w:ascii="Times New Roman" w:hAnsi="Times New Roman" w:eastAsia="宋体"/>
                      <w:smallCaps w:val="0"/>
                      <w:color w:val="auto"/>
                      <w:sz w:val="21"/>
                      <w:szCs w:val="21"/>
                      <w:highlight w:val="none"/>
                      <w:lang w:val="zh-CN"/>
                    </w:rPr>
                    <w:t>2027年）中的</w:t>
                  </w:r>
                  <w:r>
                    <w:rPr>
                      <w:rFonts w:hint="eastAsia"/>
                      <w:smallCaps w:val="0"/>
                      <w:color w:val="auto"/>
                      <w:sz w:val="21"/>
                      <w:szCs w:val="21"/>
                      <w:highlight w:val="none"/>
                      <w:lang w:val="zh-CN"/>
                    </w:rPr>
                    <w:t>涉气</w:t>
                  </w:r>
                  <w:r>
                    <w:rPr>
                      <w:rFonts w:hint="default" w:ascii="Times New Roman" w:hAnsi="Times New Roman" w:eastAsia="宋体"/>
                      <w:smallCaps w:val="0"/>
                      <w:color w:val="auto"/>
                      <w:sz w:val="21"/>
                      <w:szCs w:val="21"/>
                      <w:highlight w:val="none"/>
                      <w:lang w:val="zh-CN"/>
                    </w:rPr>
                    <w:t>重点行业</w:t>
                  </w:r>
                  <w:r>
                    <w:rPr>
                      <w:rFonts w:hint="eastAsia"/>
                      <w:smallCaps w:val="0"/>
                      <w:color w:val="auto"/>
                      <w:sz w:val="21"/>
                      <w:szCs w:val="21"/>
                      <w:highlight w:val="none"/>
                      <w:lang w:val="zh-CN"/>
                    </w:rPr>
                    <w:t>，</w:t>
                  </w:r>
                  <w:r>
                    <w:rPr>
                      <w:rFonts w:hint="eastAsia"/>
                      <w:smallCaps w:val="0"/>
                      <w:color w:val="auto"/>
                      <w:sz w:val="21"/>
                      <w:szCs w:val="21"/>
                      <w:highlight w:val="none"/>
                      <w:lang w:val="en-US" w:eastAsia="zh-CN"/>
                    </w:rPr>
                    <w:t>不涉及环保绩效评级。</w:t>
                  </w:r>
                </w:p>
              </w:tc>
              <w:tc>
                <w:tcPr>
                  <w:tcW w:w="348" w:type="pct"/>
                  <w:noWrap w:val="0"/>
                  <w:vAlign w:val="center"/>
                </w:tcPr>
                <w:p w14:paraId="65F09D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1D506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continue"/>
                  <w:noWrap w:val="0"/>
                  <w:vAlign w:val="center"/>
                </w:tcPr>
                <w:p w14:paraId="29254B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p>
              </w:tc>
              <w:tc>
                <w:tcPr>
                  <w:tcW w:w="2222" w:type="pct"/>
                  <w:noWrap w:val="0"/>
                  <w:vAlign w:val="center"/>
                </w:tcPr>
                <w:p w14:paraId="2DDE40F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产业发展结构调整。关中地区严禁新增钢铁、焦化、水泥熟料、平板玻璃、电解铝、氧化铝、煤化工产能，合理控制煤制油气产能规模，严控新增炼油产能。</w:t>
                  </w:r>
                </w:p>
              </w:tc>
              <w:tc>
                <w:tcPr>
                  <w:tcW w:w="1556" w:type="pct"/>
                  <w:noWrap w:val="0"/>
                  <w:vAlign w:val="center"/>
                </w:tcPr>
                <w:p w14:paraId="32C072DB">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本项目位于关中地区，不属于钢铁、焦化、水泥熟料、平板玻璃、电解铝、氧化铝、煤化工等严禁新增产能的行业。</w:t>
                  </w:r>
                </w:p>
              </w:tc>
              <w:tc>
                <w:tcPr>
                  <w:tcW w:w="348" w:type="pct"/>
                  <w:noWrap w:val="0"/>
                  <w:vAlign w:val="center"/>
                </w:tcPr>
                <w:p w14:paraId="3160D78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33EC5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continue"/>
                  <w:noWrap w:val="0"/>
                  <w:vAlign w:val="center"/>
                </w:tcPr>
                <w:p w14:paraId="1C5D91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en-US" w:eastAsia="zh-CN"/>
                    </w:rPr>
                  </w:pPr>
                </w:p>
              </w:tc>
              <w:tc>
                <w:tcPr>
                  <w:tcW w:w="2222" w:type="pct"/>
                  <w:noWrap w:val="0"/>
                  <w:vAlign w:val="center"/>
                </w:tcPr>
                <w:p w14:paraId="756CAA06">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zh-CN" w:eastAsia="zh-CN"/>
                    </w:rPr>
                    <w:t>全面推动能源绿色低碳转型。推进能耗“双控”向碳排放总量和强度“双控”转变，积极发展非化石能源</w:t>
                  </w:r>
                  <w:r>
                    <w:rPr>
                      <w:rFonts w:hint="eastAsia" w:ascii="Times New Roman" w:hAnsi="Times New Roman" w:cs="Times New Roman"/>
                      <w:color w:val="auto"/>
                      <w:sz w:val="21"/>
                      <w:szCs w:val="21"/>
                      <w:lang w:val="en-US" w:eastAsia="zh-CN"/>
                    </w:rPr>
                    <w:t>......</w:t>
                  </w:r>
                </w:p>
              </w:tc>
              <w:tc>
                <w:tcPr>
                  <w:tcW w:w="1556" w:type="pct"/>
                  <w:noWrap w:val="0"/>
                  <w:vAlign w:val="center"/>
                </w:tcPr>
                <w:p w14:paraId="23FE945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本项目主要能源为</w:t>
                  </w:r>
                  <w:r>
                    <w:rPr>
                      <w:rFonts w:hint="eastAsia" w:cs="Times New Roman"/>
                      <w:color w:val="auto"/>
                      <w:sz w:val="21"/>
                      <w:szCs w:val="21"/>
                      <w:lang w:val="en-US" w:eastAsia="zh-CN"/>
                    </w:rPr>
                    <w:t>电</w:t>
                  </w:r>
                  <w:r>
                    <w:rPr>
                      <w:rFonts w:hint="eastAsia" w:ascii="Times New Roman" w:hAnsi="Times New Roman" w:cs="Times New Roman"/>
                      <w:color w:val="auto"/>
                      <w:sz w:val="21"/>
                      <w:szCs w:val="21"/>
                      <w:lang w:val="zh-CN" w:eastAsia="zh-CN"/>
                    </w:rPr>
                    <w:t>，属于绿色能源。</w:t>
                  </w:r>
                </w:p>
              </w:tc>
              <w:tc>
                <w:tcPr>
                  <w:tcW w:w="348" w:type="pct"/>
                  <w:noWrap w:val="0"/>
                  <w:vAlign w:val="center"/>
                </w:tcPr>
                <w:p w14:paraId="171576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46281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continue"/>
                  <w:noWrap w:val="0"/>
                  <w:vAlign w:val="center"/>
                </w:tcPr>
                <w:p w14:paraId="1F771A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en-US" w:eastAsia="zh-CN"/>
                    </w:rPr>
                  </w:pPr>
                </w:p>
              </w:tc>
              <w:tc>
                <w:tcPr>
                  <w:tcW w:w="2222" w:type="pct"/>
                  <w:noWrap w:val="0"/>
                  <w:vAlign w:val="center"/>
                </w:tcPr>
                <w:p w14:paraId="61B15FF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严格落实国家和我省产业规划、产业政策、“三线一单”、规划环评等要求，深入开展我市区域空间生态环境评价工作，积极推行区域、规划环境影响评价，新改扩建化工、石化、建材、有色等项目的环境影响评价应满足区域和规划环评要求。</w:t>
                  </w:r>
                </w:p>
              </w:tc>
              <w:tc>
                <w:tcPr>
                  <w:tcW w:w="1556" w:type="pct"/>
                  <w:noWrap w:val="0"/>
                  <w:vAlign w:val="center"/>
                </w:tcPr>
                <w:p w14:paraId="6A4E8C7F">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本项目符合国家和</w:t>
                  </w:r>
                  <w:r>
                    <w:rPr>
                      <w:rFonts w:hint="eastAsia" w:cs="Times New Roman"/>
                      <w:color w:val="auto"/>
                      <w:sz w:val="21"/>
                      <w:szCs w:val="21"/>
                      <w:lang w:val="zh-CN" w:eastAsia="zh-CN"/>
                    </w:rPr>
                    <w:t>陕西</w:t>
                  </w:r>
                  <w:r>
                    <w:rPr>
                      <w:rFonts w:hint="eastAsia" w:ascii="Times New Roman" w:hAnsi="Times New Roman" w:cs="Times New Roman"/>
                      <w:color w:val="auto"/>
                      <w:sz w:val="21"/>
                      <w:szCs w:val="21"/>
                      <w:lang w:val="zh-CN" w:eastAsia="zh-CN"/>
                    </w:rPr>
                    <w:t>省产业规划、产业政策、“三线一单”、规划环评等要求，不属于化工、石化、建材、有色等项目。</w:t>
                  </w:r>
                </w:p>
              </w:tc>
              <w:tc>
                <w:tcPr>
                  <w:tcW w:w="348" w:type="pct"/>
                  <w:noWrap w:val="0"/>
                  <w:vAlign w:val="center"/>
                </w:tcPr>
                <w:p w14:paraId="245342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27264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8" w:hRule="atLeast"/>
                <w:jc w:val="center"/>
              </w:trPr>
              <w:tc>
                <w:tcPr>
                  <w:tcW w:w="873" w:type="pct"/>
                  <w:vMerge w:val="continue"/>
                  <w:noWrap w:val="0"/>
                  <w:vAlign w:val="center"/>
                </w:tcPr>
                <w:p w14:paraId="4F291B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en-US" w:eastAsia="zh-CN"/>
                    </w:rPr>
                  </w:pPr>
                </w:p>
              </w:tc>
              <w:tc>
                <w:tcPr>
                  <w:tcW w:w="2222" w:type="pct"/>
                  <w:noWrap w:val="0"/>
                  <w:vAlign w:val="center"/>
                </w:tcPr>
                <w:p w14:paraId="6B45D6E1">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强化涉活性炭VOCs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单一低温等离子、光氧化、光催化等治理技术，非水溶性VOCs废气不再采用单一喷淋吸收方式处理。</w:t>
                  </w:r>
                </w:p>
              </w:tc>
              <w:tc>
                <w:tcPr>
                  <w:tcW w:w="1556" w:type="pct"/>
                  <w:noWrap w:val="0"/>
                  <w:vAlign w:val="center"/>
                </w:tcPr>
                <w:p w14:paraId="59964692">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本</w:t>
                  </w:r>
                  <w:r>
                    <w:rPr>
                      <w:rFonts w:hint="eastAsia" w:ascii="Times New Roman" w:hAnsi="Times New Roman" w:cs="Times New Roman"/>
                      <w:color w:val="auto"/>
                      <w:sz w:val="21"/>
                      <w:szCs w:val="21"/>
                      <w:highlight w:val="none"/>
                      <w:lang w:val="zh-CN" w:eastAsia="zh-CN"/>
                    </w:rPr>
                    <w:t>项目</w:t>
                  </w:r>
                  <w:r>
                    <w:rPr>
                      <w:rFonts w:hint="eastAsia" w:cs="Times New Roman"/>
                      <w:color w:val="auto"/>
                      <w:sz w:val="21"/>
                      <w:szCs w:val="21"/>
                      <w:highlight w:val="none"/>
                      <w:lang w:val="en-US" w:eastAsia="zh-CN"/>
                    </w:rPr>
                    <w:t>属于实验测试类，没有实际生产流程，需要不断的实验和测试来研究产品性能，故有机原料的使用具有不固定性，产生的有机废气量小且不固定产生。</w:t>
                  </w:r>
                  <w:r>
                    <w:rPr>
                      <w:rFonts w:hint="eastAsia"/>
                      <w:color w:val="auto"/>
                      <w:sz w:val="21"/>
                      <w:szCs w:val="21"/>
                      <w:highlight w:val="none"/>
                      <w:lang w:val="en-US" w:eastAsia="zh-CN"/>
                    </w:rPr>
                    <w:t>在密闭专用空间内使用含有非甲烷总烃的原辅材料，产生的非甲烷废气通过两级活性炭处理后，经通风排气设备无组织排放</w:t>
                  </w:r>
                  <w:r>
                    <w:rPr>
                      <w:rFonts w:hint="eastAsia" w:ascii="Times New Roman" w:hAnsi="Times New Roman" w:cs="Times New Roman"/>
                      <w:color w:val="auto"/>
                      <w:sz w:val="21"/>
                      <w:szCs w:val="21"/>
                      <w:lang w:val="zh-CN" w:eastAsia="zh-CN"/>
                    </w:rPr>
                    <w:t>，</w:t>
                  </w:r>
                  <w:r>
                    <w:rPr>
                      <w:rFonts w:hint="eastAsia" w:ascii="Times New Roman" w:hAnsi="Times New Roman" w:cs="Times New Roman"/>
                      <w:color w:val="auto"/>
                      <w:sz w:val="21"/>
                      <w:szCs w:val="21"/>
                      <w:lang w:val="en-US" w:eastAsia="zh-CN"/>
                    </w:rPr>
                    <w:t>不属于</w:t>
                  </w:r>
                  <w:r>
                    <w:rPr>
                      <w:rFonts w:hint="eastAsia" w:ascii="Times New Roman" w:hAnsi="Times New Roman" w:cs="Times New Roman"/>
                      <w:color w:val="auto"/>
                      <w:sz w:val="21"/>
                      <w:szCs w:val="21"/>
                      <w:lang w:val="zh-CN" w:eastAsia="zh-CN"/>
                    </w:rPr>
                    <w:t>单一低温等离子、光氧化、光催化等治理技术。</w:t>
                  </w:r>
                </w:p>
              </w:tc>
              <w:tc>
                <w:tcPr>
                  <w:tcW w:w="348" w:type="pct"/>
                  <w:noWrap w:val="0"/>
                  <w:vAlign w:val="center"/>
                </w:tcPr>
                <w:p w14:paraId="4E4E46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691D2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1" w:hRule="atLeast"/>
                <w:jc w:val="center"/>
              </w:trPr>
              <w:tc>
                <w:tcPr>
                  <w:tcW w:w="873" w:type="pct"/>
                  <w:vMerge w:val="restart"/>
                  <w:noWrap w:val="0"/>
                  <w:vAlign w:val="center"/>
                </w:tcPr>
                <w:p w14:paraId="79DE3A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《西安市生态环境局关于加强挥发性有机物活性炭吸附处理设施运行管理工作的通知》（市环发〔2022〕65号）</w:t>
                  </w:r>
                </w:p>
              </w:tc>
              <w:tc>
                <w:tcPr>
                  <w:tcW w:w="2222" w:type="pct"/>
                  <w:noWrap w:val="0"/>
                  <w:vAlign w:val="center"/>
                </w:tcPr>
                <w:p w14:paraId="28E8C04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规范治理技术。涉气企业根据当前有关VOCs治理的法律法规、技术规范、政策文件等要求，选择合理的治理工艺。除恶臭异味治理外，</w:t>
                  </w:r>
                  <w:r>
                    <w:rPr>
                      <w:rFonts w:hint="eastAsia" w:ascii="Times New Roman" w:hAnsi="Times New Roman" w:cs="Times New Roman"/>
                      <w:color w:val="auto"/>
                      <w:sz w:val="21"/>
                      <w:szCs w:val="21"/>
                      <w:highlight w:val="none"/>
                      <w:lang w:val="zh-CN" w:eastAsia="zh-CN"/>
                    </w:rPr>
                    <w:t>淘汰单一使用低温等离子、光催化氧化、活性炭吸附棉、水喷淋等低效处理工艺或其组合工艺。</w:t>
                  </w:r>
                  <w:r>
                    <w:rPr>
                      <w:rFonts w:hint="eastAsia" w:ascii="Times New Roman" w:hAnsi="Times New Roman" w:cs="Times New Roman"/>
                      <w:color w:val="auto"/>
                      <w:sz w:val="21"/>
                      <w:szCs w:val="21"/>
                      <w:lang w:val="zh-CN" w:eastAsia="zh-CN"/>
                    </w:rPr>
                    <w:t>原料VOCs浓度高、排放总量较大的生产工艺原则上采用RTO、RCO等高效处理技术。</w:t>
                  </w:r>
                </w:p>
              </w:tc>
              <w:tc>
                <w:tcPr>
                  <w:tcW w:w="1556" w:type="pct"/>
                  <w:noWrap w:val="0"/>
                  <w:vAlign w:val="center"/>
                </w:tcPr>
                <w:p w14:paraId="2CC33D2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本项目有机</w:t>
                  </w:r>
                  <w:r>
                    <w:rPr>
                      <w:rFonts w:hint="eastAsia" w:eastAsia="宋体" w:cs="Times New Roman"/>
                      <w:color w:val="auto"/>
                      <w:kern w:val="0"/>
                      <w:sz w:val="21"/>
                      <w:szCs w:val="21"/>
                      <w:highlight w:val="none"/>
                      <w:lang w:val="en-US" w:eastAsia="zh-CN"/>
                    </w:rPr>
                    <w:t>废气通过</w:t>
                  </w:r>
                  <w:r>
                    <w:rPr>
                      <w:rFonts w:hint="eastAsia" w:cs="Times New Roman"/>
                      <w:color w:val="auto"/>
                      <w:kern w:val="0"/>
                      <w:sz w:val="21"/>
                      <w:szCs w:val="21"/>
                      <w:highlight w:val="none"/>
                      <w:lang w:val="en-US" w:eastAsia="zh-CN"/>
                    </w:rPr>
                    <w:t>两级</w:t>
                  </w:r>
                  <w:r>
                    <w:rPr>
                      <w:rFonts w:hint="eastAsia" w:eastAsia="宋体" w:cs="Times New Roman"/>
                      <w:color w:val="auto"/>
                      <w:kern w:val="0"/>
                      <w:sz w:val="21"/>
                      <w:szCs w:val="21"/>
                      <w:highlight w:val="none"/>
                      <w:lang w:val="en-US" w:eastAsia="zh-CN"/>
                    </w:rPr>
                    <w:t>活性炭</w:t>
                  </w:r>
                  <w:r>
                    <w:rPr>
                      <w:rFonts w:hint="eastAsia" w:cs="Times New Roman"/>
                      <w:color w:val="auto"/>
                      <w:kern w:val="0"/>
                      <w:sz w:val="21"/>
                      <w:szCs w:val="21"/>
                      <w:highlight w:val="none"/>
                      <w:lang w:val="en-US" w:eastAsia="zh-CN"/>
                    </w:rPr>
                    <w:t>吸附处理</w:t>
                  </w:r>
                  <w:r>
                    <w:rPr>
                      <w:rFonts w:hint="eastAsia" w:eastAsia="宋体" w:cs="Times New Roman"/>
                      <w:color w:val="auto"/>
                      <w:kern w:val="0"/>
                      <w:sz w:val="21"/>
                      <w:szCs w:val="21"/>
                      <w:highlight w:val="none"/>
                      <w:lang w:val="en-US" w:eastAsia="zh-CN"/>
                    </w:rPr>
                    <w:t>后</w:t>
                  </w:r>
                  <w:r>
                    <w:rPr>
                      <w:rFonts w:hint="eastAsia" w:cs="Times New Roman"/>
                      <w:color w:val="auto"/>
                      <w:kern w:val="0"/>
                      <w:sz w:val="21"/>
                      <w:szCs w:val="21"/>
                      <w:highlight w:val="none"/>
                      <w:lang w:val="en-US" w:eastAsia="zh-CN"/>
                    </w:rPr>
                    <w:t>通过通风排气系统</w:t>
                  </w:r>
                  <w:r>
                    <w:rPr>
                      <w:rFonts w:hint="eastAsia" w:eastAsia="宋体" w:cs="Times New Roman"/>
                      <w:color w:val="auto"/>
                      <w:kern w:val="0"/>
                      <w:sz w:val="21"/>
                      <w:szCs w:val="21"/>
                      <w:highlight w:val="none"/>
                      <w:lang w:val="en-US" w:eastAsia="zh-CN"/>
                    </w:rPr>
                    <w:t>无组织排放</w:t>
                  </w:r>
                  <w:r>
                    <w:rPr>
                      <w:rFonts w:hint="eastAsia" w:cs="Times New Roman"/>
                      <w:color w:val="auto"/>
                      <w:sz w:val="21"/>
                      <w:szCs w:val="21"/>
                      <w:lang w:val="zh-CN" w:eastAsia="zh-CN"/>
                    </w:rPr>
                    <w:t>。</w:t>
                  </w:r>
                </w:p>
              </w:tc>
              <w:tc>
                <w:tcPr>
                  <w:tcW w:w="348" w:type="pct"/>
                  <w:noWrap w:val="0"/>
                  <w:vAlign w:val="center"/>
                </w:tcPr>
                <w:p w14:paraId="4474E0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5B9DB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4" w:hRule="atLeast"/>
                <w:jc w:val="center"/>
              </w:trPr>
              <w:tc>
                <w:tcPr>
                  <w:tcW w:w="873" w:type="pct"/>
                  <w:vMerge w:val="continue"/>
                  <w:noWrap w:val="0"/>
                  <w:vAlign w:val="center"/>
                </w:tcPr>
                <w:p w14:paraId="6951EA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en-US" w:eastAsia="zh-CN"/>
                    </w:rPr>
                  </w:pPr>
                </w:p>
              </w:tc>
              <w:tc>
                <w:tcPr>
                  <w:tcW w:w="2222" w:type="pct"/>
                  <w:noWrap w:val="0"/>
                  <w:vAlign w:val="center"/>
                </w:tcPr>
                <w:p w14:paraId="7E30D2F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保证活性炭质量。企业购置活性炭必须提供活性炭检测报告，技术指标至少应包括水分含量、耐磨强度(颗粒活性炭)、抗压强度(蜂窝活性炭)、碘吸附值、四氯化碳吸附率、着火点等。活性炭技术指标应符合《工业有机废气净化用活性炭技术指标及试验方法》(LY/T3284)规定的优级活性炭指标要求。</w:t>
                  </w:r>
                </w:p>
              </w:tc>
              <w:tc>
                <w:tcPr>
                  <w:tcW w:w="1556" w:type="pct"/>
                  <w:noWrap w:val="0"/>
                  <w:vAlign w:val="center"/>
                </w:tcPr>
                <w:p w14:paraId="3BEC67AE">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zh-CN" w:eastAsia="zh-CN"/>
                    </w:rPr>
                    <w:t>本项目要求企业购置活性炭必须提供活性炭检测报告，技术指标应符合《工业有机废气净化用活性炭技术指标及试验方法》(LY/T3284</w:t>
                  </w:r>
                  <w:r>
                    <w:rPr>
                      <w:rFonts w:hint="eastAsia" w:ascii="Times New Roman" w:hAnsi="Times New Roman" w:cs="Times New Roman"/>
                      <w:color w:val="auto"/>
                      <w:sz w:val="21"/>
                      <w:szCs w:val="21"/>
                      <w:lang w:val="en-US" w:eastAsia="zh-CN"/>
                    </w:rPr>
                    <w:t>)中</w:t>
                  </w:r>
                  <w:r>
                    <w:rPr>
                      <w:rFonts w:hint="eastAsia" w:ascii="Times New Roman" w:hAnsi="Times New Roman" w:cs="Times New Roman"/>
                      <w:color w:val="auto"/>
                      <w:sz w:val="21"/>
                      <w:szCs w:val="21"/>
                      <w:lang w:val="zh-CN" w:eastAsia="zh-CN"/>
                    </w:rPr>
                    <w:t>规定的优级活性炭指标</w:t>
                  </w:r>
                  <w:r>
                    <w:rPr>
                      <w:rFonts w:hint="eastAsia" w:ascii="Times New Roman" w:hAnsi="Times New Roman" w:cs="Times New Roman"/>
                      <w:color w:val="auto"/>
                      <w:sz w:val="21"/>
                      <w:szCs w:val="21"/>
                      <w:lang w:val="en-US" w:eastAsia="zh-CN"/>
                    </w:rPr>
                    <w:t>要求。</w:t>
                  </w:r>
                </w:p>
              </w:tc>
              <w:tc>
                <w:tcPr>
                  <w:tcW w:w="348" w:type="pct"/>
                  <w:noWrap w:val="0"/>
                  <w:vAlign w:val="center"/>
                </w:tcPr>
                <w:p w14:paraId="366A5B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6BD20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873" w:type="pct"/>
                  <w:vMerge w:val="continue"/>
                  <w:noWrap w:val="0"/>
                  <w:vAlign w:val="center"/>
                </w:tcPr>
                <w:p w14:paraId="5EA8FA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en-US" w:eastAsia="zh-CN"/>
                    </w:rPr>
                  </w:pPr>
                </w:p>
              </w:tc>
              <w:tc>
                <w:tcPr>
                  <w:tcW w:w="2222" w:type="pct"/>
                  <w:noWrap w:val="0"/>
                  <w:vAlign w:val="center"/>
                </w:tcPr>
                <w:p w14:paraId="54900BC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严格危废管理。产生废活性炭的企业，必须与有许可证的危废经营单位签订危废处置协议。</w:t>
                  </w:r>
                </w:p>
              </w:tc>
              <w:tc>
                <w:tcPr>
                  <w:tcW w:w="1556" w:type="pct"/>
                  <w:noWrap w:val="0"/>
                  <w:vAlign w:val="center"/>
                </w:tcPr>
                <w:p w14:paraId="0FD2E8EE">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本项目产生的</w:t>
                  </w:r>
                  <w:r>
                    <w:rPr>
                      <w:rFonts w:hint="eastAsia" w:cs="Times New Roman"/>
                      <w:color w:val="auto"/>
                      <w:sz w:val="21"/>
                      <w:szCs w:val="21"/>
                      <w:lang w:val="zh-CN" w:eastAsia="zh-CN"/>
                    </w:rPr>
                    <w:t>废活性炭</w:t>
                  </w:r>
                  <w:r>
                    <w:rPr>
                      <w:rFonts w:hint="eastAsia" w:ascii="Times New Roman" w:hAnsi="Times New Roman" w:cs="Times New Roman"/>
                      <w:color w:val="auto"/>
                      <w:sz w:val="21"/>
                      <w:szCs w:val="21"/>
                      <w:lang w:val="zh-CN" w:eastAsia="zh-CN"/>
                    </w:rPr>
                    <w:t>暂存于</w:t>
                  </w:r>
                  <w:r>
                    <w:rPr>
                      <w:rFonts w:hint="eastAsia" w:cs="Times New Roman"/>
                      <w:color w:val="auto"/>
                      <w:sz w:val="21"/>
                      <w:szCs w:val="21"/>
                      <w:lang w:val="en-US" w:eastAsia="zh-CN"/>
                    </w:rPr>
                    <w:t>危废贮存库</w:t>
                  </w:r>
                  <w:r>
                    <w:rPr>
                      <w:rFonts w:hint="eastAsia" w:ascii="Times New Roman" w:hAnsi="Times New Roman" w:cs="Times New Roman"/>
                      <w:color w:val="auto"/>
                      <w:sz w:val="21"/>
                      <w:szCs w:val="21"/>
                      <w:lang w:val="zh-CN" w:eastAsia="zh-CN"/>
                    </w:rPr>
                    <w:t>，定期交</w:t>
                  </w:r>
                  <w:r>
                    <w:rPr>
                      <w:rFonts w:hint="eastAsia" w:ascii="Times New Roman" w:hAnsi="Times New Roman" w:cs="Times New Roman"/>
                      <w:color w:val="auto"/>
                      <w:sz w:val="21"/>
                      <w:szCs w:val="21"/>
                      <w:lang w:val="en-US" w:eastAsia="zh-CN"/>
                    </w:rPr>
                    <w:t>有资质单位处置</w:t>
                  </w:r>
                  <w:r>
                    <w:rPr>
                      <w:rFonts w:hint="eastAsia" w:ascii="Times New Roman" w:hAnsi="Times New Roman" w:cs="Times New Roman"/>
                      <w:color w:val="auto"/>
                      <w:sz w:val="21"/>
                      <w:szCs w:val="21"/>
                      <w:lang w:val="zh-CN" w:eastAsia="zh-CN"/>
                    </w:rPr>
                    <w:t>。</w:t>
                  </w:r>
                </w:p>
              </w:tc>
              <w:tc>
                <w:tcPr>
                  <w:tcW w:w="348" w:type="pct"/>
                  <w:noWrap w:val="0"/>
                  <w:vAlign w:val="center"/>
                </w:tcPr>
                <w:p w14:paraId="5D8AE0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21323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4" w:hRule="atLeast"/>
                <w:jc w:val="center"/>
              </w:trPr>
              <w:tc>
                <w:tcPr>
                  <w:tcW w:w="873" w:type="pct"/>
                  <w:vMerge w:val="continue"/>
                  <w:noWrap w:val="0"/>
                  <w:vAlign w:val="center"/>
                </w:tcPr>
                <w:p w14:paraId="217CC4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en-US" w:eastAsia="zh-CN"/>
                    </w:rPr>
                  </w:pPr>
                </w:p>
              </w:tc>
              <w:tc>
                <w:tcPr>
                  <w:tcW w:w="2222" w:type="pct"/>
                  <w:noWrap w:val="0"/>
                  <w:vAlign w:val="center"/>
                </w:tcPr>
                <w:p w14:paraId="24303B9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完善台账记录。企业应按要求做好活性炭吸附日常运行维护台账记录，台账内容应包括开启时间、关停时间、更换时间</w:t>
                  </w:r>
                  <w:r>
                    <w:rPr>
                      <w:rFonts w:hint="eastAsia"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zh-CN" w:eastAsia="zh-CN"/>
                    </w:rPr>
                    <w:t>更换照片、装填数量、设计参数、风量等，以及活性炭主要技术指标检测合格材料。环境管理台账记录保存期限不得少于5年。</w:t>
                  </w:r>
                </w:p>
              </w:tc>
              <w:tc>
                <w:tcPr>
                  <w:tcW w:w="1556" w:type="pct"/>
                  <w:noWrap w:val="0"/>
                  <w:vAlign w:val="center"/>
                </w:tcPr>
                <w:p w14:paraId="4543512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本项目要求企业按前列要求做好活性炭吸附日常运行维护台账记录，且环境管理台账记录保存期限不得少于5年。</w:t>
                  </w:r>
                </w:p>
              </w:tc>
              <w:tc>
                <w:tcPr>
                  <w:tcW w:w="348" w:type="pct"/>
                  <w:noWrap w:val="0"/>
                  <w:vAlign w:val="center"/>
                </w:tcPr>
                <w:p w14:paraId="27F6A6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52999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8" w:hRule="atLeast"/>
                <w:jc w:val="center"/>
              </w:trPr>
              <w:tc>
                <w:tcPr>
                  <w:tcW w:w="873" w:type="pct"/>
                  <w:vMerge w:val="continue"/>
                  <w:noWrap w:val="0"/>
                  <w:vAlign w:val="center"/>
                </w:tcPr>
                <w:p w14:paraId="26BD7E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en-US" w:eastAsia="zh-CN"/>
                    </w:rPr>
                  </w:pPr>
                </w:p>
              </w:tc>
              <w:tc>
                <w:tcPr>
                  <w:tcW w:w="2222" w:type="pct"/>
                  <w:noWrap w:val="0"/>
                  <w:vAlign w:val="center"/>
                </w:tcPr>
                <w:p w14:paraId="79BB17A6">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活性炭质检单：企业提供活性炭质检单的关键参数要达到：</w:t>
                  </w:r>
                </w:p>
                <w:p w14:paraId="54D7F79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颗粒活性炭：水分含量≤15%，耐磨强度≥90%，碘吸附值≥800mg/g，四氯化碳吸附率≥60%，着火点≥300℃，比表面积≥850m/g；蜂窝活性炭：水分含量≤10%，抗压强度≥1.0MPa，碘吸附值≥600mg/g，四氯化碳吸附率≥30%，着火点≥400℃，比表面积≥750m</w:t>
                  </w:r>
                  <w:r>
                    <w:rPr>
                      <w:rFonts w:hint="eastAsia" w:ascii="Times New Roman" w:hAnsi="Times New Roman" w:cs="Times New Roman"/>
                      <w:color w:val="auto"/>
                      <w:sz w:val="21"/>
                      <w:szCs w:val="21"/>
                      <w:vertAlign w:val="superscript"/>
                      <w:lang w:val="zh-CN" w:eastAsia="zh-CN"/>
                    </w:rPr>
                    <w:t>2</w:t>
                  </w:r>
                  <w:r>
                    <w:rPr>
                      <w:rFonts w:hint="eastAsia" w:ascii="Times New Roman" w:hAnsi="Times New Roman" w:cs="Times New Roman"/>
                      <w:color w:val="auto"/>
                      <w:sz w:val="21"/>
                      <w:szCs w:val="21"/>
                      <w:lang w:val="zh-CN" w:eastAsia="zh-CN"/>
                    </w:rPr>
                    <w:t>/g；质检单批次要与在用活性炭批次一致。</w:t>
                  </w:r>
                </w:p>
              </w:tc>
              <w:tc>
                <w:tcPr>
                  <w:tcW w:w="1556" w:type="pct"/>
                  <w:noWrap w:val="0"/>
                  <w:vAlign w:val="center"/>
                </w:tcPr>
                <w:p w14:paraId="05975654">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本项目要求企业提供</w:t>
                  </w:r>
                  <w:r>
                    <w:rPr>
                      <w:rFonts w:hint="eastAsia" w:cs="Times New Roman"/>
                      <w:color w:val="auto"/>
                      <w:sz w:val="21"/>
                      <w:szCs w:val="21"/>
                      <w:lang w:val="en-US" w:eastAsia="zh-CN"/>
                    </w:rPr>
                    <w:t>蜂窝</w:t>
                  </w:r>
                  <w:r>
                    <w:rPr>
                      <w:rFonts w:hint="eastAsia" w:ascii="Times New Roman" w:hAnsi="Times New Roman" w:cs="Times New Roman"/>
                      <w:color w:val="auto"/>
                      <w:sz w:val="21"/>
                      <w:szCs w:val="21"/>
                      <w:lang w:val="zh-CN" w:eastAsia="zh-CN"/>
                    </w:rPr>
                    <w:t>活性炭质检单中的参数</w:t>
                  </w:r>
                  <w:r>
                    <w:rPr>
                      <w:rFonts w:hint="eastAsia" w:cs="Times New Roman"/>
                      <w:color w:val="auto"/>
                      <w:sz w:val="21"/>
                      <w:szCs w:val="21"/>
                      <w:lang w:val="en-US" w:eastAsia="zh-CN"/>
                    </w:rPr>
                    <w:t>需</w:t>
                  </w:r>
                  <w:r>
                    <w:rPr>
                      <w:rFonts w:hint="eastAsia" w:ascii="Times New Roman" w:hAnsi="Times New Roman" w:cs="Times New Roman"/>
                      <w:color w:val="auto"/>
                      <w:sz w:val="21"/>
                      <w:szCs w:val="21"/>
                      <w:lang w:val="zh-CN" w:eastAsia="zh-CN"/>
                    </w:rPr>
                    <w:t>满足前列要求。</w:t>
                  </w:r>
                </w:p>
              </w:tc>
              <w:tc>
                <w:tcPr>
                  <w:tcW w:w="348" w:type="pct"/>
                  <w:noWrap w:val="0"/>
                  <w:vAlign w:val="center"/>
                </w:tcPr>
                <w:p w14:paraId="2469F0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274BE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restart"/>
                  <w:noWrap w:val="0"/>
                  <w:vAlign w:val="center"/>
                </w:tcPr>
                <w:p w14:paraId="79FF8A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《西安市生态环境局办公室关于加强涉气项目环境影响评价管理的通知》（市环办发</w:t>
                  </w:r>
                  <w:r>
                    <w:rPr>
                      <w:rFonts w:hint="default" w:ascii="Times New Roman" w:hAnsi="Times New Roman" w:eastAsia="宋体" w:cs="Times New Roman"/>
                      <w:color w:val="auto"/>
                      <w:sz w:val="21"/>
                      <w:szCs w:val="21"/>
                      <w:lang w:val="en-US" w:eastAsia="zh-CN"/>
                    </w:rPr>
                    <w:t>〔2023〕47</w:t>
                  </w:r>
                  <w:r>
                    <w:rPr>
                      <w:rFonts w:hint="default" w:ascii="Times New Roman" w:hAnsi="Times New Roman" w:cs="Times New Roman"/>
                      <w:color w:val="auto"/>
                      <w:sz w:val="21"/>
                      <w:szCs w:val="21"/>
                      <w:lang w:val="en-US" w:eastAsia="zh-CN"/>
                    </w:rPr>
                    <w:t>）</w:t>
                  </w:r>
                </w:p>
              </w:tc>
              <w:tc>
                <w:tcPr>
                  <w:tcW w:w="2222" w:type="pct"/>
                  <w:noWrap w:val="0"/>
                  <w:vAlign w:val="center"/>
                </w:tcPr>
                <w:p w14:paraId="517A89F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p>
                <w:p w14:paraId="2617B3DC">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严格落实法律法规、政策标准要求，强化“三线一单”生态环境分区管控落地，发挥规划环评和总量指标的制约作用。严禁新增煤电（含自备电厂）装机规模，不再新建燃煤集中供热站。新改扩建化工、石化、建材、有色等项目应充分满足区域和规划环评要求。燃煤热电企业及年大宗货物运输量在100万吨以上的企业、物流园区，清洁运输比例应不低于80%。</w:t>
                  </w:r>
                </w:p>
                <w:p w14:paraId="53D423F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p>
              </w:tc>
              <w:tc>
                <w:tcPr>
                  <w:tcW w:w="1556" w:type="pct"/>
                  <w:noWrap w:val="0"/>
                  <w:vAlign w:val="center"/>
                </w:tcPr>
                <w:p w14:paraId="1352B07E">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本项目符合</w:t>
                  </w:r>
                  <w:r>
                    <w:rPr>
                      <w:rFonts w:hint="eastAsia" w:ascii="Times New Roman" w:hAnsi="Times New Roman" w:cs="Times New Roman"/>
                      <w:color w:val="auto"/>
                      <w:sz w:val="21"/>
                      <w:szCs w:val="21"/>
                      <w:lang w:val="en-US" w:eastAsia="zh-CN"/>
                    </w:rPr>
                    <w:t>“三线一单”的要求；</w:t>
                  </w:r>
                  <w:r>
                    <w:rPr>
                      <w:rFonts w:hint="eastAsia" w:cs="Times New Roman"/>
                      <w:color w:val="auto"/>
                      <w:sz w:val="21"/>
                      <w:szCs w:val="21"/>
                      <w:lang w:val="en-US" w:eastAsia="zh-CN"/>
                    </w:rPr>
                    <w:t>无新建燃煤供热站；不属于</w:t>
                  </w:r>
                  <w:r>
                    <w:rPr>
                      <w:rFonts w:hint="eastAsia" w:ascii="Times New Roman" w:hAnsi="Times New Roman" w:cs="Times New Roman"/>
                      <w:color w:val="auto"/>
                      <w:sz w:val="21"/>
                      <w:szCs w:val="21"/>
                      <w:lang w:val="zh-CN" w:eastAsia="zh-CN"/>
                    </w:rPr>
                    <w:t>新改扩建化工、石化、建材、有色等项目</w:t>
                  </w:r>
                  <w:r>
                    <w:rPr>
                      <w:rFonts w:hint="eastAsia" w:cs="Times New Roman"/>
                      <w:color w:val="auto"/>
                      <w:sz w:val="21"/>
                      <w:szCs w:val="21"/>
                      <w:lang w:val="zh-CN" w:eastAsia="zh-CN"/>
                    </w:rPr>
                    <w:t>；主要能源为电。</w:t>
                  </w:r>
                </w:p>
              </w:tc>
              <w:tc>
                <w:tcPr>
                  <w:tcW w:w="348" w:type="pct"/>
                  <w:noWrap w:val="0"/>
                  <w:vAlign w:val="center"/>
                </w:tcPr>
                <w:p w14:paraId="7B103B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32AF3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1" w:hRule="atLeast"/>
                <w:jc w:val="center"/>
              </w:trPr>
              <w:tc>
                <w:tcPr>
                  <w:tcW w:w="873" w:type="pct"/>
                  <w:vMerge w:val="continue"/>
                  <w:noWrap w:val="0"/>
                  <w:vAlign w:val="center"/>
                </w:tcPr>
                <w:p w14:paraId="621447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2222" w:type="pct"/>
                  <w:noWrap w:val="0"/>
                  <w:vAlign w:val="center"/>
                </w:tcPr>
                <w:p w14:paraId="39C2129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全面提升涉气重点行业企业治污减排水平。各区（县）、开发区范围内新改扩建涉气重点行业项目应达到环保绩效A级、绩效引领性水平，周至县、蓝田县应达到环保绩效B级及以上水平。</w:t>
                  </w:r>
                </w:p>
              </w:tc>
              <w:tc>
                <w:tcPr>
                  <w:tcW w:w="1556" w:type="pct"/>
                  <w:noWrap w:val="0"/>
                  <w:vAlign w:val="center"/>
                </w:tcPr>
                <w:p w14:paraId="49C9CEFE">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zh-CN" w:eastAsia="zh-CN"/>
                    </w:rPr>
                    <w:t>本项目为专业实验室，不属于</w:t>
                  </w:r>
                  <w:r>
                    <w:rPr>
                      <w:rFonts w:hint="eastAsia" w:cs="Times New Roman"/>
                      <w:color w:val="auto"/>
                      <w:sz w:val="21"/>
                      <w:szCs w:val="21"/>
                      <w:lang w:val="en-US" w:eastAsia="zh-CN"/>
                    </w:rPr>
                    <w:t>39个涉气重点行业，不涉及环保绩效评级。</w:t>
                  </w:r>
                </w:p>
              </w:tc>
              <w:tc>
                <w:tcPr>
                  <w:tcW w:w="348" w:type="pct"/>
                  <w:noWrap w:val="0"/>
                  <w:vAlign w:val="center"/>
                </w:tcPr>
                <w:p w14:paraId="1DAA5D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1584F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4" w:hRule="atLeast"/>
                <w:jc w:val="center"/>
              </w:trPr>
              <w:tc>
                <w:tcPr>
                  <w:tcW w:w="873" w:type="pct"/>
                  <w:vMerge w:val="continue"/>
                  <w:noWrap w:val="0"/>
                  <w:vAlign w:val="center"/>
                </w:tcPr>
                <w:p w14:paraId="7A22C9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2222" w:type="pct"/>
                  <w:noWrap w:val="0"/>
                  <w:vAlign w:val="center"/>
                </w:tcPr>
                <w:p w14:paraId="6EB7D2DF">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建设涉VOCs“绿岛”项目</w:t>
                  </w:r>
                  <w:r>
                    <w:rPr>
                      <w:rFonts w:hint="eastAsia" w:cs="Times New Roman"/>
                      <w:color w:val="auto"/>
                      <w:sz w:val="21"/>
                      <w:szCs w:val="21"/>
                      <w:lang w:val="zh-CN" w:eastAsia="zh-CN"/>
                    </w:rPr>
                    <w:t>，</w:t>
                  </w:r>
                  <w:r>
                    <w:rPr>
                      <w:rFonts w:hint="eastAsia" w:ascii="Times New Roman" w:hAnsi="Times New Roman" w:cs="Times New Roman"/>
                      <w:color w:val="auto"/>
                      <w:sz w:val="21"/>
                      <w:szCs w:val="21"/>
                      <w:lang w:val="zh-CN" w:eastAsia="zh-CN"/>
                    </w:rPr>
                    <w:t>新建家具制造、4S汽车产业园区同步建设集中喷涂（钣喷）中心，实现VOCs集中高效治理。新建项目不再采用低温等离子、光氧化、光催化等单一处理方式，非水溶性挥发性有机物废气不再采用喷淋吸收方式处理。采用活性炭吸附技术的，其中颗粒碳碘吸附值不低于800mg/g或四氯化碳吸附率不低于60%，蜂窝活性炭碘吸附值不低于600mg/g或四氯化碳吸附率不低于30%，按设计要求足量添加、定期更换。</w:t>
                  </w:r>
                </w:p>
              </w:tc>
              <w:tc>
                <w:tcPr>
                  <w:tcW w:w="1556" w:type="pct"/>
                  <w:noWrap w:val="0"/>
                  <w:vAlign w:val="center"/>
                </w:tcPr>
                <w:p w14:paraId="38207BB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本项目有机废气</w:t>
                  </w:r>
                  <w:r>
                    <w:rPr>
                      <w:rFonts w:hint="eastAsia" w:eastAsia="宋体" w:cs="Times New Roman"/>
                      <w:color w:val="auto"/>
                      <w:kern w:val="0"/>
                      <w:sz w:val="21"/>
                      <w:szCs w:val="21"/>
                      <w:highlight w:val="none"/>
                      <w:lang w:val="en-US" w:eastAsia="zh-CN"/>
                    </w:rPr>
                    <w:t>通过</w:t>
                  </w:r>
                  <w:r>
                    <w:rPr>
                      <w:rFonts w:hint="eastAsia" w:cs="Times New Roman"/>
                      <w:color w:val="auto"/>
                      <w:kern w:val="0"/>
                      <w:sz w:val="21"/>
                      <w:szCs w:val="21"/>
                      <w:highlight w:val="none"/>
                      <w:lang w:val="en-US" w:eastAsia="zh-CN"/>
                    </w:rPr>
                    <w:t>两级</w:t>
                  </w:r>
                  <w:r>
                    <w:rPr>
                      <w:rFonts w:hint="eastAsia" w:eastAsia="宋体" w:cs="Times New Roman"/>
                      <w:color w:val="auto"/>
                      <w:kern w:val="0"/>
                      <w:sz w:val="21"/>
                      <w:szCs w:val="21"/>
                      <w:highlight w:val="none"/>
                      <w:lang w:val="en-US" w:eastAsia="zh-CN"/>
                    </w:rPr>
                    <w:t>活性炭过滤</w:t>
                  </w:r>
                  <w:r>
                    <w:rPr>
                      <w:rFonts w:hint="eastAsia" w:cs="Times New Roman"/>
                      <w:color w:val="auto"/>
                      <w:kern w:val="0"/>
                      <w:sz w:val="21"/>
                      <w:szCs w:val="21"/>
                      <w:highlight w:val="none"/>
                      <w:lang w:val="en-US" w:eastAsia="zh-CN"/>
                    </w:rPr>
                    <w:t>处理后通过通风排气装置</w:t>
                  </w:r>
                  <w:r>
                    <w:rPr>
                      <w:rFonts w:hint="eastAsia" w:eastAsia="宋体" w:cs="Times New Roman"/>
                      <w:color w:val="auto"/>
                      <w:kern w:val="0"/>
                      <w:sz w:val="21"/>
                      <w:szCs w:val="21"/>
                      <w:highlight w:val="none"/>
                      <w:lang w:val="en-US" w:eastAsia="zh-CN"/>
                    </w:rPr>
                    <w:t>无组织排放</w:t>
                  </w:r>
                  <w:r>
                    <w:rPr>
                      <w:rFonts w:hint="eastAsia" w:cs="Times New Roman"/>
                      <w:color w:val="auto"/>
                      <w:sz w:val="21"/>
                      <w:szCs w:val="21"/>
                      <w:lang w:val="zh-CN" w:eastAsia="zh-CN"/>
                    </w:rPr>
                    <w:t>，且</w:t>
                  </w:r>
                  <w:r>
                    <w:rPr>
                      <w:rFonts w:hint="eastAsia" w:ascii="Times New Roman" w:hAnsi="Times New Roman" w:cs="Times New Roman"/>
                      <w:color w:val="auto"/>
                      <w:sz w:val="21"/>
                      <w:szCs w:val="21"/>
                      <w:lang w:val="zh-CN" w:eastAsia="zh-CN"/>
                    </w:rPr>
                    <w:t>要求企业提供活性炭质检单中的参数</w:t>
                  </w:r>
                  <w:r>
                    <w:rPr>
                      <w:rFonts w:hint="eastAsia" w:cs="Times New Roman"/>
                      <w:color w:val="auto"/>
                      <w:sz w:val="21"/>
                      <w:szCs w:val="21"/>
                      <w:lang w:val="en-US" w:eastAsia="zh-CN"/>
                    </w:rPr>
                    <w:t>需</w:t>
                  </w:r>
                  <w:r>
                    <w:rPr>
                      <w:rFonts w:hint="eastAsia" w:ascii="Times New Roman" w:hAnsi="Times New Roman" w:cs="Times New Roman"/>
                      <w:color w:val="auto"/>
                      <w:sz w:val="21"/>
                      <w:szCs w:val="21"/>
                      <w:lang w:val="zh-CN" w:eastAsia="zh-CN"/>
                    </w:rPr>
                    <w:t>满足前列要求。</w:t>
                  </w:r>
                </w:p>
              </w:tc>
              <w:tc>
                <w:tcPr>
                  <w:tcW w:w="348" w:type="pct"/>
                  <w:noWrap w:val="0"/>
                  <w:vAlign w:val="center"/>
                </w:tcPr>
                <w:p w14:paraId="5026B8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zh-CN" w:eastAsia="zh-CN"/>
                    </w:rPr>
                  </w:pPr>
                  <w:r>
                    <w:rPr>
                      <w:rFonts w:hint="eastAsia" w:ascii="Times New Roman" w:hAnsi="Times New Roman" w:cs="Times New Roman"/>
                      <w:color w:val="auto"/>
                      <w:sz w:val="21"/>
                      <w:szCs w:val="21"/>
                      <w:lang w:val="zh-CN" w:eastAsia="zh-CN"/>
                    </w:rPr>
                    <w:t>符合</w:t>
                  </w:r>
                </w:p>
              </w:tc>
            </w:tr>
            <w:tr w14:paraId="70F2C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shd w:val="clear" w:color="auto" w:fill="auto"/>
                  <w:noWrap w:val="0"/>
                  <w:vAlign w:val="center"/>
                </w:tcPr>
                <w:p w14:paraId="13313856">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zh-CN" w:eastAsia="zh-CN"/>
                    </w:rPr>
                    <w:t>《西安市人民政府关于印发西安市空气质量达标规划（2023-2030年）的通知》（市政发〔2023〕10号）</w:t>
                  </w:r>
                </w:p>
              </w:tc>
              <w:tc>
                <w:tcPr>
                  <w:tcW w:w="2222" w:type="pct"/>
                  <w:shd w:val="clear" w:color="auto" w:fill="auto"/>
                  <w:noWrap w:val="0"/>
                  <w:vAlign w:val="center"/>
                </w:tcPr>
                <w:p w14:paraId="0D85278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zh-CN" w:eastAsia="zh-CN"/>
                    </w:rPr>
                    <w:t>新建项目不再采用单一低温等离子、光氧化、光催化等治理技术，非水溶性VOCs废气不再采用单一喷淋吸收方式处理。</w:t>
                  </w:r>
                </w:p>
              </w:tc>
              <w:tc>
                <w:tcPr>
                  <w:tcW w:w="1556" w:type="pct"/>
                  <w:shd w:val="clear" w:color="auto" w:fill="auto"/>
                  <w:noWrap w:val="0"/>
                  <w:vAlign w:val="center"/>
                </w:tcPr>
                <w:p w14:paraId="4D923C6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zh-CN" w:eastAsia="zh-CN"/>
                    </w:rPr>
                    <w:t>本项目VOCs废气</w:t>
                  </w:r>
                  <w:r>
                    <w:rPr>
                      <w:rFonts w:hint="eastAsia" w:ascii="Times New Roman" w:hAnsi="Times New Roman" w:eastAsia="宋体" w:cs="Times New Roman"/>
                      <w:color w:val="auto"/>
                      <w:sz w:val="21"/>
                      <w:szCs w:val="21"/>
                      <w:lang w:val="en-US" w:eastAsia="zh-CN"/>
                    </w:rPr>
                    <w:t>使用两级</w:t>
                  </w:r>
                  <w:r>
                    <w:rPr>
                      <w:rFonts w:hint="eastAsia" w:ascii="Times New Roman" w:hAnsi="Times New Roman" w:eastAsia="宋体" w:cs="Times New Roman"/>
                      <w:color w:val="auto"/>
                      <w:sz w:val="21"/>
                      <w:szCs w:val="21"/>
                      <w:lang w:val="zh-CN" w:eastAsia="zh-CN"/>
                    </w:rPr>
                    <w:t>活性炭吸附装置进行处置。</w:t>
                  </w:r>
                  <w:r>
                    <w:rPr>
                      <w:rFonts w:hint="default" w:ascii="Times New Roman" w:hAnsi="Times New Roman" w:eastAsia="宋体" w:cs="Times New Roman"/>
                      <w:color w:val="auto"/>
                      <w:sz w:val="21"/>
                      <w:szCs w:val="21"/>
                      <w:lang w:val="zh-CN" w:eastAsia="zh-CN"/>
                    </w:rPr>
                    <w:t>不采用低温等离子、光氧化、光催化等治理技术，废气经处理后可</w:t>
                  </w:r>
                  <w:r>
                    <w:rPr>
                      <w:rFonts w:hint="eastAsia" w:ascii="Times New Roman" w:hAnsi="Times New Roman" w:eastAsia="宋体" w:cs="Times New Roman"/>
                      <w:color w:val="auto"/>
                      <w:sz w:val="21"/>
                      <w:szCs w:val="21"/>
                      <w:lang w:val="en-US" w:eastAsia="zh-CN"/>
                    </w:rPr>
                    <w:t>稳定</w:t>
                  </w:r>
                  <w:r>
                    <w:rPr>
                      <w:rFonts w:hint="default" w:ascii="Times New Roman" w:hAnsi="Times New Roman" w:eastAsia="宋体" w:cs="Times New Roman"/>
                      <w:color w:val="auto"/>
                      <w:sz w:val="21"/>
                      <w:szCs w:val="21"/>
                      <w:lang w:val="zh-CN" w:eastAsia="zh-CN"/>
                    </w:rPr>
                    <w:t>达标排放。</w:t>
                  </w:r>
                </w:p>
              </w:tc>
              <w:tc>
                <w:tcPr>
                  <w:tcW w:w="348" w:type="pct"/>
                  <w:shd w:val="clear" w:color="auto" w:fill="auto"/>
                  <w:noWrap w:val="0"/>
                  <w:vAlign w:val="center"/>
                </w:tcPr>
                <w:p w14:paraId="43748D0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zh-CN" w:eastAsia="zh-CN"/>
                    </w:rPr>
                    <w:t>符合</w:t>
                  </w:r>
                </w:p>
              </w:tc>
            </w:tr>
            <w:tr w14:paraId="3DC0F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1" w:hRule="atLeast"/>
                <w:jc w:val="center"/>
              </w:trPr>
              <w:tc>
                <w:tcPr>
                  <w:tcW w:w="873" w:type="pct"/>
                  <w:vMerge w:val="restart"/>
                  <w:shd w:val="clear" w:color="auto" w:fill="auto"/>
                  <w:noWrap w:val="0"/>
                  <w:vAlign w:val="center"/>
                </w:tcPr>
                <w:p w14:paraId="04F6411D">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ascii="Times New Roman" w:hAnsi="Times New Roman" w:eastAsia="宋体" w:cs="Times New Roman"/>
                      <w:bCs w:val="0"/>
                      <w:color w:val="auto"/>
                      <w:kern w:val="2"/>
                      <w:sz w:val="21"/>
                      <w:szCs w:val="21"/>
                      <w:lang w:val="zh-CN" w:eastAsia="zh-CN" w:bidi="ar-SA"/>
                    </w:rPr>
                  </w:pPr>
                  <w:r>
                    <w:rPr>
                      <w:rFonts w:hint="eastAsia" w:ascii="Times New Roman" w:hAnsi="Times New Roman" w:eastAsia="宋体" w:cs="Times New Roman"/>
                      <w:color w:val="auto"/>
                      <w:sz w:val="21"/>
                      <w:szCs w:val="21"/>
                      <w:highlight w:val="none"/>
                      <w:lang w:val="en-US" w:eastAsia="zh-CN"/>
                    </w:rPr>
                    <w:t>《关于加强挥发性有机物活性炭吸附处理设施运行管理工作的通知》（陕西咸环发〔2023〕1号）</w:t>
                  </w:r>
                </w:p>
              </w:tc>
              <w:tc>
                <w:tcPr>
                  <w:tcW w:w="2222" w:type="pct"/>
                  <w:shd w:val="clear" w:color="auto" w:fill="auto"/>
                  <w:noWrap w:val="0"/>
                  <w:vAlign w:val="center"/>
                </w:tcPr>
                <w:p w14:paraId="0830B8EF">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zh-CN" w:eastAsia="zh-CN"/>
                    </w:rPr>
                  </w:pPr>
                  <w:r>
                    <w:rPr>
                      <w:rFonts w:hint="eastAsia" w:ascii="Times New Roman" w:hAnsi="Times New Roman" w:eastAsia="宋体" w:cs="Times New Roman"/>
                      <w:color w:val="auto"/>
                      <w:sz w:val="21"/>
                      <w:szCs w:val="21"/>
                      <w:lang w:val="en-US" w:eastAsia="zh-CN"/>
                    </w:rPr>
                    <w:t>涉气企业根据当前有关</w:t>
                  </w:r>
                  <w:r>
                    <w:rPr>
                      <w:rFonts w:hint="default" w:ascii="Times New Roman" w:hAnsi="Times New Roman" w:eastAsia="宋体" w:cs="Times New Roman"/>
                      <w:color w:val="auto"/>
                      <w:sz w:val="21"/>
                      <w:szCs w:val="21"/>
                      <w:lang w:val="en-US" w:eastAsia="zh-CN"/>
                    </w:rPr>
                    <w:t>VOCs</w:t>
                  </w:r>
                  <w:r>
                    <w:rPr>
                      <w:rFonts w:hint="eastAsia" w:ascii="Times New Roman" w:hAnsi="Times New Roman" w:eastAsia="宋体" w:cs="Times New Roman"/>
                      <w:color w:val="auto"/>
                      <w:sz w:val="21"/>
                      <w:szCs w:val="21"/>
                      <w:lang w:val="en-US" w:eastAsia="zh-CN"/>
                    </w:rPr>
                    <w:t>治理的法律法规、技术规范、政策文件等要求，选择合理的治理工艺。除恶臭异味治理外，淘汰单一使用低温等离子、光催化氧化、活性炭吸附棉、水喷淋等低效处理工艺或其组合工艺。</w:t>
                  </w:r>
                </w:p>
              </w:tc>
              <w:tc>
                <w:tcPr>
                  <w:tcW w:w="1556" w:type="pct"/>
                  <w:shd w:val="clear" w:color="auto" w:fill="auto"/>
                  <w:noWrap w:val="0"/>
                  <w:vAlign w:val="center"/>
                </w:tcPr>
                <w:p w14:paraId="5656FA3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ascii="Times New Roman" w:hAnsi="Times New Roman" w:eastAsia="宋体" w:cs="Times New Roman"/>
                      <w:bCs w:val="0"/>
                      <w:color w:val="auto"/>
                      <w:kern w:val="2"/>
                      <w:sz w:val="21"/>
                      <w:szCs w:val="21"/>
                      <w:lang w:val="zh-CN" w:eastAsia="zh-CN" w:bidi="ar-SA"/>
                    </w:rPr>
                  </w:pPr>
                  <w:r>
                    <w:rPr>
                      <w:rFonts w:hint="eastAsia" w:ascii="Times New Roman" w:hAnsi="Times New Roman" w:eastAsia="宋体"/>
                      <w:bCs/>
                      <w:smallCaps w:val="0"/>
                      <w:color w:val="auto"/>
                      <w:sz w:val="21"/>
                      <w:szCs w:val="21"/>
                      <w:highlight w:val="none"/>
                      <w:lang w:val="en-US" w:eastAsia="zh-CN"/>
                    </w:rPr>
                    <w:t>本项目采用两级活性炭吸附处理VOCs，不属于淘汰的治理工艺。</w:t>
                  </w:r>
                </w:p>
              </w:tc>
              <w:tc>
                <w:tcPr>
                  <w:tcW w:w="348" w:type="pct"/>
                  <w:shd w:val="clear" w:color="auto" w:fill="auto"/>
                  <w:noWrap w:val="0"/>
                  <w:vAlign w:val="center"/>
                </w:tcPr>
                <w:p w14:paraId="789EBBB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Times New Roman"/>
                      <w:bCs w:val="0"/>
                      <w:color w:val="auto"/>
                      <w:kern w:val="2"/>
                      <w:sz w:val="21"/>
                      <w:szCs w:val="21"/>
                      <w:lang w:val="zh-CN" w:eastAsia="zh-CN" w:bidi="ar-SA"/>
                    </w:rPr>
                  </w:pPr>
                  <w:r>
                    <w:rPr>
                      <w:rFonts w:hint="eastAsia" w:ascii="Times New Roman" w:hAnsi="Times New Roman" w:eastAsia="宋体"/>
                      <w:bCs/>
                      <w:smallCaps w:val="0"/>
                      <w:color w:val="auto"/>
                      <w:sz w:val="21"/>
                      <w:szCs w:val="21"/>
                      <w:highlight w:val="none"/>
                      <w:lang w:val="en-US" w:eastAsia="zh-CN"/>
                    </w:rPr>
                    <w:t>符合</w:t>
                  </w:r>
                </w:p>
              </w:tc>
            </w:tr>
            <w:tr w14:paraId="3632A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4" w:hRule="atLeast"/>
                <w:jc w:val="center"/>
              </w:trPr>
              <w:tc>
                <w:tcPr>
                  <w:tcW w:w="873" w:type="pct"/>
                  <w:vMerge w:val="continue"/>
                  <w:shd w:val="clear" w:color="auto" w:fill="auto"/>
                  <w:noWrap w:val="0"/>
                  <w:vAlign w:val="center"/>
                </w:tcPr>
                <w:p w14:paraId="6F8C59E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ascii="Times New Roman" w:hAnsi="Times New Roman" w:eastAsia="宋体" w:cs="Times New Roman"/>
                      <w:color w:val="auto"/>
                      <w:sz w:val="21"/>
                      <w:szCs w:val="21"/>
                      <w:highlight w:val="none"/>
                      <w:lang w:val="en-US" w:eastAsia="zh-CN"/>
                    </w:rPr>
                  </w:pPr>
                </w:p>
              </w:tc>
              <w:tc>
                <w:tcPr>
                  <w:tcW w:w="2222" w:type="pct"/>
                  <w:shd w:val="clear" w:color="auto" w:fill="auto"/>
                  <w:noWrap w:val="0"/>
                  <w:vAlign w:val="center"/>
                </w:tcPr>
                <w:p w14:paraId="60D6B3CF">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zh-CN" w:eastAsia="zh-CN"/>
                    </w:rPr>
                  </w:pPr>
                  <w:r>
                    <w:rPr>
                      <w:rFonts w:hint="eastAsia" w:ascii="Times New Roman" w:hAnsi="Times New Roman" w:eastAsia="宋体" w:cs="Times New Roman"/>
                      <w:color w:val="auto"/>
                      <w:sz w:val="21"/>
                      <w:szCs w:val="21"/>
                      <w:lang w:val="en-US" w:eastAsia="zh-CN"/>
                    </w:rPr>
                    <w:t>企业购置活性炭必须提供活性炭检测报告，技术指标至少应包括水分含量、耐磨强度（颗粒活性炭）抗压强度（蜂窝活性炭）、碘吸附值、四氯化碳吸附率、着火点等。活性炭技术指标应符合《工业有机废气净化用活性炭技术指标及试验方法》（</w:t>
                  </w:r>
                  <w:r>
                    <w:rPr>
                      <w:rFonts w:hint="default" w:ascii="Times New Roman" w:hAnsi="Times New Roman" w:eastAsia="宋体" w:cs="Times New Roman"/>
                      <w:color w:val="auto"/>
                      <w:sz w:val="21"/>
                      <w:szCs w:val="21"/>
                      <w:lang w:val="en-US" w:eastAsia="zh-CN"/>
                    </w:rPr>
                    <w:t>LY/T3284</w:t>
                  </w:r>
                  <w:r>
                    <w:rPr>
                      <w:rFonts w:hint="eastAsia" w:ascii="Times New Roman" w:hAnsi="Times New Roman" w:eastAsia="宋体" w:cs="Times New Roman"/>
                      <w:color w:val="auto"/>
                      <w:sz w:val="21"/>
                      <w:szCs w:val="21"/>
                      <w:lang w:val="en-US" w:eastAsia="zh-CN"/>
                    </w:rPr>
                    <w:t>）规定的优级活性炭指标要求。</w:t>
                  </w:r>
                </w:p>
              </w:tc>
              <w:tc>
                <w:tcPr>
                  <w:tcW w:w="1556" w:type="pct"/>
                  <w:shd w:val="clear" w:color="auto" w:fill="auto"/>
                  <w:noWrap w:val="0"/>
                  <w:vAlign w:val="center"/>
                </w:tcPr>
                <w:p w14:paraId="63AFC292">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ascii="Times New Roman" w:hAnsi="Times New Roman" w:eastAsia="宋体" w:cs="Times New Roman"/>
                      <w:bCs w:val="0"/>
                      <w:color w:val="auto"/>
                      <w:kern w:val="2"/>
                      <w:sz w:val="21"/>
                      <w:szCs w:val="21"/>
                      <w:lang w:val="zh-CN" w:eastAsia="zh-CN" w:bidi="ar-SA"/>
                    </w:rPr>
                  </w:pPr>
                  <w:r>
                    <w:rPr>
                      <w:rFonts w:hint="default" w:ascii="Times New Roman" w:hAnsi="Times New Roman" w:eastAsia="宋体"/>
                      <w:bCs/>
                      <w:smallCaps w:val="0"/>
                      <w:color w:val="auto"/>
                      <w:sz w:val="21"/>
                      <w:szCs w:val="21"/>
                      <w:highlight w:val="none"/>
                      <w:lang w:val="en-US" w:eastAsia="zh-CN"/>
                    </w:rPr>
                    <w:t>评价要求企业购置的活性炭技术指标符合《工业有机废气净化用活性炭技术指标及试验方法(LY/T3284)规定的优级活性炭指标要求。</w:t>
                  </w:r>
                </w:p>
              </w:tc>
              <w:tc>
                <w:tcPr>
                  <w:tcW w:w="348" w:type="pct"/>
                  <w:shd w:val="clear" w:color="auto" w:fill="auto"/>
                  <w:noWrap w:val="0"/>
                  <w:vAlign w:val="center"/>
                </w:tcPr>
                <w:p w14:paraId="2D53E109">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Times New Roman"/>
                      <w:bCs w:val="0"/>
                      <w:color w:val="auto"/>
                      <w:kern w:val="2"/>
                      <w:sz w:val="21"/>
                      <w:szCs w:val="21"/>
                      <w:lang w:val="zh-CN" w:eastAsia="zh-CN" w:bidi="ar-SA"/>
                    </w:rPr>
                  </w:pPr>
                  <w:r>
                    <w:rPr>
                      <w:rFonts w:hint="eastAsia" w:ascii="Times New Roman" w:hAnsi="Times New Roman" w:eastAsia="宋体"/>
                      <w:bCs/>
                      <w:smallCaps w:val="0"/>
                      <w:color w:val="auto"/>
                      <w:sz w:val="21"/>
                      <w:szCs w:val="21"/>
                      <w:highlight w:val="none"/>
                      <w:lang w:val="en-US" w:eastAsia="zh-CN"/>
                    </w:rPr>
                    <w:t>符合</w:t>
                  </w:r>
                </w:p>
              </w:tc>
            </w:tr>
            <w:tr w14:paraId="5411F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continue"/>
                  <w:shd w:val="clear" w:color="auto" w:fill="auto"/>
                  <w:noWrap w:val="0"/>
                  <w:vAlign w:val="center"/>
                </w:tcPr>
                <w:p w14:paraId="7937B059">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ascii="Times New Roman" w:hAnsi="Times New Roman" w:eastAsia="宋体" w:cs="Times New Roman"/>
                      <w:color w:val="auto"/>
                      <w:sz w:val="21"/>
                      <w:szCs w:val="21"/>
                      <w:highlight w:val="none"/>
                      <w:lang w:val="en-US" w:eastAsia="zh-CN"/>
                    </w:rPr>
                  </w:pPr>
                </w:p>
              </w:tc>
              <w:tc>
                <w:tcPr>
                  <w:tcW w:w="2222" w:type="pct"/>
                  <w:shd w:val="clear" w:color="auto" w:fill="auto"/>
                  <w:noWrap w:val="0"/>
                  <w:vAlign w:val="center"/>
                </w:tcPr>
                <w:p w14:paraId="2B954D1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zh-CN" w:eastAsia="zh-CN"/>
                    </w:rPr>
                  </w:pPr>
                  <w:r>
                    <w:rPr>
                      <w:rFonts w:hint="eastAsia" w:ascii="Times New Roman" w:hAnsi="Times New Roman" w:eastAsia="宋体" w:cs="Times New Roman"/>
                      <w:color w:val="auto"/>
                      <w:sz w:val="21"/>
                      <w:szCs w:val="21"/>
                      <w:lang w:val="en-US" w:eastAsia="zh-CN"/>
                    </w:rPr>
                    <w:t>产生废活性炭的企业，必须与有许可证的危废经营单位签订危废处置协议。</w:t>
                  </w:r>
                </w:p>
              </w:tc>
              <w:tc>
                <w:tcPr>
                  <w:tcW w:w="1556" w:type="pct"/>
                  <w:shd w:val="clear" w:color="auto" w:fill="auto"/>
                  <w:noWrap w:val="0"/>
                  <w:vAlign w:val="center"/>
                </w:tcPr>
                <w:p w14:paraId="41D1F852">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ascii="Times New Roman" w:hAnsi="Times New Roman" w:eastAsia="宋体" w:cs="Times New Roman"/>
                      <w:bCs w:val="0"/>
                      <w:color w:val="auto"/>
                      <w:kern w:val="2"/>
                      <w:sz w:val="21"/>
                      <w:szCs w:val="21"/>
                      <w:lang w:val="zh-CN" w:eastAsia="zh-CN" w:bidi="ar-SA"/>
                    </w:rPr>
                  </w:pPr>
                  <w:r>
                    <w:rPr>
                      <w:rFonts w:hint="eastAsia" w:ascii="Times New Roman" w:hAnsi="Times New Roman" w:eastAsia="宋体"/>
                      <w:bCs/>
                      <w:smallCaps w:val="0"/>
                      <w:color w:val="auto"/>
                      <w:sz w:val="21"/>
                      <w:szCs w:val="21"/>
                      <w:highlight w:val="none"/>
                      <w:lang w:val="en-US" w:eastAsia="zh-CN"/>
                    </w:rPr>
                    <w:t>项目定期更换产生的废活性炭，与</w:t>
                  </w:r>
                  <w:r>
                    <w:rPr>
                      <w:rFonts w:hint="eastAsia" w:ascii="Times New Roman" w:hAnsi="Times New Roman" w:eastAsia="宋体" w:cs="宋体"/>
                      <w:smallCaps w:val="0"/>
                      <w:color w:val="auto"/>
                      <w:sz w:val="21"/>
                      <w:szCs w:val="21"/>
                      <w:highlight w:val="none"/>
                      <w:lang w:val="en-US" w:eastAsia="zh-CN"/>
                    </w:rPr>
                    <w:t>有许可证的危废经营单位签订危废处置协议。</w:t>
                  </w:r>
                </w:p>
              </w:tc>
              <w:tc>
                <w:tcPr>
                  <w:tcW w:w="348" w:type="pct"/>
                  <w:shd w:val="clear" w:color="auto" w:fill="auto"/>
                  <w:noWrap w:val="0"/>
                  <w:vAlign w:val="center"/>
                </w:tcPr>
                <w:p w14:paraId="68573F02">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Times New Roman"/>
                      <w:bCs w:val="0"/>
                      <w:color w:val="auto"/>
                      <w:kern w:val="2"/>
                      <w:sz w:val="21"/>
                      <w:szCs w:val="21"/>
                      <w:lang w:val="zh-CN" w:eastAsia="zh-CN" w:bidi="ar-SA"/>
                    </w:rPr>
                  </w:pPr>
                  <w:r>
                    <w:rPr>
                      <w:rFonts w:hint="eastAsia" w:ascii="Times New Roman" w:hAnsi="Times New Roman" w:eastAsia="宋体"/>
                      <w:bCs/>
                      <w:smallCaps w:val="0"/>
                      <w:color w:val="auto"/>
                      <w:sz w:val="21"/>
                      <w:szCs w:val="21"/>
                      <w:highlight w:val="none"/>
                      <w:lang w:val="en-US" w:eastAsia="zh-CN"/>
                    </w:rPr>
                    <w:t>符合</w:t>
                  </w:r>
                </w:p>
              </w:tc>
            </w:tr>
            <w:tr w14:paraId="07FA2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continue"/>
                  <w:shd w:val="clear" w:color="auto" w:fill="auto"/>
                  <w:noWrap w:val="0"/>
                  <w:vAlign w:val="center"/>
                </w:tcPr>
                <w:p w14:paraId="12BF79C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ascii="Times New Roman" w:hAnsi="Times New Roman" w:eastAsia="宋体" w:cs="Times New Roman"/>
                      <w:color w:val="auto"/>
                      <w:sz w:val="21"/>
                      <w:szCs w:val="21"/>
                      <w:highlight w:val="none"/>
                      <w:lang w:val="en-US" w:eastAsia="zh-CN"/>
                    </w:rPr>
                  </w:pPr>
                </w:p>
              </w:tc>
              <w:tc>
                <w:tcPr>
                  <w:tcW w:w="2222" w:type="pct"/>
                  <w:shd w:val="clear" w:color="auto" w:fill="auto"/>
                  <w:noWrap w:val="0"/>
                  <w:vAlign w:val="center"/>
                </w:tcPr>
                <w:p w14:paraId="48B713C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val="zh-CN" w:eastAsia="zh-CN"/>
                    </w:rPr>
                  </w:pPr>
                  <w:r>
                    <w:rPr>
                      <w:rFonts w:hint="eastAsia" w:ascii="Times New Roman" w:hAnsi="Times New Roman" w:eastAsia="宋体" w:cs="Times New Roman"/>
                      <w:color w:val="auto"/>
                      <w:sz w:val="21"/>
                      <w:szCs w:val="21"/>
                      <w:lang w:val="en-US" w:eastAsia="zh-CN"/>
                    </w:rPr>
                    <w:t>完善台账记录。企业应按要求做好活性炭吸附日常运行维护台账记录，台账内容应包括开启时间、关停时间、更换时间/更换照片、装填数量、设计参数、风量等，以及活性炭主要技术指标检测合格材料。环境管理台账记录保存期限不得少于5年。</w:t>
                  </w:r>
                </w:p>
              </w:tc>
              <w:tc>
                <w:tcPr>
                  <w:tcW w:w="1556" w:type="pct"/>
                  <w:shd w:val="clear" w:color="auto" w:fill="auto"/>
                  <w:noWrap w:val="0"/>
                  <w:vAlign w:val="center"/>
                </w:tcPr>
                <w:p w14:paraId="32C5CE9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ascii="Times New Roman" w:hAnsi="Times New Roman" w:eastAsia="宋体" w:cs="Times New Roman"/>
                      <w:bCs w:val="0"/>
                      <w:color w:val="auto"/>
                      <w:kern w:val="2"/>
                      <w:sz w:val="21"/>
                      <w:szCs w:val="21"/>
                      <w:lang w:val="zh-CN" w:eastAsia="zh-CN" w:bidi="ar-SA"/>
                    </w:rPr>
                  </w:pPr>
                  <w:r>
                    <w:rPr>
                      <w:rFonts w:hint="eastAsia" w:ascii="Times New Roman" w:hAnsi="Times New Roman" w:eastAsia="宋体"/>
                      <w:bCs/>
                      <w:smallCaps w:val="0"/>
                      <w:color w:val="auto"/>
                      <w:sz w:val="21"/>
                      <w:szCs w:val="21"/>
                      <w:highlight w:val="none"/>
                      <w:lang w:val="en-US" w:eastAsia="zh-CN"/>
                    </w:rPr>
                    <w:t>评价要求企业应</w:t>
                  </w:r>
                  <w:r>
                    <w:rPr>
                      <w:rFonts w:hint="eastAsia" w:ascii="Times New Roman" w:hAnsi="Times New Roman" w:eastAsia="宋体" w:cs="宋体"/>
                      <w:smallCaps w:val="0"/>
                      <w:color w:val="auto"/>
                      <w:sz w:val="21"/>
                      <w:szCs w:val="21"/>
                      <w:highlight w:val="none"/>
                      <w:lang w:val="en-US" w:eastAsia="zh-CN"/>
                    </w:rPr>
                    <w:t>好活性炭吸附日常运行维护台账记录，台账内容应包括开启时间、关停时间、更换时间/更换照片、装填数量、设计参数、风量等，以及活性炭主要技术指标检测合格材料。动态更新台账且保存期限不得少于5年。</w:t>
                  </w:r>
                </w:p>
              </w:tc>
              <w:tc>
                <w:tcPr>
                  <w:tcW w:w="348" w:type="pct"/>
                  <w:shd w:val="clear" w:color="auto" w:fill="auto"/>
                  <w:noWrap w:val="0"/>
                  <w:vAlign w:val="center"/>
                </w:tcPr>
                <w:p w14:paraId="6BEB8F07">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Times New Roman"/>
                      <w:bCs w:val="0"/>
                      <w:color w:val="auto"/>
                      <w:kern w:val="2"/>
                      <w:sz w:val="21"/>
                      <w:szCs w:val="21"/>
                      <w:lang w:val="zh-CN" w:eastAsia="zh-CN" w:bidi="ar-SA"/>
                    </w:rPr>
                  </w:pPr>
                  <w:r>
                    <w:rPr>
                      <w:rFonts w:hint="eastAsia" w:ascii="Times New Roman" w:hAnsi="Times New Roman" w:eastAsia="宋体"/>
                      <w:bCs/>
                      <w:smallCaps w:val="0"/>
                      <w:color w:val="auto"/>
                      <w:sz w:val="21"/>
                      <w:szCs w:val="21"/>
                      <w:highlight w:val="none"/>
                      <w:lang w:val="en-US" w:eastAsia="zh-CN"/>
                    </w:rPr>
                    <w:t>符合</w:t>
                  </w:r>
                </w:p>
              </w:tc>
            </w:tr>
            <w:tr w14:paraId="1308A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shd w:val="clear" w:color="auto" w:fill="auto"/>
                  <w:noWrap w:val="0"/>
                  <w:vAlign w:val="center"/>
                </w:tcPr>
                <w:p w14:paraId="24C20E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zh-CN" w:eastAsia="zh-CN" w:bidi="ar-SA"/>
                    </w:rPr>
                  </w:pPr>
                  <w:r>
                    <w:rPr>
                      <w:rFonts w:hint="eastAsia" w:cs="Times New Roman"/>
                      <w:color w:val="auto"/>
                      <w:sz w:val="21"/>
                      <w:szCs w:val="21"/>
                      <w:highlight w:val="none"/>
                      <w:lang w:val="en-US" w:eastAsia="zh-CN"/>
                    </w:rPr>
                    <w:t>关于印发西咸新区推进实现“十四五”空气质量目标暨大气污染治理专项行动2025年工作方案的通知（陕西咸党政办函〔2025〕13号</w:t>
                  </w:r>
                </w:p>
              </w:tc>
              <w:tc>
                <w:tcPr>
                  <w:tcW w:w="2222" w:type="pct"/>
                  <w:shd w:val="clear" w:color="auto" w:fill="auto"/>
                  <w:noWrap w:val="0"/>
                  <w:vAlign w:val="center"/>
                </w:tcPr>
                <w:p w14:paraId="1690E5F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kern w:val="2"/>
                      <w:sz w:val="21"/>
                      <w:szCs w:val="21"/>
                      <w:highlight w:val="none"/>
                      <w:lang w:val="zh-CN" w:eastAsia="zh-CN" w:bidi="ar-SA"/>
                    </w:rPr>
                  </w:pPr>
                  <w:r>
                    <w:rPr>
                      <w:rFonts w:hint="eastAsia" w:ascii="Times New Roman" w:hAnsi="Times New Roman" w:eastAsia="宋体" w:cs="Times New Roman"/>
                      <w:color w:val="auto"/>
                      <w:sz w:val="21"/>
                      <w:szCs w:val="21"/>
                      <w:highlight w:val="none"/>
                      <w:lang w:val="en-US" w:eastAsia="zh-CN"/>
                    </w:rPr>
                    <w:t>优化含VOCs原辅材料和产品结构。严格控制生产和使用高VOCs 含量的涂料、油墨、胶黏剂、清洗剂等建设项目。坚持应替尽替原则，在工业企业、汽修、市政工程等方面集中开展低挥发性原辅材料源头替代工作，强化源头治理，减少挥发性有机物排放。</w:t>
                  </w:r>
                </w:p>
              </w:tc>
              <w:tc>
                <w:tcPr>
                  <w:tcW w:w="1556" w:type="pct"/>
                  <w:shd w:val="clear" w:color="auto" w:fill="auto"/>
                  <w:noWrap w:val="0"/>
                  <w:vAlign w:val="center"/>
                </w:tcPr>
                <w:p w14:paraId="2E823003">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kern w:val="2"/>
                      <w:sz w:val="21"/>
                      <w:szCs w:val="21"/>
                      <w:highlight w:val="none"/>
                      <w:lang w:val="zh-CN" w:eastAsia="zh-CN" w:bidi="ar-SA"/>
                    </w:rPr>
                  </w:pPr>
                  <w:r>
                    <w:rPr>
                      <w:rFonts w:hint="eastAsia" w:ascii="Times New Roman" w:hAnsi="Times New Roman" w:eastAsia="宋体" w:cs="Times New Roman"/>
                      <w:color w:val="auto"/>
                      <w:sz w:val="21"/>
                      <w:szCs w:val="21"/>
                      <w:highlight w:val="none"/>
                      <w:lang w:val="en-US" w:eastAsia="zh-CN"/>
                    </w:rPr>
                    <w:t>本项目为实验研发项目，不属于重点高VOCs排放建设项目，项目研发过程中产生少量有机废气，利用</w:t>
                  </w:r>
                  <w:r>
                    <w:rPr>
                      <w:rFonts w:hint="eastAsia" w:cs="Times New Roman"/>
                      <w:color w:val="auto"/>
                      <w:sz w:val="21"/>
                      <w:szCs w:val="21"/>
                      <w:highlight w:val="none"/>
                      <w:lang w:val="en-US" w:eastAsia="zh-CN"/>
                    </w:rPr>
                    <w:t>两级</w:t>
                  </w:r>
                  <w:r>
                    <w:rPr>
                      <w:rFonts w:hint="eastAsia" w:ascii="Times New Roman" w:hAnsi="Times New Roman" w:eastAsia="宋体" w:cs="Times New Roman"/>
                      <w:color w:val="auto"/>
                      <w:sz w:val="21"/>
                      <w:szCs w:val="21"/>
                      <w:highlight w:val="none"/>
                      <w:lang w:val="en-US" w:eastAsia="zh-CN"/>
                    </w:rPr>
                    <w:t>活性炭吸附处理后，达标排放，对环境影响较小。</w:t>
                  </w:r>
                </w:p>
              </w:tc>
              <w:tc>
                <w:tcPr>
                  <w:tcW w:w="348" w:type="pct"/>
                  <w:shd w:val="clear" w:color="auto" w:fill="auto"/>
                  <w:noWrap w:val="0"/>
                  <w:vAlign w:val="center"/>
                </w:tcPr>
                <w:p w14:paraId="0B5E8D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zh-CN" w:eastAsia="zh-CN" w:bidi="ar-SA"/>
                    </w:rPr>
                  </w:pPr>
                  <w:r>
                    <w:rPr>
                      <w:rFonts w:hint="eastAsia" w:cs="Times New Roman"/>
                      <w:color w:val="auto"/>
                      <w:sz w:val="21"/>
                      <w:szCs w:val="21"/>
                      <w:highlight w:val="none"/>
                      <w:lang w:val="en-US" w:eastAsia="zh-CN"/>
                    </w:rPr>
                    <w:t>符合</w:t>
                  </w:r>
                </w:p>
              </w:tc>
            </w:tr>
            <w:tr w14:paraId="03987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restart"/>
                  <w:shd w:val="clear" w:color="auto" w:fill="auto"/>
                  <w:noWrap w:val="0"/>
                  <w:vAlign w:val="center"/>
                </w:tcPr>
                <w:p w14:paraId="10F5F471">
                  <w:pPr>
                    <w:pStyle w:val="40"/>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left"/>
                    <w:textAlignment w:val="auto"/>
                    <w:rPr>
                      <w:rFonts w:hint="eastAsia"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《西咸新区大气污染治理专项行动方案（2023-2027年）》（陕西咸党发〔2023〕4号）</w:t>
                  </w:r>
                </w:p>
              </w:tc>
              <w:tc>
                <w:tcPr>
                  <w:tcW w:w="2222" w:type="pct"/>
                  <w:shd w:val="clear" w:color="auto" w:fill="auto"/>
                  <w:noWrap w:val="0"/>
                  <w:vAlign w:val="center"/>
                </w:tcPr>
                <w:p w14:paraId="7B850FE2">
                  <w:pPr>
                    <w:pStyle w:val="40"/>
                    <w:keepNext w:val="0"/>
                    <w:keepLines w:val="0"/>
                    <w:pageBreakBefore w:val="0"/>
                    <w:widowControl w:val="0"/>
                    <w:kinsoku/>
                    <w:wordWrap/>
                    <w:overflowPunct/>
                    <w:topLinePunct w:val="0"/>
                    <w:autoSpaceDE/>
                    <w:autoSpaceDN/>
                    <w:bidi w:val="0"/>
                    <w:spacing w:line="240" w:lineRule="auto"/>
                    <w:ind w:left="0" w:leftChars="0" w:firstLine="0" w:firstLineChars="0"/>
                    <w:jc w:val="left"/>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p>
              </w:tc>
              <w:tc>
                <w:tcPr>
                  <w:tcW w:w="1556" w:type="pct"/>
                  <w:shd w:val="clear" w:color="auto" w:fill="auto"/>
                  <w:noWrap w:val="0"/>
                  <w:vAlign w:val="center"/>
                </w:tcPr>
                <w:p w14:paraId="0D307B2A">
                  <w:pPr>
                    <w:pStyle w:val="40"/>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本项目不属于化工、石化、建材、有色行业，项目建设符合产业政策、“三线一单”等要求，严格落实环境影响评价制度。</w:t>
                  </w:r>
                </w:p>
              </w:tc>
              <w:tc>
                <w:tcPr>
                  <w:tcW w:w="348" w:type="pct"/>
                  <w:shd w:val="clear" w:color="auto" w:fill="auto"/>
                  <w:noWrap w:val="0"/>
                  <w:vAlign w:val="center"/>
                </w:tcPr>
                <w:p w14:paraId="351C0FC2">
                  <w:pPr>
                    <w:pStyle w:val="40"/>
                    <w:keepNext w:val="0"/>
                    <w:keepLines w:val="0"/>
                    <w:pageBreakBefore w:val="0"/>
                    <w:widowControl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符合</w:t>
                  </w:r>
                </w:p>
              </w:tc>
            </w:tr>
            <w:tr w14:paraId="46DB6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continue"/>
                </w:tcPr>
                <w:p w14:paraId="2E3A3AFC">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bCs w:val="0"/>
                      <w:color w:val="auto"/>
                      <w:kern w:val="2"/>
                      <w:sz w:val="21"/>
                      <w:szCs w:val="21"/>
                      <w:lang w:val="en-US" w:eastAsia="zh-CN" w:bidi="ar-SA"/>
                    </w:rPr>
                  </w:pPr>
                </w:p>
              </w:tc>
              <w:tc>
                <w:tcPr>
                  <w:tcW w:w="2222" w:type="pct"/>
                  <w:shd w:val="clear" w:color="auto" w:fill="auto"/>
                  <w:vAlign w:val="center"/>
                </w:tcPr>
                <w:p w14:paraId="6F00113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强化VOCs末端处理工艺治理。动态更新挥发性有机物治理设施台账，开展易低效挥发性有机物治理设施清理整治、涉活性炭挥发性有机物处理工艺专项整治行动，强化挥发性有机物无组织排放整治，确保达到相关标准要求。新建项目不再采用低温等离子、光氧化、光催化等处理方式，非水溶性VOCs废气不再采用喷淋吸收方式处理。</w:t>
                  </w:r>
                </w:p>
              </w:tc>
              <w:tc>
                <w:tcPr>
                  <w:tcW w:w="1556" w:type="pct"/>
                  <w:shd w:val="clear" w:color="auto" w:fill="auto"/>
                  <w:vAlign w:val="center"/>
                </w:tcPr>
                <w:p w14:paraId="2B835F1C">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bCs w:val="0"/>
                      <w:color w:val="auto"/>
                      <w:kern w:val="2"/>
                      <w:sz w:val="21"/>
                      <w:szCs w:val="21"/>
                      <w:lang w:val="en-US" w:eastAsia="zh-CN" w:bidi="ar-SA"/>
                    </w:rPr>
                  </w:pPr>
                  <w:r>
                    <w:rPr>
                      <w:rFonts w:hint="eastAsia"/>
                      <w:color w:val="auto"/>
                      <w:sz w:val="21"/>
                      <w:szCs w:val="21"/>
                      <w:highlight w:val="none"/>
                      <w:lang w:val="en-US" w:eastAsia="zh-CN"/>
                    </w:rPr>
                    <w:t>在密闭专用空间内使用含有非甲烷总烃的原辅材料，产生的非甲烷总烃废气通过两级活性炭处理后，经通风排气设备无组织排放</w:t>
                  </w:r>
                  <w:r>
                    <w:rPr>
                      <w:rFonts w:hint="eastAsia" w:ascii="Times New Roman" w:hAnsi="Times New Roman" w:eastAsia="宋体" w:cs="Times New Roman"/>
                      <w:bCs w:val="0"/>
                      <w:color w:val="auto"/>
                      <w:kern w:val="2"/>
                      <w:sz w:val="21"/>
                      <w:szCs w:val="21"/>
                      <w:highlight w:val="none"/>
                      <w:lang w:val="zh-CN" w:eastAsia="zh-CN" w:bidi="ar-SA"/>
                    </w:rPr>
                    <w:t>。</w:t>
                  </w:r>
                </w:p>
              </w:tc>
              <w:tc>
                <w:tcPr>
                  <w:tcW w:w="348" w:type="pct"/>
                  <w:shd w:val="clear" w:color="auto" w:fill="auto"/>
                  <w:vAlign w:val="center"/>
                </w:tcPr>
                <w:p w14:paraId="7AD716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符合</w:t>
                  </w:r>
                </w:p>
              </w:tc>
            </w:tr>
            <w:tr w14:paraId="09F31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restart"/>
                  <w:shd w:val="clear" w:color="auto" w:fill="auto"/>
                  <w:vAlign w:val="center"/>
                </w:tcPr>
                <w:p w14:paraId="761CDDA2">
                  <w:pPr>
                    <w:pStyle w:val="40"/>
                    <w:keepNext w:val="0"/>
                    <w:keepLines w:val="0"/>
                    <w:pageBreakBefore w:val="0"/>
                    <w:widowControl w:val="0"/>
                    <w:kinsoku/>
                    <w:wordWrap w:val="0"/>
                    <w:overflowPunct/>
                    <w:topLinePunct/>
                    <w:autoSpaceDE/>
                    <w:autoSpaceDN/>
                    <w:bidi w:val="0"/>
                    <w:adjustRightInd w:val="0"/>
                    <w:snapToGrid w:val="0"/>
                    <w:spacing w:line="240" w:lineRule="auto"/>
                    <w:ind w:left="0" w:leftChars="0" w:firstLine="0" w:firstLineChars="0"/>
                    <w:jc w:val="both"/>
                    <w:textAlignment w:val="auto"/>
                    <w:rPr>
                      <w:rFonts w:hint="eastAsia" w:ascii="Times New Roman" w:hAnsi="Times New Roman" w:eastAsia="宋体" w:cs="Times New Roman"/>
                      <w:bCs w:val="0"/>
                      <w:color w:val="auto"/>
                      <w:kern w:val="2"/>
                      <w:sz w:val="21"/>
                      <w:szCs w:val="21"/>
                      <w:lang w:val="zh-CN" w:eastAsia="zh-CN" w:bidi="ar-SA"/>
                    </w:rPr>
                  </w:pPr>
                </w:p>
                <w:p w14:paraId="249787AB">
                  <w:pPr>
                    <w:pStyle w:val="40"/>
                    <w:keepNext w:val="0"/>
                    <w:keepLines w:val="0"/>
                    <w:pageBreakBefore w:val="0"/>
                    <w:widowControl w:val="0"/>
                    <w:kinsoku/>
                    <w:wordWrap w:val="0"/>
                    <w:overflowPunct/>
                    <w:topLinePunct/>
                    <w:autoSpaceDE/>
                    <w:autoSpaceDN/>
                    <w:bidi w:val="0"/>
                    <w:adjustRightInd w:val="0"/>
                    <w:snapToGrid w:val="0"/>
                    <w:spacing w:line="240" w:lineRule="auto"/>
                    <w:ind w:left="0" w:leftChars="0" w:firstLine="0" w:firstLineChars="0"/>
                    <w:jc w:val="both"/>
                    <w:textAlignment w:val="auto"/>
                    <w:rPr>
                      <w:rFonts w:hint="eastAsia" w:ascii="Times New Roman" w:hAnsi="Times New Roman" w:eastAsia="宋体" w:cs="Times New Roman"/>
                      <w:bCs w:val="0"/>
                      <w:color w:val="auto"/>
                      <w:kern w:val="2"/>
                      <w:sz w:val="21"/>
                      <w:szCs w:val="21"/>
                      <w:lang w:val="zh-CN" w:eastAsia="zh-CN" w:bidi="ar-SA"/>
                    </w:rPr>
                  </w:pPr>
                </w:p>
                <w:p w14:paraId="6A30FE07">
                  <w:pPr>
                    <w:pStyle w:val="40"/>
                    <w:keepNext w:val="0"/>
                    <w:keepLines w:val="0"/>
                    <w:pageBreakBefore w:val="0"/>
                    <w:widowControl w:val="0"/>
                    <w:kinsoku/>
                    <w:wordWrap w:val="0"/>
                    <w:overflowPunct/>
                    <w:topLinePunct/>
                    <w:autoSpaceDE/>
                    <w:autoSpaceDN/>
                    <w:bidi w:val="0"/>
                    <w:adjustRightInd w:val="0"/>
                    <w:snapToGrid w:val="0"/>
                    <w:spacing w:line="240" w:lineRule="auto"/>
                    <w:ind w:left="0" w:leftChars="0" w:firstLine="0" w:firstLineChars="0"/>
                    <w:jc w:val="both"/>
                    <w:textAlignment w:val="auto"/>
                    <w:rPr>
                      <w:rFonts w:hint="eastAsia" w:ascii="Times New Roman" w:hAnsi="Times New Roman" w:eastAsia="宋体" w:cs="Times New Roman"/>
                      <w:bCs w:val="0"/>
                      <w:color w:val="auto"/>
                      <w:kern w:val="2"/>
                      <w:sz w:val="21"/>
                      <w:szCs w:val="21"/>
                      <w:lang w:val="zh-CN" w:eastAsia="zh-CN" w:bidi="ar-SA"/>
                    </w:rPr>
                  </w:pPr>
                </w:p>
                <w:p w14:paraId="2CAA3847">
                  <w:pPr>
                    <w:pStyle w:val="40"/>
                    <w:keepNext w:val="0"/>
                    <w:keepLines w:val="0"/>
                    <w:pageBreakBefore w:val="0"/>
                    <w:widowControl w:val="0"/>
                    <w:kinsoku/>
                    <w:wordWrap w:val="0"/>
                    <w:overflowPunct/>
                    <w:topLinePunct/>
                    <w:autoSpaceDE/>
                    <w:autoSpaceDN/>
                    <w:bidi w:val="0"/>
                    <w:adjustRightInd w:val="0"/>
                    <w:snapToGrid w:val="0"/>
                    <w:spacing w:line="240" w:lineRule="auto"/>
                    <w:ind w:left="0" w:leftChars="0" w:firstLine="0" w:firstLineChars="0"/>
                    <w:jc w:val="both"/>
                    <w:textAlignment w:val="auto"/>
                    <w:rPr>
                      <w:rFonts w:hint="eastAsia" w:ascii="Times New Roman" w:hAnsi="Times New Roman" w:eastAsia="宋体" w:cs="Times New Roman"/>
                      <w:bCs w:val="0"/>
                      <w:color w:val="auto"/>
                      <w:kern w:val="2"/>
                      <w:sz w:val="21"/>
                      <w:szCs w:val="21"/>
                      <w:lang w:val="zh-CN" w:eastAsia="zh-CN" w:bidi="ar-SA"/>
                    </w:rPr>
                  </w:pPr>
                </w:p>
                <w:p w14:paraId="370D9564">
                  <w:pPr>
                    <w:pStyle w:val="40"/>
                    <w:keepNext w:val="0"/>
                    <w:keepLines w:val="0"/>
                    <w:pageBreakBefore w:val="0"/>
                    <w:widowControl w:val="0"/>
                    <w:kinsoku/>
                    <w:wordWrap w:val="0"/>
                    <w:overflowPunct/>
                    <w:topLinePunct/>
                    <w:autoSpaceDE/>
                    <w:autoSpaceDN/>
                    <w:bidi w:val="0"/>
                    <w:adjustRightInd w:val="0"/>
                    <w:snapToGrid w:val="0"/>
                    <w:spacing w:line="240" w:lineRule="auto"/>
                    <w:ind w:left="0" w:leftChars="0" w:firstLine="0" w:firstLineChars="0"/>
                    <w:jc w:val="both"/>
                    <w:textAlignment w:val="auto"/>
                    <w:rPr>
                      <w:rFonts w:hint="eastAsia"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《沣东新城大气污染治理专项行动方案（2023-2027年）》（西咸沣东党发〔2023〕29号）</w:t>
                  </w:r>
                </w:p>
              </w:tc>
              <w:tc>
                <w:tcPr>
                  <w:tcW w:w="2222" w:type="pct"/>
                  <w:shd w:val="clear" w:color="auto" w:fill="auto"/>
                  <w:vAlign w:val="center"/>
                </w:tcPr>
                <w:p w14:paraId="06B947BC">
                  <w:pPr>
                    <w:pStyle w:val="40"/>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强化源头管控。严格实施节能审查制度和环境影响评价制度，落实上级产业规划、产业政策、“三线一单”、规划环评等要求，深入开展区域空间生态环境评价工作，积极推行区域、规划环境影响评价，新、改、扩建化。</w:t>
                  </w:r>
                </w:p>
              </w:tc>
              <w:tc>
                <w:tcPr>
                  <w:tcW w:w="1556" w:type="pct"/>
                  <w:shd w:val="clear" w:color="auto" w:fill="auto"/>
                  <w:vAlign w:val="center"/>
                </w:tcPr>
                <w:p w14:paraId="1DA9394A">
                  <w:pPr>
                    <w:pStyle w:val="40"/>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本项目严格落实环境影响评价制度，项目建设符合产业规划、产业政策、“三线一单”等要求。</w:t>
                  </w:r>
                </w:p>
              </w:tc>
              <w:tc>
                <w:tcPr>
                  <w:tcW w:w="348" w:type="pct"/>
                  <w:shd w:val="clear" w:color="auto" w:fill="auto"/>
                  <w:vAlign w:val="center"/>
                </w:tcPr>
                <w:p w14:paraId="500CB56A">
                  <w:pPr>
                    <w:pStyle w:val="40"/>
                    <w:keepNext w:val="0"/>
                    <w:keepLines w:val="0"/>
                    <w:pageBreakBefore w:val="0"/>
                    <w:widowControl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符合</w:t>
                  </w:r>
                </w:p>
              </w:tc>
            </w:tr>
            <w:tr w14:paraId="2AC57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continue"/>
                </w:tcPr>
                <w:p w14:paraId="41ABBEC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bCs w:val="0"/>
                      <w:color w:val="auto"/>
                      <w:kern w:val="2"/>
                      <w:sz w:val="21"/>
                      <w:szCs w:val="21"/>
                      <w:lang w:val="en-US" w:eastAsia="zh-CN" w:bidi="ar-SA"/>
                    </w:rPr>
                  </w:pPr>
                </w:p>
              </w:tc>
              <w:tc>
                <w:tcPr>
                  <w:tcW w:w="2222" w:type="pct"/>
                  <w:shd w:val="clear" w:color="auto" w:fill="auto"/>
                  <w:vAlign w:val="center"/>
                </w:tcPr>
                <w:p w14:paraId="5428C3D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严格落实涉气重点行业绩效评级限制条件。新、改、扩建涉气重点行业企业应达到环保绩效A级、绩效引领性水平。</w:t>
                  </w:r>
                </w:p>
              </w:tc>
              <w:tc>
                <w:tcPr>
                  <w:tcW w:w="1556" w:type="pct"/>
                  <w:shd w:val="clear" w:color="auto" w:fill="auto"/>
                  <w:vAlign w:val="center"/>
                </w:tcPr>
                <w:p w14:paraId="52B6D193">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本项目不属于涉气重点行业，无需绩效评级。</w:t>
                  </w:r>
                </w:p>
              </w:tc>
              <w:tc>
                <w:tcPr>
                  <w:tcW w:w="348" w:type="pct"/>
                  <w:shd w:val="clear" w:color="auto" w:fill="auto"/>
                  <w:vAlign w:val="center"/>
                </w:tcPr>
                <w:p w14:paraId="36087D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符合</w:t>
                  </w:r>
                </w:p>
              </w:tc>
            </w:tr>
            <w:tr w14:paraId="69BA4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3" w:type="pct"/>
                  <w:vMerge w:val="continue"/>
                </w:tcPr>
                <w:p w14:paraId="52C5EF8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bCs w:val="0"/>
                      <w:color w:val="auto"/>
                      <w:kern w:val="2"/>
                      <w:sz w:val="21"/>
                      <w:szCs w:val="21"/>
                      <w:lang w:val="en-US" w:eastAsia="zh-CN" w:bidi="ar-SA"/>
                    </w:rPr>
                  </w:pPr>
                </w:p>
              </w:tc>
              <w:tc>
                <w:tcPr>
                  <w:tcW w:w="2222" w:type="pct"/>
                  <w:shd w:val="clear" w:color="auto" w:fill="auto"/>
                  <w:vAlign w:val="center"/>
                </w:tcPr>
                <w:p w14:paraId="00B3070B">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强化VOCs末端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低温等离子、光氧化、光催化等处理方式，非水溶性VOCs废气不再采用喷淋吸收方式处理。</w:t>
                  </w:r>
                </w:p>
              </w:tc>
              <w:tc>
                <w:tcPr>
                  <w:tcW w:w="1556" w:type="pct"/>
                  <w:shd w:val="clear" w:color="auto" w:fill="auto"/>
                  <w:vAlign w:val="center"/>
                </w:tcPr>
                <w:p w14:paraId="6DE093C6">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bCs w:val="0"/>
                      <w:color w:val="auto"/>
                      <w:kern w:val="2"/>
                      <w:sz w:val="21"/>
                      <w:szCs w:val="21"/>
                      <w:lang w:val="en-US" w:eastAsia="zh-CN" w:bidi="ar-SA"/>
                    </w:rPr>
                  </w:pPr>
                  <w:r>
                    <w:rPr>
                      <w:rFonts w:hint="eastAsia"/>
                      <w:color w:val="auto"/>
                      <w:sz w:val="21"/>
                      <w:szCs w:val="21"/>
                      <w:highlight w:val="none"/>
                      <w:lang w:val="en-US" w:eastAsia="zh-CN"/>
                    </w:rPr>
                    <w:t>在密闭专用空间内使用含有非甲烷总烃的原辅材料，产生的非甲烷总烃废气通过两级活性炭处理后，经通风排气设备无组织排放</w:t>
                  </w:r>
                  <w:r>
                    <w:rPr>
                      <w:rFonts w:hint="eastAsia" w:ascii="Times New Roman" w:hAnsi="Times New Roman" w:eastAsia="宋体" w:cs="Times New Roman"/>
                      <w:bCs w:val="0"/>
                      <w:color w:val="auto"/>
                      <w:kern w:val="2"/>
                      <w:sz w:val="21"/>
                      <w:szCs w:val="21"/>
                      <w:highlight w:val="none"/>
                      <w:lang w:val="zh-CN" w:eastAsia="zh-CN" w:bidi="ar-SA"/>
                    </w:rPr>
                    <w:t>。</w:t>
                  </w:r>
                </w:p>
              </w:tc>
              <w:tc>
                <w:tcPr>
                  <w:tcW w:w="348" w:type="pct"/>
                  <w:shd w:val="clear" w:color="auto" w:fill="auto"/>
                  <w:vAlign w:val="center"/>
                </w:tcPr>
                <w:p w14:paraId="072D6A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1"/>
                      <w:lang w:val="en-US" w:eastAsia="zh-CN" w:bidi="ar-SA"/>
                    </w:rPr>
                  </w:pPr>
                  <w:r>
                    <w:rPr>
                      <w:rFonts w:hint="eastAsia" w:ascii="Times New Roman" w:hAnsi="Times New Roman" w:eastAsia="宋体" w:cs="Times New Roman"/>
                      <w:bCs w:val="0"/>
                      <w:color w:val="auto"/>
                      <w:kern w:val="2"/>
                      <w:sz w:val="21"/>
                      <w:szCs w:val="21"/>
                      <w:lang w:val="zh-CN" w:eastAsia="zh-CN" w:bidi="ar-SA"/>
                    </w:rPr>
                    <w:t>符合</w:t>
                  </w:r>
                </w:p>
              </w:tc>
            </w:tr>
          </w:tbl>
          <w:p w14:paraId="6D9367ED">
            <w:pPr>
              <w:keepNext w:val="0"/>
              <w:keepLines w:val="0"/>
              <w:pageBreakBefore w:val="0"/>
              <w:widowControl w:val="0"/>
              <w:kinsoku/>
              <w:wordWrap/>
              <w:overflowPunct/>
              <w:topLinePunct w:val="0"/>
              <w:autoSpaceDE/>
              <w:autoSpaceDN/>
              <w:bidi w:val="0"/>
              <w:adjustRightInd/>
              <w:snapToGrid/>
              <w:spacing w:line="520" w:lineRule="exact"/>
              <w:ind w:firstLine="482"/>
              <w:textAlignment w:val="auto"/>
              <w:rPr>
                <w:b/>
                <w:bCs/>
                <w:color w:val="auto"/>
              </w:rPr>
            </w:pPr>
            <w:r>
              <w:rPr>
                <w:rFonts w:hint="eastAsia"/>
                <w:b/>
                <w:bCs/>
                <w:color w:val="auto"/>
              </w:rPr>
              <w:t>4</w:t>
            </w:r>
            <w:r>
              <w:rPr>
                <w:b/>
                <w:bCs/>
                <w:color w:val="auto"/>
              </w:rPr>
              <w:t>、选址合理性分析</w:t>
            </w:r>
          </w:p>
          <w:p w14:paraId="6DF78884">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color w:val="auto"/>
                <w:lang w:val="en-US" w:eastAsia="zh-CN"/>
              </w:rPr>
            </w:pPr>
            <w:r>
              <w:rPr>
                <w:rFonts w:hint="eastAsia"/>
                <w:color w:val="auto"/>
                <w:lang w:val="en-US" w:eastAsia="zh-CN"/>
              </w:rPr>
              <w:t>项目位于西咸新区沣东新城</w:t>
            </w:r>
            <w:r>
              <w:rPr>
                <w:rFonts w:hint="eastAsia" w:ascii="宋体" w:hAnsi="宋体" w:cs="宋体"/>
                <w:color w:val="000000"/>
                <w:sz w:val="24"/>
              </w:rPr>
              <w:t>王寺西街与科源四路交叉口东北角</w:t>
            </w:r>
            <w:r>
              <w:rPr>
                <w:rFonts w:hint="eastAsia"/>
                <w:color w:val="auto"/>
                <w:lang w:val="en-US" w:eastAsia="zh-CN"/>
              </w:rPr>
              <w:t>，占地约31亩，该用地性质为科研用地，见附件3，符合用地要求。项目北为空地，南为王寺西街，西为科源四路，东邻软通动力一期。</w:t>
            </w:r>
          </w:p>
          <w:p w14:paraId="5B4F4B35">
            <w:pPr>
              <w:keepNext w:val="0"/>
              <w:keepLines w:val="0"/>
              <w:suppressLineNumbers w:val="0"/>
              <w:spacing w:before="0" w:beforeAutospacing="0" w:after="0" w:afterAutospacing="0"/>
              <w:ind w:left="0" w:right="0" w:firstLine="480"/>
              <w:rPr>
                <w:rFonts w:hint="default" w:ascii="Times New Roman" w:hAnsi="Times New Roman" w:cs="Times New Roman"/>
                <w:color w:val="auto"/>
              </w:rPr>
            </w:pPr>
            <w:r>
              <w:rPr>
                <w:rFonts w:hint="default" w:ascii="Times New Roman" w:hAnsi="Times New Roman" w:cs="Times New Roman"/>
                <w:color w:val="auto"/>
              </w:rPr>
              <w:t>项目所在地交通便利，供电、供气、通讯等基础配套设施均已完备，具有良好的建设条件。项目附近无饮用水源保护区、风景名胜区、自然保护区和其他需要特别保护的区域范围内，不存在环境制约因素。在严格落实评价中提出的各项污染防治措施，加强环保设施的运行维护和管理，并落实环境风险防范措施后，项目废气、</w:t>
            </w:r>
            <w:r>
              <w:rPr>
                <w:rFonts w:hint="eastAsia" w:ascii="Times New Roman" w:hAnsi="Times New Roman" w:cs="Times New Roman"/>
                <w:color w:val="auto"/>
                <w:lang w:val="en-US" w:eastAsia="zh-CN"/>
              </w:rPr>
              <w:t>废水、</w:t>
            </w:r>
            <w:r>
              <w:rPr>
                <w:rFonts w:hint="default" w:ascii="Times New Roman" w:hAnsi="Times New Roman" w:cs="Times New Roman"/>
                <w:color w:val="auto"/>
              </w:rPr>
              <w:t>噪声、固废均可长期稳定达标排放或妥善处置，环境风险可接受，对周围环境影响较小，不会改变评价区现有环境功能，对周围环境保护目标的影响可接受，项目选址合理。</w:t>
            </w:r>
          </w:p>
          <w:p w14:paraId="00907D8E">
            <w:pPr>
              <w:keepNext w:val="0"/>
              <w:keepLines w:val="0"/>
              <w:suppressLineNumbers w:val="0"/>
              <w:spacing w:before="0" w:beforeAutospacing="0" w:after="0" w:afterAutospacing="0"/>
              <w:ind w:left="0" w:right="0" w:firstLine="480"/>
              <w:rPr>
                <w:rFonts w:hint="default" w:ascii="Times New Roman" w:hAnsi="Times New Roman" w:cs="Times New Roman"/>
                <w:color w:val="auto"/>
              </w:rPr>
            </w:pPr>
          </w:p>
          <w:p w14:paraId="64E6A0F4">
            <w:pPr>
              <w:keepNext w:val="0"/>
              <w:keepLines w:val="0"/>
              <w:suppressLineNumbers w:val="0"/>
              <w:spacing w:before="0" w:beforeAutospacing="0" w:after="0" w:afterAutospacing="0"/>
              <w:ind w:left="0" w:right="0" w:firstLine="480"/>
              <w:rPr>
                <w:rFonts w:hint="default" w:ascii="Times New Roman" w:hAnsi="Times New Roman" w:cs="Times New Roman"/>
                <w:color w:val="auto"/>
              </w:rPr>
            </w:pPr>
          </w:p>
          <w:p w14:paraId="18124FF2">
            <w:pPr>
              <w:keepNext w:val="0"/>
              <w:keepLines w:val="0"/>
              <w:suppressLineNumbers w:val="0"/>
              <w:spacing w:before="0" w:beforeAutospacing="0" w:after="0" w:afterAutospacing="0"/>
              <w:ind w:left="0" w:right="0" w:firstLine="480"/>
              <w:rPr>
                <w:rFonts w:hint="default" w:ascii="Times New Roman" w:hAnsi="Times New Roman" w:cs="Times New Roman"/>
                <w:color w:val="auto"/>
              </w:rPr>
            </w:pPr>
          </w:p>
          <w:p w14:paraId="19B7520B">
            <w:pPr>
              <w:keepNext w:val="0"/>
              <w:keepLines w:val="0"/>
              <w:suppressLineNumbers w:val="0"/>
              <w:spacing w:before="0" w:beforeAutospacing="0" w:after="0" w:afterAutospacing="0"/>
              <w:ind w:left="0" w:right="0" w:firstLine="480"/>
              <w:rPr>
                <w:rFonts w:hint="default" w:ascii="Times New Roman" w:hAnsi="Times New Roman" w:cs="Times New Roman"/>
                <w:color w:val="auto"/>
              </w:rPr>
            </w:pPr>
          </w:p>
          <w:p w14:paraId="28C9D910">
            <w:pPr>
              <w:keepNext w:val="0"/>
              <w:keepLines w:val="0"/>
              <w:suppressLineNumbers w:val="0"/>
              <w:spacing w:before="0" w:beforeAutospacing="0" w:after="0" w:afterAutospacing="0"/>
              <w:ind w:left="0" w:leftChars="0" w:right="0" w:firstLine="0" w:firstLineChars="0"/>
              <w:rPr>
                <w:rFonts w:hint="eastAsia" w:ascii="Times New Roman" w:hAnsi="Times New Roman" w:cs="Times New Roman"/>
                <w:color w:val="auto"/>
                <w:lang w:eastAsia="zh-CN"/>
              </w:rPr>
            </w:pPr>
          </w:p>
        </w:tc>
      </w:tr>
    </w:tbl>
    <w:p w14:paraId="486CFF54">
      <w:pPr>
        <w:rPr>
          <w:color w:val="auto"/>
        </w:rPr>
        <w:sectPr>
          <w:pgSz w:w="11906" w:h="16838"/>
          <w:pgMar w:top="1701" w:right="1531" w:bottom="1701" w:left="1531" w:header="851" w:footer="1077" w:gutter="0"/>
          <w:pgBorders>
            <w:top w:val="none" w:sz="0" w:space="0"/>
            <w:left w:val="none" w:sz="0" w:space="0"/>
            <w:bottom w:val="none" w:sz="0" w:space="0"/>
            <w:right w:val="none" w:sz="0" w:space="0"/>
          </w:pgBorders>
          <w:cols w:space="720" w:num="1"/>
          <w:docGrid w:linePitch="312" w:charSpace="0"/>
        </w:sectPr>
      </w:pPr>
    </w:p>
    <w:p w14:paraId="1F76E8F9">
      <w:pPr>
        <w:pStyle w:val="14"/>
        <w:ind w:firstLine="600"/>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0"/>
          <w:szCs w:val="30"/>
          <w:highlight w:val="none"/>
        </w:rPr>
        <w:t>二、建设项目工程分析</w:t>
      </w:r>
    </w:p>
    <w:tbl>
      <w:tblPr>
        <w:tblStyle w:val="1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3"/>
        <w:gridCol w:w="8317"/>
      </w:tblGrid>
      <w:tr w14:paraId="4196B7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0" w:type="pct"/>
            <w:noWrap w:val="0"/>
            <w:vAlign w:val="center"/>
          </w:tcPr>
          <w:p w14:paraId="16B2B646">
            <w:pPr>
              <w:pStyle w:val="14"/>
              <w:spacing w:before="0" w:beforeAutospacing="0" w:after="0" w:afterAutospacing="0" w:line="360" w:lineRule="atLeast"/>
              <w:ind w:firstLine="0" w:firstLineChars="0"/>
              <w:jc w:val="center"/>
              <w:rPr>
                <w:color w:val="auto"/>
              </w:rPr>
            </w:pPr>
            <w:r>
              <w:rPr>
                <w:color w:val="auto"/>
              </w:rPr>
              <w:t>建设内容</w:t>
            </w:r>
          </w:p>
        </w:tc>
        <w:tc>
          <w:tcPr>
            <w:tcW w:w="4589" w:type="pct"/>
            <w:noWrap w:val="0"/>
            <w:vAlign w:val="top"/>
          </w:tcPr>
          <w:p w14:paraId="365DEC0B">
            <w:pPr>
              <w:bidi w:val="0"/>
              <w:rPr>
                <w:rFonts w:hint="default"/>
                <w:b/>
                <w:bCs/>
                <w:color w:val="auto"/>
                <w:lang w:val="en-US" w:eastAsia="zh-CN"/>
              </w:rPr>
            </w:pPr>
            <w:bookmarkStart w:id="1" w:name="_Toc7078"/>
            <w:bookmarkStart w:id="2" w:name="_Toc3729"/>
            <w:r>
              <w:rPr>
                <w:rFonts w:hint="eastAsia"/>
                <w:b/>
                <w:bCs/>
                <w:color w:val="auto"/>
                <w:lang w:val="en-US" w:eastAsia="zh-CN"/>
              </w:rPr>
              <w:t>1、项目背景</w:t>
            </w:r>
          </w:p>
          <w:bookmarkEnd w:id="1"/>
          <w:bookmarkEnd w:id="2"/>
          <w:p w14:paraId="7B5B1A60">
            <w:pPr>
              <w:bidi w:val="0"/>
              <w:rPr>
                <w:rFonts w:hint="default"/>
                <w:color w:val="auto"/>
                <w:lang w:val="en-US" w:eastAsia="zh-CN"/>
              </w:rPr>
            </w:pPr>
            <w:r>
              <w:rPr>
                <w:rFonts w:hint="eastAsia"/>
                <w:color w:val="auto"/>
                <w:lang w:val="en-US" w:eastAsia="zh-CN"/>
              </w:rPr>
              <w:t>西安汇川技术研发中心有限公司，购置土地面积31亩，拟规划总建筑面积约78000平方米，建设研发基地。西安研发中心定位为重点打造包含FA软件、控制层软件等工业软件平台，与华南、苏州研发中心协同支撑各事业部业务。重点支撑FA软件平台开发业务、控制层软件开发业务、PLC（人机界面）、HMI（可编程逻辑控制器）等产品开发业务及相应的预研和测试业务。本项目主要从事汇川技术总部结算（负责下属公司投融资、资金收付和统一结算）、工业自动化软硬件（包括自动化设备和自动化软件）、新能源汽车联合动力（包括新能源汽车电驱系统和电源系统等动力系统核心部件）、储能设备（包括储能变流器、储能逆变器、光储逆变器和储能一体机等设备的核心零部件）等领域的研发业务，属于工程和技术研究和试验发展行业。本项目主</w:t>
            </w:r>
            <w:r>
              <w:rPr>
                <w:rFonts w:hint="eastAsia"/>
                <w:color w:val="auto"/>
                <w:highlight w:val="none"/>
                <w:lang w:val="en-US" w:eastAsia="zh-CN"/>
              </w:rPr>
              <w:t>要购置</w:t>
            </w:r>
            <w:r>
              <w:rPr>
                <w:rFonts w:hint="eastAsia" w:ascii="宋体" w:hAnsi="宋体" w:cs="宋体"/>
                <w:bCs/>
                <w:color w:val="auto"/>
                <w:sz w:val="24"/>
                <w:highlight w:val="none"/>
              </w:rPr>
              <w:t>设备约</w:t>
            </w:r>
            <w:r>
              <w:rPr>
                <w:rFonts w:ascii="宋体" w:hAnsi="宋体" w:cs="宋体"/>
                <w:bCs/>
                <w:color w:val="auto"/>
                <w:sz w:val="24"/>
                <w:highlight w:val="none"/>
              </w:rPr>
              <w:t>1000</w:t>
            </w:r>
            <w:r>
              <w:rPr>
                <w:rFonts w:hint="eastAsia" w:ascii="宋体" w:hAnsi="宋体" w:cs="宋体"/>
                <w:bCs/>
                <w:color w:val="auto"/>
                <w:sz w:val="24"/>
                <w:highlight w:val="none"/>
              </w:rPr>
              <w:t>套，</w:t>
            </w:r>
            <w:r>
              <w:rPr>
                <w:rFonts w:ascii="宋体" w:hAnsi="宋体" w:cs="宋体"/>
                <w:bCs/>
                <w:color w:val="auto"/>
                <w:sz w:val="24"/>
                <w:highlight w:val="none"/>
              </w:rPr>
              <w:t>主要包括</w:t>
            </w:r>
            <w:r>
              <w:rPr>
                <w:rFonts w:hint="eastAsia" w:ascii="宋体" w:hAnsi="宋体" w:cs="宋体"/>
                <w:bCs/>
                <w:color w:val="auto"/>
                <w:sz w:val="24"/>
                <w:highlight w:val="none"/>
              </w:rPr>
              <w:t>I</w:t>
            </w:r>
            <w:r>
              <w:rPr>
                <w:rFonts w:ascii="宋体" w:hAnsi="宋体" w:cs="宋体"/>
                <w:bCs/>
                <w:color w:val="auto"/>
                <w:sz w:val="24"/>
                <w:highlight w:val="none"/>
              </w:rPr>
              <w:t>T</w:t>
            </w:r>
            <w:r>
              <w:rPr>
                <w:rFonts w:hint="eastAsia" w:ascii="宋体" w:hAnsi="宋体" w:cs="宋体"/>
                <w:bCs/>
                <w:color w:val="auto"/>
                <w:sz w:val="24"/>
                <w:highlight w:val="none"/>
              </w:rPr>
              <w:t>硬件类、环境设备类、设备类、物品类、仪器仪表类</w:t>
            </w:r>
            <w:r>
              <w:rPr>
                <w:rFonts w:ascii="宋体" w:hAnsi="宋体" w:cs="宋体"/>
                <w:bCs/>
                <w:color w:val="auto"/>
                <w:sz w:val="24"/>
                <w:highlight w:val="none"/>
              </w:rPr>
              <w:t>等</w:t>
            </w:r>
            <w:r>
              <w:rPr>
                <w:rFonts w:hint="eastAsia" w:ascii="宋体" w:hAnsi="宋体" w:cs="宋体"/>
                <w:bCs/>
                <w:color w:val="auto"/>
                <w:sz w:val="24"/>
                <w:highlight w:val="none"/>
              </w:rPr>
              <w:t>设备类型</w:t>
            </w:r>
            <w:r>
              <w:rPr>
                <w:rFonts w:hint="eastAsia" w:ascii="宋体" w:hAnsi="宋体" w:cs="宋体"/>
                <w:bCs/>
                <w:color w:val="auto"/>
                <w:sz w:val="24"/>
                <w:highlight w:val="none"/>
                <w:lang w:eastAsia="zh-CN"/>
              </w:rPr>
              <w:t>，</w:t>
            </w:r>
            <w:r>
              <w:rPr>
                <w:rFonts w:hint="eastAsia" w:ascii="宋体" w:hAnsi="宋体" w:cs="宋体"/>
                <w:bCs/>
                <w:color w:val="auto"/>
                <w:sz w:val="24"/>
                <w:highlight w:val="none"/>
                <w:lang w:val="en-US" w:eastAsia="zh-CN"/>
              </w:rPr>
              <w:t>进行能源、储能产品的测试、研发</w:t>
            </w:r>
            <w:r>
              <w:rPr>
                <w:rFonts w:hint="eastAsia" w:ascii="宋体" w:hAnsi="宋体" w:cs="宋体"/>
                <w:bCs/>
                <w:color w:val="auto"/>
                <w:sz w:val="24"/>
                <w:highlight w:val="none"/>
              </w:rPr>
              <w:t>。</w:t>
            </w:r>
            <w:r>
              <w:rPr>
                <w:rFonts w:hint="eastAsia"/>
                <w:color w:val="auto"/>
                <w:lang w:val="en-US" w:eastAsia="zh-CN"/>
              </w:rPr>
              <w:t>本项目建成后仅进行研发，不涉及生产。</w:t>
            </w:r>
          </w:p>
          <w:p w14:paraId="3AE1A128">
            <w:pPr>
              <w:bidi w:val="0"/>
              <w:rPr>
                <w:rFonts w:hint="default"/>
                <w:color w:val="auto"/>
                <w:lang w:eastAsia="zh-CN"/>
              </w:rPr>
            </w:pPr>
            <w:r>
              <w:rPr>
                <w:rFonts w:hint="default"/>
                <w:color w:val="auto"/>
                <w:lang w:eastAsia="zh-CN"/>
              </w:rPr>
              <w:t>根据《建设项目环境影响评价分类管理名录》（</w:t>
            </w:r>
            <w:r>
              <w:rPr>
                <w:rFonts w:hint="default"/>
                <w:color w:val="auto"/>
                <w:lang w:val="en-US" w:eastAsia="zh-CN"/>
              </w:rPr>
              <w:t>2021年</w:t>
            </w:r>
            <w:r>
              <w:rPr>
                <w:rFonts w:hint="default"/>
                <w:color w:val="auto"/>
                <w:lang w:eastAsia="zh-CN"/>
              </w:rPr>
              <w:t>版），本项目属于</w:t>
            </w:r>
            <w:r>
              <w:rPr>
                <w:rFonts w:hint="eastAsia"/>
                <w:color w:val="auto"/>
                <w:lang w:eastAsia="zh-CN"/>
              </w:rPr>
              <w:t>“</w:t>
            </w:r>
            <w:r>
              <w:rPr>
                <w:rFonts w:hint="default"/>
                <w:color w:val="auto"/>
                <w:lang w:eastAsia="zh-CN"/>
              </w:rPr>
              <w:t>四十</w:t>
            </w:r>
            <w:r>
              <w:rPr>
                <w:rFonts w:hint="eastAsia"/>
                <w:color w:val="auto"/>
                <w:lang w:eastAsia="zh-CN"/>
              </w:rPr>
              <w:t>五</w:t>
            </w:r>
            <w:r>
              <w:rPr>
                <w:rFonts w:hint="default"/>
                <w:color w:val="auto"/>
                <w:lang w:eastAsia="zh-CN"/>
              </w:rPr>
              <w:t>、</w:t>
            </w:r>
            <w:r>
              <w:rPr>
                <w:rFonts w:hint="eastAsia"/>
                <w:color w:val="auto"/>
                <w:lang w:eastAsia="zh-CN"/>
              </w:rPr>
              <w:t>研究和试验发展</w:t>
            </w:r>
            <w:r>
              <w:rPr>
                <w:rFonts w:hint="default"/>
                <w:color w:val="auto"/>
                <w:lang w:val="en-US" w:eastAsia="zh-CN"/>
              </w:rPr>
              <w:t xml:space="preserve"> </w:t>
            </w:r>
            <w:r>
              <w:rPr>
                <w:rFonts w:hint="eastAsia"/>
                <w:color w:val="auto"/>
                <w:lang w:val="en-US" w:eastAsia="zh-CN"/>
              </w:rPr>
              <w:t>9</w:t>
            </w:r>
            <w:r>
              <w:rPr>
                <w:rFonts w:hint="default"/>
                <w:color w:val="auto"/>
                <w:lang w:val="en-US" w:eastAsia="zh-CN"/>
              </w:rPr>
              <w:t>8、</w:t>
            </w:r>
            <w:r>
              <w:rPr>
                <w:rFonts w:hint="eastAsia"/>
                <w:color w:val="auto"/>
                <w:lang w:val="en-US" w:eastAsia="zh-CN"/>
              </w:rPr>
              <w:t>专业实验室、研发（试验）基地”</w:t>
            </w:r>
            <w:r>
              <w:rPr>
                <w:rFonts w:hint="default"/>
                <w:color w:val="auto"/>
                <w:lang w:val="en-US" w:eastAsia="zh-CN"/>
              </w:rPr>
              <w:t>中的</w:t>
            </w:r>
            <w:r>
              <w:rPr>
                <w:rFonts w:hint="eastAsia"/>
                <w:color w:val="auto"/>
                <w:lang w:val="en-US" w:eastAsia="zh-CN"/>
              </w:rPr>
              <w:t>“</w:t>
            </w:r>
            <w:r>
              <w:rPr>
                <w:rFonts w:hint="default"/>
                <w:color w:val="auto"/>
                <w:lang w:val="en-US" w:eastAsia="zh-CN"/>
              </w:rPr>
              <w:t>其他（</w:t>
            </w:r>
            <w:r>
              <w:rPr>
                <w:rFonts w:hint="eastAsia"/>
                <w:color w:val="auto"/>
                <w:lang w:val="en-US" w:eastAsia="zh-CN"/>
              </w:rPr>
              <w:t>不产生实验废气、废水、危险废物的除外</w:t>
            </w:r>
            <w:r>
              <w:rPr>
                <w:rFonts w:hint="default"/>
                <w:color w:val="auto"/>
                <w:lang w:val="en-US" w:eastAsia="zh-CN"/>
              </w:rPr>
              <w:t>）</w:t>
            </w:r>
            <w:r>
              <w:rPr>
                <w:rFonts w:hint="eastAsia"/>
                <w:color w:val="auto"/>
                <w:lang w:val="en-US" w:eastAsia="zh-CN"/>
              </w:rPr>
              <w:t>”</w:t>
            </w:r>
            <w:r>
              <w:rPr>
                <w:rFonts w:hint="default"/>
                <w:color w:val="auto"/>
                <w:lang w:val="en-US" w:eastAsia="zh-CN"/>
              </w:rPr>
              <w:t>，</w:t>
            </w:r>
            <w:r>
              <w:rPr>
                <w:rFonts w:hint="default"/>
                <w:color w:val="auto"/>
                <w:lang w:eastAsia="zh-CN"/>
              </w:rPr>
              <w:t>应编制环境影响报告表。</w:t>
            </w:r>
          </w:p>
          <w:p w14:paraId="1DA00F70">
            <w:pPr>
              <w:numPr>
                <w:ilvl w:val="0"/>
                <w:numId w:val="3"/>
              </w:numPr>
              <w:bidi w:val="0"/>
              <w:rPr>
                <w:rFonts w:hint="eastAsia"/>
                <w:b/>
                <w:bCs/>
                <w:color w:val="auto"/>
                <w:lang w:val="en-US" w:eastAsia="zh-CN"/>
              </w:rPr>
            </w:pPr>
            <w:r>
              <w:rPr>
                <w:rFonts w:hint="eastAsia"/>
                <w:b/>
                <w:bCs/>
                <w:color w:val="auto"/>
                <w:lang w:val="en-US" w:eastAsia="zh-CN"/>
              </w:rPr>
              <w:t>建设项目概况</w:t>
            </w:r>
          </w:p>
          <w:p w14:paraId="059A12E6">
            <w:pPr>
              <w:pStyle w:val="41"/>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eastAsia="宋体" w:cs="Times New Roman"/>
                <w:bCs w:val="0"/>
                <w:color w:val="auto"/>
                <w:kern w:val="2"/>
                <w:sz w:val="24"/>
                <w:szCs w:val="24"/>
                <w:lang w:val="en-US" w:eastAsia="zh-CN" w:bidi="ar-SA"/>
              </w:rPr>
            </w:pPr>
            <w:r>
              <w:rPr>
                <w:rFonts w:hint="default" w:ascii="Times New Roman" w:hAnsi="Times New Roman" w:eastAsia="宋体" w:cs="Times New Roman"/>
                <w:bCs w:val="0"/>
                <w:color w:val="auto"/>
                <w:kern w:val="2"/>
                <w:sz w:val="24"/>
                <w:szCs w:val="24"/>
                <w:lang w:val="en-US" w:eastAsia="zh-CN" w:bidi="ar-SA"/>
              </w:rPr>
              <w:t>项目名称：</w:t>
            </w:r>
            <w:r>
              <w:rPr>
                <w:rFonts w:hint="eastAsia"/>
                <w:color w:val="auto"/>
                <w:lang w:eastAsia="zh-CN"/>
              </w:rPr>
              <w:t>汇川西部总部及研发中心</w:t>
            </w:r>
          </w:p>
          <w:p w14:paraId="02D3C033">
            <w:pPr>
              <w:pStyle w:val="41"/>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eastAsia="宋体" w:cs="Times New Roman"/>
                <w:bCs w:val="0"/>
                <w:color w:val="auto"/>
                <w:kern w:val="2"/>
                <w:sz w:val="24"/>
                <w:szCs w:val="24"/>
                <w:lang w:val="en-US" w:eastAsia="zh-CN" w:bidi="ar-SA"/>
              </w:rPr>
            </w:pPr>
            <w:r>
              <w:rPr>
                <w:rFonts w:hint="default" w:ascii="Times New Roman" w:hAnsi="Times New Roman" w:eastAsia="宋体" w:cs="Times New Roman"/>
                <w:bCs w:val="0"/>
                <w:color w:val="auto"/>
                <w:kern w:val="2"/>
                <w:sz w:val="24"/>
                <w:szCs w:val="24"/>
                <w:lang w:val="en-US" w:eastAsia="zh-CN" w:bidi="ar-SA"/>
              </w:rPr>
              <w:t>建设性质：</w:t>
            </w:r>
            <w:r>
              <w:rPr>
                <w:rFonts w:hint="eastAsia" w:ascii="Times New Roman" w:hAnsi="Times New Roman" w:eastAsia="宋体" w:cs="Times New Roman"/>
                <w:bCs w:val="0"/>
                <w:color w:val="auto"/>
                <w:kern w:val="2"/>
                <w:sz w:val="24"/>
                <w:szCs w:val="24"/>
                <w:lang w:val="en-US" w:eastAsia="zh-CN" w:bidi="ar-SA"/>
              </w:rPr>
              <w:t>新建</w:t>
            </w:r>
          </w:p>
          <w:p w14:paraId="1081294E">
            <w:pPr>
              <w:pStyle w:val="41"/>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eastAsia="宋体" w:cs="Times New Roman"/>
                <w:bCs w:val="0"/>
                <w:color w:val="auto"/>
                <w:kern w:val="2"/>
                <w:sz w:val="24"/>
                <w:szCs w:val="24"/>
                <w:lang w:val="en-US" w:eastAsia="zh-CN" w:bidi="ar-SA"/>
              </w:rPr>
            </w:pPr>
            <w:r>
              <w:rPr>
                <w:rFonts w:hint="default" w:ascii="Times New Roman" w:hAnsi="Times New Roman" w:eastAsia="宋体" w:cs="Times New Roman"/>
                <w:bCs w:val="0"/>
                <w:color w:val="auto"/>
                <w:kern w:val="2"/>
                <w:sz w:val="24"/>
                <w:szCs w:val="24"/>
                <w:lang w:val="en-US" w:eastAsia="zh-CN" w:bidi="ar-SA"/>
              </w:rPr>
              <w:t>建设单位：</w:t>
            </w:r>
            <w:r>
              <w:rPr>
                <w:rFonts w:hint="eastAsia" w:ascii="Times New Roman" w:hAnsi="Times New Roman" w:eastAsia="宋体" w:cs="Times New Roman"/>
                <w:bCs w:val="0"/>
                <w:color w:val="auto"/>
                <w:kern w:val="2"/>
                <w:sz w:val="24"/>
                <w:szCs w:val="24"/>
                <w:lang w:val="en-US" w:eastAsia="zh-CN" w:bidi="ar-SA"/>
              </w:rPr>
              <w:t>西安汇川技术研发中心有限公司</w:t>
            </w:r>
          </w:p>
          <w:p w14:paraId="461A562E">
            <w:pPr>
              <w:pStyle w:val="41"/>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eastAsia="宋体" w:cs="Times New Roman"/>
                <w:bCs w:val="0"/>
                <w:color w:val="auto"/>
                <w:kern w:val="2"/>
                <w:sz w:val="24"/>
                <w:szCs w:val="24"/>
                <w:lang w:val="en-US" w:eastAsia="zh-CN" w:bidi="ar-SA"/>
              </w:rPr>
            </w:pPr>
            <w:r>
              <w:rPr>
                <w:rFonts w:hint="default" w:ascii="Times New Roman" w:hAnsi="Times New Roman" w:eastAsia="宋体" w:cs="Times New Roman"/>
                <w:bCs w:val="0"/>
                <w:color w:val="auto"/>
                <w:kern w:val="2"/>
                <w:sz w:val="24"/>
                <w:szCs w:val="24"/>
                <w:lang w:val="en-US" w:eastAsia="zh-CN" w:bidi="ar-SA"/>
              </w:rPr>
              <w:t>地理位置：</w:t>
            </w:r>
            <w:r>
              <w:rPr>
                <w:rFonts w:hint="eastAsia"/>
                <w:color w:val="auto"/>
                <w:lang w:val="en-US" w:eastAsia="zh-CN"/>
              </w:rPr>
              <w:t>陕西省西咸新区沣东新城统筹科技资源改革示范基地王寺西街与科源四路交叉口东北方向，</w:t>
            </w:r>
            <w:r>
              <w:rPr>
                <w:rFonts w:hint="default" w:ascii="Times New Roman" w:hAnsi="Times New Roman" w:eastAsia="宋体" w:cs="Times New Roman"/>
                <w:bCs w:val="0"/>
                <w:color w:val="auto"/>
                <w:kern w:val="2"/>
                <w:sz w:val="24"/>
                <w:szCs w:val="24"/>
                <w:lang w:val="en-US" w:eastAsia="zh-CN" w:bidi="ar-SA"/>
              </w:rPr>
              <w:t>项目地中心坐标为经度：E108°4</w:t>
            </w:r>
            <w:r>
              <w:rPr>
                <w:rFonts w:hint="eastAsia" w:ascii="Times New Roman" w:hAnsi="Times New Roman" w:eastAsia="宋体" w:cs="Times New Roman"/>
                <w:bCs w:val="0"/>
                <w:color w:val="auto"/>
                <w:kern w:val="2"/>
                <w:sz w:val="24"/>
                <w:szCs w:val="24"/>
                <w:lang w:val="en-US" w:eastAsia="zh-CN" w:bidi="ar-SA"/>
              </w:rPr>
              <w:t>5</w:t>
            </w:r>
            <w:r>
              <w:rPr>
                <w:rFonts w:hint="default" w:ascii="Times New Roman" w:hAnsi="Times New Roman" w:eastAsia="宋体" w:cs="Times New Roman"/>
                <w:bCs w:val="0"/>
                <w:color w:val="auto"/>
                <w:kern w:val="2"/>
                <w:sz w:val="24"/>
                <w:szCs w:val="24"/>
                <w:lang w:val="en-US" w:eastAsia="zh-CN" w:bidi="ar-SA"/>
              </w:rPr>
              <w:t>′</w:t>
            </w:r>
            <w:r>
              <w:rPr>
                <w:rFonts w:hint="eastAsia" w:cs="Times New Roman"/>
                <w:bCs w:val="0"/>
                <w:color w:val="auto"/>
                <w:kern w:val="2"/>
                <w:sz w:val="24"/>
                <w:szCs w:val="24"/>
                <w:lang w:val="en-US" w:eastAsia="zh-CN" w:bidi="ar-SA"/>
              </w:rPr>
              <w:t>19.109</w:t>
            </w:r>
            <w:r>
              <w:rPr>
                <w:rFonts w:hint="default" w:ascii="Times New Roman" w:hAnsi="Times New Roman" w:eastAsia="宋体" w:cs="Times New Roman"/>
                <w:bCs w:val="0"/>
                <w:color w:val="auto"/>
                <w:kern w:val="2"/>
                <w:sz w:val="24"/>
                <w:szCs w:val="24"/>
                <w:lang w:val="en-US" w:eastAsia="zh-CN" w:bidi="ar-SA"/>
              </w:rPr>
              <w:t>″</w:t>
            </w:r>
            <w:r>
              <w:rPr>
                <w:rFonts w:hint="eastAsia" w:ascii="Times New Roman" w:hAnsi="Times New Roman" w:eastAsia="宋体" w:cs="Times New Roman"/>
                <w:bCs w:val="0"/>
                <w:color w:val="auto"/>
                <w:kern w:val="2"/>
                <w:sz w:val="24"/>
                <w:szCs w:val="24"/>
                <w:lang w:val="en-US" w:eastAsia="zh-CN" w:bidi="ar-SA"/>
              </w:rPr>
              <w:t>，</w:t>
            </w:r>
            <w:r>
              <w:rPr>
                <w:rFonts w:hint="default" w:ascii="Times New Roman" w:hAnsi="Times New Roman" w:eastAsia="宋体" w:cs="Times New Roman"/>
                <w:bCs w:val="0"/>
                <w:color w:val="auto"/>
                <w:kern w:val="2"/>
                <w:sz w:val="24"/>
                <w:szCs w:val="24"/>
                <w:lang w:val="en-US" w:eastAsia="zh-CN" w:bidi="ar-SA"/>
              </w:rPr>
              <w:t>N34°15′</w:t>
            </w:r>
            <w:r>
              <w:rPr>
                <w:rFonts w:hint="eastAsia" w:cs="Times New Roman"/>
                <w:bCs w:val="0"/>
                <w:color w:val="auto"/>
                <w:kern w:val="2"/>
                <w:sz w:val="24"/>
                <w:szCs w:val="24"/>
                <w:lang w:val="en-US" w:eastAsia="zh-CN" w:bidi="ar-SA"/>
              </w:rPr>
              <w:t>26.967</w:t>
            </w:r>
            <w:r>
              <w:rPr>
                <w:rFonts w:hint="default" w:ascii="Times New Roman" w:hAnsi="Times New Roman" w:eastAsia="宋体" w:cs="Times New Roman"/>
                <w:bCs w:val="0"/>
                <w:color w:val="auto"/>
                <w:kern w:val="2"/>
                <w:sz w:val="24"/>
                <w:szCs w:val="24"/>
                <w:lang w:val="en-US" w:eastAsia="zh-CN" w:bidi="ar-SA"/>
              </w:rPr>
              <w:t>″</w:t>
            </w:r>
            <w:r>
              <w:rPr>
                <w:rFonts w:hint="eastAsia" w:ascii="Times New Roman" w:hAnsi="Times New Roman" w:eastAsia="宋体" w:cs="Times New Roman"/>
                <w:bCs w:val="0"/>
                <w:color w:val="auto"/>
                <w:kern w:val="2"/>
                <w:sz w:val="24"/>
                <w:szCs w:val="24"/>
                <w:lang w:val="en-US" w:eastAsia="zh-CN" w:bidi="ar-SA"/>
              </w:rPr>
              <w:t>。</w:t>
            </w:r>
            <w:r>
              <w:rPr>
                <w:rFonts w:hint="default" w:ascii="Times New Roman" w:hAnsi="Times New Roman" w:eastAsia="宋体" w:cs="Times New Roman"/>
                <w:bCs w:val="0"/>
                <w:color w:val="auto"/>
                <w:kern w:val="2"/>
                <w:sz w:val="24"/>
                <w:szCs w:val="24"/>
                <w:lang w:val="en-US" w:eastAsia="zh-CN" w:bidi="ar-SA"/>
              </w:rPr>
              <w:t>具体地理位</w:t>
            </w:r>
            <w:r>
              <w:rPr>
                <w:rFonts w:hint="default" w:ascii="Times New Roman" w:hAnsi="Times New Roman" w:eastAsia="宋体" w:cs="Times New Roman"/>
                <w:bCs w:val="0"/>
                <w:color w:val="auto"/>
                <w:kern w:val="2"/>
                <w:sz w:val="24"/>
                <w:szCs w:val="24"/>
                <w:highlight w:val="none"/>
                <w:lang w:val="en-US" w:eastAsia="zh-CN" w:bidi="ar-SA"/>
              </w:rPr>
              <w:t>置见附图1。</w:t>
            </w:r>
          </w:p>
          <w:p w14:paraId="7B68F928">
            <w:pPr>
              <w:pStyle w:val="41"/>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eastAsia="宋体" w:cs="Times New Roman"/>
                <w:bCs w:val="0"/>
                <w:color w:val="auto"/>
                <w:kern w:val="2"/>
                <w:sz w:val="24"/>
                <w:szCs w:val="24"/>
                <w:lang w:val="en-US" w:eastAsia="zh-CN" w:bidi="ar-SA"/>
              </w:rPr>
            </w:pPr>
            <w:r>
              <w:rPr>
                <w:rFonts w:hint="default" w:ascii="Times New Roman" w:hAnsi="Times New Roman" w:eastAsia="宋体" w:cs="Times New Roman"/>
                <w:bCs w:val="0"/>
                <w:color w:val="auto"/>
                <w:kern w:val="2"/>
                <w:sz w:val="24"/>
                <w:szCs w:val="24"/>
                <w:lang w:val="en-US" w:eastAsia="zh-CN" w:bidi="ar-SA"/>
              </w:rPr>
              <w:t>四邻关系：项目东侧为</w:t>
            </w:r>
            <w:r>
              <w:rPr>
                <w:rFonts w:hint="eastAsia" w:cs="Times New Roman"/>
                <w:bCs w:val="0"/>
                <w:color w:val="auto"/>
                <w:kern w:val="2"/>
                <w:sz w:val="24"/>
                <w:szCs w:val="24"/>
                <w:lang w:val="en-US" w:eastAsia="zh-CN" w:bidi="ar-SA"/>
              </w:rPr>
              <w:t>软通动力一期</w:t>
            </w:r>
            <w:r>
              <w:rPr>
                <w:rFonts w:hint="default" w:ascii="Times New Roman" w:hAnsi="Times New Roman" w:eastAsia="宋体" w:cs="Times New Roman"/>
                <w:bCs w:val="0"/>
                <w:color w:val="auto"/>
                <w:kern w:val="2"/>
                <w:sz w:val="24"/>
                <w:szCs w:val="24"/>
                <w:lang w:val="en-US" w:eastAsia="zh-CN" w:bidi="ar-SA"/>
              </w:rPr>
              <w:t>，南侧为</w:t>
            </w:r>
            <w:r>
              <w:rPr>
                <w:rFonts w:hint="eastAsia" w:ascii="Times New Roman" w:hAnsi="Times New Roman" w:eastAsia="宋体" w:cs="Times New Roman"/>
                <w:bCs w:val="0"/>
                <w:color w:val="auto"/>
                <w:kern w:val="2"/>
                <w:sz w:val="24"/>
                <w:szCs w:val="24"/>
                <w:lang w:val="en-US" w:eastAsia="zh-CN" w:bidi="ar-SA"/>
              </w:rPr>
              <w:t>王寺西街</w:t>
            </w:r>
            <w:r>
              <w:rPr>
                <w:rFonts w:hint="default" w:ascii="Times New Roman" w:hAnsi="Times New Roman" w:eastAsia="宋体" w:cs="Times New Roman"/>
                <w:bCs w:val="0"/>
                <w:color w:val="auto"/>
                <w:kern w:val="2"/>
                <w:sz w:val="24"/>
                <w:szCs w:val="24"/>
                <w:lang w:val="en-US" w:eastAsia="zh-CN" w:bidi="ar-SA"/>
              </w:rPr>
              <w:t>，西侧为</w:t>
            </w:r>
            <w:r>
              <w:rPr>
                <w:rFonts w:hint="eastAsia" w:cs="Times New Roman"/>
                <w:bCs w:val="0"/>
                <w:color w:val="auto"/>
                <w:kern w:val="2"/>
                <w:sz w:val="24"/>
                <w:szCs w:val="24"/>
                <w:lang w:val="en-US" w:eastAsia="zh-CN" w:bidi="ar-SA"/>
              </w:rPr>
              <w:t>科源四路，</w:t>
            </w:r>
            <w:r>
              <w:rPr>
                <w:rFonts w:hint="default" w:ascii="Times New Roman" w:hAnsi="Times New Roman" w:eastAsia="宋体" w:cs="Times New Roman"/>
                <w:bCs w:val="0"/>
                <w:color w:val="auto"/>
                <w:kern w:val="2"/>
                <w:sz w:val="24"/>
                <w:szCs w:val="24"/>
                <w:lang w:val="en-US" w:eastAsia="zh-CN" w:bidi="ar-SA"/>
              </w:rPr>
              <w:t>北侧为</w:t>
            </w:r>
            <w:r>
              <w:rPr>
                <w:rFonts w:hint="eastAsia" w:cs="Times New Roman"/>
                <w:bCs w:val="0"/>
                <w:color w:val="auto"/>
                <w:kern w:val="2"/>
                <w:sz w:val="24"/>
                <w:szCs w:val="24"/>
                <w:lang w:val="en-US" w:eastAsia="zh-CN" w:bidi="ar-SA"/>
              </w:rPr>
              <w:t>空地</w:t>
            </w:r>
            <w:r>
              <w:rPr>
                <w:rFonts w:hint="default" w:ascii="Times New Roman" w:hAnsi="Times New Roman" w:eastAsia="宋体" w:cs="Times New Roman"/>
                <w:bCs w:val="0"/>
                <w:color w:val="auto"/>
                <w:kern w:val="2"/>
                <w:sz w:val="24"/>
                <w:szCs w:val="24"/>
                <w:lang w:val="en-US" w:eastAsia="zh-CN" w:bidi="ar-SA"/>
              </w:rPr>
              <w:t>。四邻关系图</w:t>
            </w:r>
            <w:r>
              <w:rPr>
                <w:rFonts w:hint="default" w:ascii="Times New Roman" w:hAnsi="Times New Roman" w:eastAsia="宋体" w:cs="Times New Roman"/>
                <w:bCs w:val="0"/>
                <w:color w:val="auto"/>
                <w:kern w:val="2"/>
                <w:sz w:val="24"/>
                <w:szCs w:val="24"/>
                <w:highlight w:val="none"/>
                <w:lang w:val="en-US" w:eastAsia="zh-CN" w:bidi="ar-SA"/>
              </w:rPr>
              <w:t>见附图</w:t>
            </w:r>
            <w:r>
              <w:rPr>
                <w:rFonts w:hint="eastAsia" w:cs="Times New Roman"/>
                <w:bCs w:val="0"/>
                <w:color w:val="auto"/>
                <w:kern w:val="2"/>
                <w:sz w:val="24"/>
                <w:szCs w:val="24"/>
                <w:highlight w:val="none"/>
                <w:lang w:val="en-US" w:eastAsia="zh-CN" w:bidi="ar-SA"/>
              </w:rPr>
              <w:t>2</w:t>
            </w:r>
            <w:r>
              <w:rPr>
                <w:rFonts w:hint="default" w:ascii="Times New Roman" w:hAnsi="Times New Roman" w:eastAsia="宋体" w:cs="Times New Roman"/>
                <w:bCs w:val="0"/>
                <w:color w:val="auto"/>
                <w:kern w:val="2"/>
                <w:sz w:val="24"/>
                <w:szCs w:val="24"/>
                <w:highlight w:val="none"/>
                <w:lang w:val="en-US" w:eastAsia="zh-CN" w:bidi="ar-SA"/>
              </w:rPr>
              <w:t>。</w:t>
            </w:r>
          </w:p>
          <w:p w14:paraId="4FF19508">
            <w:pPr>
              <w:keepNext w:val="0"/>
              <w:keepLines w:val="0"/>
              <w:pageBreakBefore w:val="0"/>
              <w:widowControl w:val="0"/>
              <w:kinsoku/>
              <w:wordWrap/>
              <w:overflowPunct/>
              <w:topLinePunct w:val="0"/>
              <w:autoSpaceDE/>
              <w:autoSpaceDN/>
              <w:bidi w:val="0"/>
              <w:spacing w:line="520" w:lineRule="exact"/>
              <w:textAlignment w:val="auto"/>
              <w:rPr>
                <w:rFonts w:hint="default" w:ascii="Times New Roman" w:hAnsi="Times New Roman" w:eastAsia="宋体" w:cs="Times New Roman"/>
                <w:bCs w:val="0"/>
                <w:color w:val="auto"/>
                <w:kern w:val="2"/>
                <w:sz w:val="24"/>
                <w:szCs w:val="24"/>
                <w:lang w:val="en-US" w:eastAsia="zh-CN" w:bidi="ar-SA"/>
              </w:rPr>
            </w:pPr>
            <w:r>
              <w:rPr>
                <w:rFonts w:hint="default" w:ascii="Times New Roman" w:hAnsi="Times New Roman" w:eastAsia="宋体" w:cs="Times New Roman"/>
                <w:bCs w:val="0"/>
                <w:color w:val="auto"/>
                <w:kern w:val="2"/>
                <w:sz w:val="24"/>
                <w:szCs w:val="24"/>
                <w:lang w:val="en-US" w:eastAsia="zh-CN" w:bidi="ar-SA"/>
              </w:rPr>
              <w:t>项目总投资：项目总投资</w:t>
            </w:r>
            <w:r>
              <w:rPr>
                <w:rFonts w:hint="eastAsia" w:cs="Times New Roman"/>
                <w:bCs w:val="0"/>
                <w:color w:val="auto"/>
                <w:kern w:val="2"/>
                <w:sz w:val="24"/>
                <w:szCs w:val="24"/>
                <w:lang w:val="en-US" w:eastAsia="zh-CN" w:bidi="ar-SA"/>
              </w:rPr>
              <w:t>60</w:t>
            </w:r>
            <w:r>
              <w:rPr>
                <w:rFonts w:hint="default" w:ascii="Times New Roman" w:hAnsi="Times New Roman" w:eastAsia="宋体" w:cs="Times New Roman"/>
                <w:bCs w:val="0"/>
                <w:color w:val="auto"/>
                <w:kern w:val="2"/>
                <w:sz w:val="24"/>
                <w:szCs w:val="24"/>
                <w:lang w:val="en-US" w:eastAsia="zh-CN" w:bidi="ar-SA"/>
              </w:rPr>
              <w:t>000万元，其中环</w:t>
            </w:r>
            <w:r>
              <w:rPr>
                <w:rFonts w:hint="default" w:ascii="Times New Roman" w:hAnsi="Times New Roman" w:eastAsia="宋体" w:cs="Times New Roman"/>
                <w:bCs w:val="0"/>
                <w:color w:val="auto"/>
                <w:kern w:val="2"/>
                <w:sz w:val="24"/>
                <w:szCs w:val="24"/>
                <w:highlight w:val="none"/>
                <w:lang w:val="en-US" w:eastAsia="zh-CN" w:bidi="ar-SA"/>
              </w:rPr>
              <w:t>保投资</w:t>
            </w:r>
            <w:r>
              <w:rPr>
                <w:rFonts w:hint="eastAsia" w:cs="Times New Roman"/>
                <w:bCs w:val="0"/>
                <w:color w:val="auto"/>
                <w:kern w:val="2"/>
                <w:sz w:val="24"/>
                <w:szCs w:val="24"/>
                <w:highlight w:val="none"/>
                <w:lang w:val="en-US" w:eastAsia="zh-CN" w:bidi="ar-SA"/>
              </w:rPr>
              <w:t>200</w:t>
            </w:r>
            <w:r>
              <w:rPr>
                <w:rFonts w:hint="default" w:ascii="Times New Roman" w:hAnsi="Times New Roman" w:eastAsia="宋体" w:cs="Times New Roman"/>
                <w:bCs w:val="0"/>
                <w:color w:val="auto"/>
                <w:kern w:val="2"/>
                <w:sz w:val="24"/>
                <w:szCs w:val="24"/>
                <w:highlight w:val="none"/>
                <w:lang w:val="en-US" w:eastAsia="zh-CN" w:bidi="ar-SA"/>
              </w:rPr>
              <w:t>万元，约占</w:t>
            </w:r>
            <w:r>
              <w:rPr>
                <w:rFonts w:hint="default" w:ascii="Times New Roman" w:hAnsi="Times New Roman" w:eastAsia="宋体" w:cs="Times New Roman"/>
                <w:bCs w:val="0"/>
                <w:color w:val="auto"/>
                <w:kern w:val="2"/>
                <w:sz w:val="24"/>
                <w:szCs w:val="24"/>
                <w:lang w:val="en-US" w:eastAsia="zh-CN" w:bidi="ar-SA"/>
              </w:rPr>
              <w:t>总投资的</w:t>
            </w:r>
            <w:r>
              <w:rPr>
                <w:rFonts w:hint="eastAsia" w:cs="Times New Roman"/>
                <w:bCs w:val="0"/>
                <w:color w:val="auto"/>
                <w:kern w:val="2"/>
                <w:sz w:val="24"/>
                <w:szCs w:val="24"/>
                <w:lang w:val="en-US" w:eastAsia="zh-CN" w:bidi="ar-SA"/>
              </w:rPr>
              <w:t>0.33</w:t>
            </w:r>
            <w:r>
              <w:rPr>
                <w:rFonts w:hint="default" w:ascii="Times New Roman" w:hAnsi="Times New Roman" w:eastAsia="宋体" w:cs="Times New Roman"/>
                <w:bCs w:val="0"/>
                <w:color w:val="auto"/>
                <w:kern w:val="2"/>
                <w:sz w:val="24"/>
                <w:szCs w:val="24"/>
                <w:lang w:val="en-US" w:eastAsia="zh-CN" w:bidi="ar-SA"/>
              </w:rPr>
              <w:t>%，</w:t>
            </w:r>
            <w:r>
              <w:rPr>
                <w:rFonts w:hint="eastAsia" w:ascii="宋体" w:hAnsi="宋体" w:cs="宋体"/>
                <w:color w:val="000000"/>
                <w:sz w:val="24"/>
              </w:rPr>
              <w:t>项目资金全部来源于企业自筹资金</w:t>
            </w:r>
            <w:r>
              <w:rPr>
                <w:rFonts w:hint="default" w:ascii="Times New Roman" w:hAnsi="Times New Roman" w:eastAsia="宋体" w:cs="Times New Roman"/>
                <w:bCs w:val="0"/>
                <w:color w:val="auto"/>
                <w:kern w:val="2"/>
                <w:sz w:val="24"/>
                <w:szCs w:val="24"/>
                <w:lang w:val="en-US" w:eastAsia="zh-CN" w:bidi="ar-SA"/>
              </w:rPr>
              <w:t>。</w:t>
            </w:r>
          </w:p>
          <w:p w14:paraId="1FE86D66">
            <w:pPr>
              <w:bidi w:val="0"/>
              <w:rPr>
                <w:rFonts w:hint="default"/>
                <w:b/>
                <w:bCs/>
                <w:color w:val="auto"/>
                <w:lang w:val="en-US" w:eastAsia="zh-CN"/>
              </w:rPr>
            </w:pPr>
            <w:r>
              <w:rPr>
                <w:rFonts w:hint="eastAsia"/>
                <w:b/>
                <w:bCs/>
                <w:color w:val="auto"/>
                <w:lang w:val="en-US" w:eastAsia="zh-CN"/>
              </w:rPr>
              <w:t>3</w:t>
            </w:r>
            <w:r>
              <w:rPr>
                <w:rFonts w:hint="default"/>
                <w:b/>
                <w:bCs/>
                <w:color w:val="auto"/>
                <w:lang w:val="en-US" w:eastAsia="zh-CN"/>
              </w:rPr>
              <w:t>、</w:t>
            </w:r>
            <w:r>
              <w:rPr>
                <w:b/>
                <w:bCs w:val="0"/>
              </w:rPr>
              <w:t>项目</w:t>
            </w:r>
            <w:r>
              <w:rPr>
                <w:rFonts w:hint="eastAsia"/>
                <w:b/>
                <w:bCs w:val="0"/>
              </w:rPr>
              <w:t>建设内容</w:t>
            </w:r>
          </w:p>
          <w:p w14:paraId="30EA7A08">
            <w:pPr>
              <w:pStyle w:val="41"/>
              <w:keepNext w:val="0"/>
              <w:keepLines w:val="0"/>
              <w:pageBreakBefore w:val="0"/>
              <w:widowControl w:val="0"/>
              <w:kinsoku/>
              <w:wordWrap/>
              <w:overflowPunct/>
              <w:topLinePunct w:val="0"/>
              <w:autoSpaceDE/>
              <w:autoSpaceDN/>
              <w:bidi w:val="0"/>
              <w:spacing w:line="520" w:lineRule="exact"/>
              <w:ind w:firstLine="480"/>
              <w:textAlignment w:val="auto"/>
              <w:rPr>
                <w:color w:val="auto"/>
              </w:rPr>
            </w:pPr>
            <w:r>
              <w:rPr>
                <w:rFonts w:hint="default" w:ascii="Times New Roman" w:hAnsi="Times New Roman" w:eastAsia="宋体" w:cs="Times New Roman"/>
                <w:bCs w:val="0"/>
                <w:color w:val="auto"/>
                <w:kern w:val="2"/>
                <w:sz w:val="24"/>
                <w:szCs w:val="24"/>
                <w:lang w:val="en-US" w:eastAsia="zh-CN" w:bidi="ar-SA"/>
              </w:rPr>
              <w:t>本项目</w:t>
            </w:r>
            <w:r>
              <w:rPr>
                <w:rFonts w:hint="eastAsia" w:ascii="Times New Roman" w:hAnsi="Times New Roman" w:eastAsia="宋体" w:cs="Times New Roman"/>
                <w:bCs w:val="0"/>
                <w:color w:val="auto"/>
                <w:kern w:val="2"/>
                <w:sz w:val="24"/>
                <w:szCs w:val="24"/>
                <w:lang w:val="en-US" w:eastAsia="zh-CN" w:bidi="ar-SA"/>
              </w:rPr>
              <w:t>购置土地31亩，建设汇川西部总部及研发中心，项目主要建设内</w:t>
            </w:r>
            <w:r>
              <w:rPr>
                <w:rFonts w:hint="eastAsia"/>
                <w:color w:val="auto"/>
              </w:rPr>
              <w:t>容</w:t>
            </w:r>
            <w:r>
              <w:rPr>
                <w:color w:val="auto"/>
              </w:rPr>
              <w:t>具体见表</w:t>
            </w:r>
            <w:r>
              <w:rPr>
                <w:rFonts w:hint="eastAsia"/>
                <w:color w:val="auto"/>
              </w:rPr>
              <w:t>2-1</w:t>
            </w:r>
            <w:r>
              <w:rPr>
                <w:color w:val="auto"/>
              </w:rPr>
              <w:t>。</w:t>
            </w:r>
          </w:p>
          <w:p w14:paraId="7F4485B8">
            <w:pPr>
              <w:pStyle w:val="24"/>
              <w:bidi w:val="0"/>
              <w:rPr>
                <w:rFonts w:hint="eastAsia"/>
                <w:color w:val="auto"/>
                <w:sz w:val="24"/>
                <w:szCs w:val="24"/>
              </w:rPr>
            </w:pPr>
            <w:r>
              <w:rPr>
                <w:rFonts w:hint="eastAsia"/>
                <w:color w:val="auto"/>
                <w:sz w:val="24"/>
                <w:szCs w:val="24"/>
              </w:rPr>
              <w:t>表2-1  项目主要建设内容一览表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4"/>
              <w:gridCol w:w="944"/>
              <w:gridCol w:w="5693"/>
              <w:gridCol w:w="900"/>
            </w:tblGrid>
            <w:tr w14:paraId="1200C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42" w:type="pct"/>
                  <w:noWrap w:val="0"/>
                  <w:vAlign w:val="center"/>
                </w:tcPr>
                <w:p w14:paraId="2795570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b/>
                      <w:bCs/>
                      <w:color w:val="auto"/>
                      <w:sz w:val="21"/>
                      <w:szCs w:val="21"/>
                      <w:lang w:val="en-US" w:eastAsia="zh-CN"/>
                    </w:rPr>
                  </w:pPr>
                  <w:r>
                    <w:rPr>
                      <w:rFonts w:hint="eastAsia"/>
                      <w:b/>
                      <w:bCs/>
                      <w:color w:val="auto"/>
                      <w:sz w:val="21"/>
                      <w:szCs w:val="21"/>
                      <w:lang w:val="en-US" w:eastAsia="zh-CN"/>
                    </w:rPr>
                    <w:t>项目组成</w:t>
                  </w:r>
                </w:p>
              </w:tc>
              <w:tc>
                <w:tcPr>
                  <w:tcW w:w="583" w:type="pct"/>
                  <w:noWrap w:val="0"/>
                  <w:vAlign w:val="center"/>
                </w:tcPr>
                <w:p w14:paraId="070427E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b/>
                      <w:bCs/>
                      <w:color w:val="auto"/>
                      <w:sz w:val="21"/>
                      <w:szCs w:val="21"/>
                      <w:lang w:val="en-US" w:eastAsia="zh-CN"/>
                    </w:rPr>
                  </w:pPr>
                  <w:r>
                    <w:rPr>
                      <w:rFonts w:hint="eastAsia"/>
                      <w:b/>
                      <w:bCs/>
                      <w:color w:val="auto"/>
                      <w:sz w:val="21"/>
                      <w:szCs w:val="21"/>
                      <w:lang w:val="en-US" w:eastAsia="zh-CN"/>
                    </w:rPr>
                    <w:t>名称</w:t>
                  </w:r>
                </w:p>
              </w:tc>
              <w:tc>
                <w:tcPr>
                  <w:tcW w:w="3518" w:type="pct"/>
                  <w:noWrap w:val="0"/>
                  <w:vAlign w:val="center"/>
                </w:tcPr>
                <w:p w14:paraId="3E5A525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b/>
                      <w:bCs/>
                      <w:color w:val="auto"/>
                      <w:sz w:val="21"/>
                      <w:szCs w:val="21"/>
                      <w:lang w:val="en-US" w:eastAsia="zh-CN"/>
                    </w:rPr>
                  </w:pPr>
                  <w:r>
                    <w:rPr>
                      <w:rFonts w:hint="eastAsia"/>
                      <w:b/>
                      <w:bCs/>
                      <w:color w:val="auto"/>
                      <w:sz w:val="21"/>
                      <w:szCs w:val="21"/>
                      <w:lang w:val="en-US" w:eastAsia="zh-CN"/>
                    </w:rPr>
                    <w:t>建设内容</w:t>
                  </w:r>
                </w:p>
              </w:tc>
              <w:tc>
                <w:tcPr>
                  <w:tcW w:w="556" w:type="pct"/>
                  <w:noWrap w:val="0"/>
                  <w:vAlign w:val="center"/>
                </w:tcPr>
                <w:p w14:paraId="453A280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b/>
                      <w:bCs/>
                      <w:color w:val="auto"/>
                      <w:sz w:val="21"/>
                      <w:szCs w:val="21"/>
                      <w:lang w:val="en-US" w:eastAsia="zh-CN"/>
                    </w:rPr>
                  </w:pPr>
                  <w:r>
                    <w:rPr>
                      <w:rFonts w:hint="eastAsia"/>
                      <w:b/>
                      <w:bCs/>
                      <w:color w:val="auto"/>
                      <w:sz w:val="21"/>
                      <w:szCs w:val="21"/>
                      <w:lang w:val="en-US" w:eastAsia="zh-CN"/>
                    </w:rPr>
                    <w:t>备注</w:t>
                  </w:r>
                </w:p>
              </w:tc>
            </w:tr>
            <w:tr w14:paraId="6EB8F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4" w:hRule="atLeast"/>
                <w:jc w:val="center"/>
              </w:trPr>
              <w:tc>
                <w:tcPr>
                  <w:tcW w:w="342" w:type="pct"/>
                  <w:vMerge w:val="restart"/>
                  <w:noWrap w:val="0"/>
                  <w:vAlign w:val="center"/>
                </w:tcPr>
                <w:p w14:paraId="6E36A8B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主体工程</w:t>
                  </w:r>
                </w:p>
                <w:p w14:paraId="590B490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宋体"/>
                      <w:color w:val="auto"/>
                      <w:lang w:val="en-US" w:eastAsia="zh-CN"/>
                    </w:rPr>
                  </w:pPr>
                </w:p>
              </w:tc>
              <w:tc>
                <w:tcPr>
                  <w:tcW w:w="583" w:type="pct"/>
                  <w:noWrap w:val="0"/>
                  <w:vAlign w:val="center"/>
                </w:tcPr>
                <w:p w14:paraId="581D642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1#综合楼</w:t>
                  </w:r>
                </w:p>
              </w:tc>
              <w:tc>
                <w:tcPr>
                  <w:tcW w:w="3518" w:type="pct"/>
                  <w:noWrap w:val="0"/>
                  <w:vAlign w:val="center"/>
                </w:tcPr>
                <w:p w14:paraId="3DA8156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default"/>
                      <w:color w:val="auto"/>
                      <w:sz w:val="21"/>
                      <w:szCs w:val="21"/>
                      <w:vertAlign w:val="baseline"/>
                      <w:lang w:val="en-US" w:eastAsia="zh-CN"/>
                    </w:rPr>
                  </w:pPr>
                  <w:r>
                    <w:rPr>
                      <w:rFonts w:hint="eastAsia"/>
                      <w:color w:val="auto"/>
                      <w:sz w:val="21"/>
                      <w:szCs w:val="21"/>
                      <w:lang w:val="en-US" w:eastAsia="zh-CN"/>
                    </w:rPr>
                    <w:t>建筑层数：地上13层，地下1层；建筑面积约34272.91m</w:t>
                  </w:r>
                  <w:r>
                    <w:rPr>
                      <w:rFonts w:hint="eastAsia"/>
                      <w:color w:val="auto"/>
                      <w:sz w:val="21"/>
                      <w:szCs w:val="21"/>
                      <w:vertAlign w:val="superscript"/>
                      <w:lang w:val="en-US" w:eastAsia="zh-CN"/>
                    </w:rPr>
                    <w:t>2</w:t>
                  </w:r>
                  <w:r>
                    <w:rPr>
                      <w:rFonts w:hint="eastAsia"/>
                      <w:color w:val="auto"/>
                      <w:sz w:val="21"/>
                      <w:szCs w:val="21"/>
                      <w:lang w:val="en-US" w:eastAsia="zh-CN"/>
                    </w:rPr>
                    <w:t>，主要用于办公和研发实验，设置能源产品研发中心、控制产品测试部、整机工程中心、办公和餐厅。其中：1#楼北侧及东北角，主要设置能源产品研发中心、控制产品测试部、整机工程中心等科研中心（共13层），主要进行的公司设备研发和测试，建筑面积为33448.62m</w:t>
                  </w:r>
                  <w:r>
                    <w:rPr>
                      <w:rFonts w:hint="eastAsia"/>
                      <w:color w:val="auto"/>
                      <w:sz w:val="21"/>
                      <w:szCs w:val="21"/>
                      <w:vertAlign w:val="superscript"/>
                      <w:lang w:val="en-US" w:eastAsia="zh-CN"/>
                    </w:rPr>
                    <w:t>2</w:t>
                  </w:r>
                  <w:r>
                    <w:rPr>
                      <w:rFonts w:hint="eastAsia"/>
                      <w:color w:val="auto"/>
                      <w:sz w:val="21"/>
                      <w:szCs w:val="21"/>
                      <w:vertAlign w:val="baseline"/>
                      <w:lang w:val="en-US" w:eastAsia="zh-CN"/>
                    </w:rPr>
                    <w:t>；1#楼裙房（共2层），设置餐厅厨房、展厅等辅助用房。</w:t>
                  </w:r>
                </w:p>
              </w:tc>
              <w:tc>
                <w:tcPr>
                  <w:tcW w:w="556" w:type="pct"/>
                  <w:noWrap w:val="0"/>
                  <w:vAlign w:val="center"/>
                </w:tcPr>
                <w:p w14:paraId="487CC5C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新建</w:t>
                  </w:r>
                </w:p>
              </w:tc>
            </w:tr>
            <w:tr w14:paraId="35144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2" w:hRule="atLeast"/>
                <w:jc w:val="center"/>
              </w:trPr>
              <w:tc>
                <w:tcPr>
                  <w:tcW w:w="342" w:type="pct"/>
                  <w:vMerge w:val="continue"/>
                  <w:noWrap w:val="0"/>
                  <w:vAlign w:val="center"/>
                </w:tcPr>
                <w:p w14:paraId="663772A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宋体"/>
                      <w:color w:val="auto"/>
                      <w:lang w:val="en-US" w:eastAsia="zh-CN"/>
                    </w:rPr>
                  </w:pPr>
                </w:p>
              </w:tc>
              <w:tc>
                <w:tcPr>
                  <w:tcW w:w="583" w:type="pct"/>
                  <w:noWrap w:val="0"/>
                  <w:vAlign w:val="center"/>
                </w:tcPr>
                <w:p w14:paraId="1A719AC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宋体"/>
                      <w:color w:val="auto"/>
                      <w:lang w:val="en-US" w:eastAsia="zh-CN"/>
                    </w:rPr>
                  </w:pPr>
                  <w:r>
                    <w:rPr>
                      <w:rFonts w:hint="eastAsia"/>
                      <w:color w:val="auto"/>
                      <w:sz w:val="21"/>
                      <w:szCs w:val="21"/>
                      <w:lang w:val="en-US" w:eastAsia="zh-CN"/>
                    </w:rPr>
                    <w:t>2#停车楼</w:t>
                  </w:r>
                </w:p>
              </w:tc>
              <w:tc>
                <w:tcPr>
                  <w:tcW w:w="3518" w:type="pct"/>
                  <w:noWrap w:val="0"/>
                  <w:vAlign w:val="center"/>
                </w:tcPr>
                <w:p w14:paraId="6C024EB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default"/>
                      <w:color w:val="auto"/>
                      <w:sz w:val="21"/>
                      <w:szCs w:val="21"/>
                      <w:lang w:val="en-US" w:eastAsia="zh-CN"/>
                    </w:rPr>
                  </w:pPr>
                  <w:r>
                    <w:rPr>
                      <w:rFonts w:hint="eastAsia"/>
                      <w:color w:val="auto"/>
                      <w:sz w:val="21"/>
                      <w:szCs w:val="21"/>
                      <w:lang w:val="en-US" w:eastAsia="zh-CN"/>
                    </w:rPr>
                    <w:t>建筑层数：地上6层，地下1层；建筑面积约18038.51m</w:t>
                  </w:r>
                  <w:r>
                    <w:rPr>
                      <w:rFonts w:hint="eastAsia"/>
                      <w:color w:val="auto"/>
                      <w:sz w:val="21"/>
                      <w:szCs w:val="21"/>
                      <w:vertAlign w:val="superscript"/>
                      <w:lang w:val="en-US" w:eastAsia="zh-CN"/>
                    </w:rPr>
                    <w:t>2</w:t>
                  </w:r>
                  <w:r>
                    <w:rPr>
                      <w:rFonts w:hint="eastAsia"/>
                      <w:color w:val="auto"/>
                      <w:sz w:val="21"/>
                      <w:szCs w:val="21"/>
                      <w:lang w:val="en-US" w:eastAsia="zh-CN"/>
                    </w:rPr>
                    <w:t>，主要用于停车和科研办公，在停车楼一层设置科研办公场所，主要进行电机控制器测试、变流器测试、产品震动及环境可靠性测试；其他楼层用于停放车辆。</w:t>
                  </w:r>
                </w:p>
              </w:tc>
              <w:tc>
                <w:tcPr>
                  <w:tcW w:w="556" w:type="pct"/>
                  <w:noWrap w:val="0"/>
                  <w:vAlign w:val="center"/>
                </w:tcPr>
                <w:p w14:paraId="40C8F95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新建</w:t>
                  </w:r>
                </w:p>
              </w:tc>
            </w:tr>
            <w:tr w14:paraId="03614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42" w:type="pct"/>
                  <w:vMerge w:val="restart"/>
                  <w:noWrap w:val="0"/>
                  <w:vAlign w:val="center"/>
                </w:tcPr>
                <w:p w14:paraId="6EB8614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lang w:val="en-US"/>
                    </w:rPr>
                  </w:pPr>
                  <w:r>
                    <w:rPr>
                      <w:rFonts w:hint="eastAsia"/>
                      <w:color w:val="auto"/>
                      <w:sz w:val="21"/>
                      <w:szCs w:val="21"/>
                      <w:lang w:val="en-US" w:eastAsia="zh-CN"/>
                    </w:rPr>
                    <w:t>辅助工程</w:t>
                  </w:r>
                </w:p>
              </w:tc>
              <w:tc>
                <w:tcPr>
                  <w:tcW w:w="583" w:type="pct"/>
                  <w:noWrap w:val="0"/>
                  <w:vAlign w:val="center"/>
                </w:tcPr>
                <w:p w14:paraId="5A82DE9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default"/>
                      <w:color w:val="auto"/>
                      <w:sz w:val="21"/>
                      <w:szCs w:val="21"/>
                      <w:lang w:val="en-US" w:eastAsia="zh-CN"/>
                    </w:rPr>
                  </w:pPr>
                  <w:r>
                    <w:rPr>
                      <w:rFonts w:hint="eastAsia"/>
                      <w:color w:val="auto"/>
                      <w:sz w:val="21"/>
                      <w:szCs w:val="21"/>
                      <w:lang w:val="en-US" w:eastAsia="zh-CN"/>
                    </w:rPr>
                    <w:t>3#主门卫</w:t>
                  </w:r>
                </w:p>
              </w:tc>
              <w:tc>
                <w:tcPr>
                  <w:tcW w:w="3518" w:type="pct"/>
                  <w:noWrap w:val="0"/>
                  <w:vAlign w:val="center"/>
                </w:tcPr>
                <w:p w14:paraId="3D794E0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lang w:val="en-US" w:eastAsia="zh-CN"/>
                    </w:rPr>
                  </w:pPr>
                  <w:r>
                    <w:rPr>
                      <w:rFonts w:hint="eastAsia"/>
                      <w:color w:val="auto"/>
                      <w:sz w:val="21"/>
                      <w:szCs w:val="21"/>
                      <w:lang w:val="en-US" w:eastAsia="zh-CN"/>
                    </w:rPr>
                    <w:t>位于项目的南侧，主门入口处，主要用于保障安全进出、维护秩序、规范人员、服务提供等。</w:t>
                  </w:r>
                </w:p>
              </w:tc>
              <w:tc>
                <w:tcPr>
                  <w:tcW w:w="556" w:type="pct"/>
                  <w:noWrap w:val="0"/>
                  <w:vAlign w:val="center"/>
                </w:tcPr>
                <w:p w14:paraId="1D64DA3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新建</w:t>
                  </w:r>
                </w:p>
              </w:tc>
            </w:tr>
            <w:tr w14:paraId="4B316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0" w:hRule="atLeast"/>
                <w:jc w:val="center"/>
              </w:trPr>
              <w:tc>
                <w:tcPr>
                  <w:tcW w:w="342" w:type="pct"/>
                  <w:vMerge w:val="continue"/>
                  <w:noWrap w:val="0"/>
                  <w:vAlign w:val="center"/>
                </w:tcPr>
                <w:p w14:paraId="6DC9038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lang w:val="en-US"/>
                    </w:rPr>
                  </w:pPr>
                </w:p>
              </w:tc>
              <w:tc>
                <w:tcPr>
                  <w:tcW w:w="583" w:type="pct"/>
                  <w:noWrap w:val="0"/>
                  <w:vAlign w:val="center"/>
                </w:tcPr>
                <w:p w14:paraId="387F589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宋体"/>
                      <w:color w:val="auto"/>
                      <w:lang w:val="en-US" w:eastAsia="zh-CN"/>
                    </w:rPr>
                  </w:pPr>
                  <w:r>
                    <w:rPr>
                      <w:rFonts w:hint="eastAsia"/>
                      <w:color w:val="auto"/>
                      <w:sz w:val="21"/>
                      <w:szCs w:val="21"/>
                      <w:lang w:val="en-US" w:eastAsia="zh-CN"/>
                    </w:rPr>
                    <w:t>4#次门卫</w:t>
                  </w:r>
                </w:p>
              </w:tc>
              <w:tc>
                <w:tcPr>
                  <w:tcW w:w="3518" w:type="pct"/>
                  <w:noWrap w:val="0"/>
                  <w:vAlign w:val="center"/>
                </w:tcPr>
                <w:p w14:paraId="5137A97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lang w:val="en-US" w:eastAsia="zh-CN"/>
                    </w:rPr>
                  </w:pPr>
                  <w:r>
                    <w:rPr>
                      <w:rFonts w:hint="eastAsia"/>
                      <w:color w:val="auto"/>
                      <w:sz w:val="21"/>
                      <w:szCs w:val="21"/>
                      <w:lang w:val="en-US" w:eastAsia="zh-CN"/>
                    </w:rPr>
                    <w:t>位于项目的西北侧，侧门入口处，主要用于保障安全进出、维护秩序、规范人员、服务提供等。</w:t>
                  </w:r>
                </w:p>
              </w:tc>
              <w:tc>
                <w:tcPr>
                  <w:tcW w:w="556" w:type="pct"/>
                  <w:noWrap w:val="0"/>
                  <w:vAlign w:val="center"/>
                </w:tcPr>
                <w:p w14:paraId="64F9B24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新建</w:t>
                  </w:r>
                </w:p>
              </w:tc>
            </w:tr>
            <w:tr w14:paraId="3A9F7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0" w:hRule="atLeast"/>
                <w:jc w:val="center"/>
              </w:trPr>
              <w:tc>
                <w:tcPr>
                  <w:tcW w:w="342" w:type="pct"/>
                  <w:vMerge w:val="continue"/>
                  <w:noWrap w:val="0"/>
                  <w:vAlign w:val="center"/>
                </w:tcPr>
                <w:p w14:paraId="3DC9392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lang w:val="en-US"/>
                    </w:rPr>
                  </w:pPr>
                </w:p>
              </w:tc>
              <w:tc>
                <w:tcPr>
                  <w:tcW w:w="583" w:type="pct"/>
                  <w:noWrap w:val="0"/>
                  <w:vAlign w:val="center"/>
                </w:tcPr>
                <w:p w14:paraId="6E63EDC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vertAlign w:val="baseline"/>
                      <w:lang w:val="en-US" w:eastAsia="zh-CN"/>
                    </w:rPr>
                    <w:t>餐厅厨房、展厅等</w:t>
                  </w:r>
                </w:p>
              </w:tc>
              <w:tc>
                <w:tcPr>
                  <w:tcW w:w="3518" w:type="pct"/>
                  <w:noWrap w:val="0"/>
                  <w:vAlign w:val="center"/>
                </w:tcPr>
                <w:p w14:paraId="369BD34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位于1#楼裙房（共2层），主要用于人员就餐，产品展示和人员洽谈等辅助用房；餐厅餐厅分布在一楼和地下负一层，共两层，一楼面积为824m</w:t>
                  </w:r>
                  <w:r>
                    <w:rPr>
                      <w:rFonts w:hint="eastAsia"/>
                      <w:color w:val="auto"/>
                      <w:sz w:val="21"/>
                      <w:szCs w:val="21"/>
                      <w:vertAlign w:val="superscript"/>
                      <w:lang w:val="en-US" w:eastAsia="zh-CN"/>
                    </w:rPr>
                    <w:t>2</w:t>
                  </w:r>
                  <w:r>
                    <w:rPr>
                      <w:rFonts w:hint="eastAsia"/>
                      <w:color w:val="auto"/>
                      <w:sz w:val="21"/>
                      <w:szCs w:val="21"/>
                      <w:vertAlign w:val="baseline"/>
                      <w:lang w:val="en-US" w:eastAsia="zh-CN"/>
                    </w:rPr>
                    <w:t>，地下负一层的面积为2470m</w:t>
                  </w:r>
                  <w:r>
                    <w:rPr>
                      <w:rFonts w:hint="eastAsia"/>
                      <w:color w:val="auto"/>
                      <w:sz w:val="21"/>
                      <w:szCs w:val="21"/>
                      <w:vertAlign w:val="superscript"/>
                      <w:lang w:val="en-US" w:eastAsia="zh-CN"/>
                    </w:rPr>
                    <w:t>2</w:t>
                  </w:r>
                  <w:r>
                    <w:rPr>
                      <w:rFonts w:hint="eastAsia"/>
                      <w:color w:val="auto"/>
                      <w:sz w:val="21"/>
                      <w:szCs w:val="21"/>
                      <w:vertAlign w:val="baseline"/>
                      <w:lang w:val="en-US" w:eastAsia="zh-CN"/>
                    </w:rPr>
                    <w:t>，餐厅餐厅使用天然气作为能源。</w:t>
                  </w:r>
                </w:p>
              </w:tc>
              <w:tc>
                <w:tcPr>
                  <w:tcW w:w="556" w:type="pct"/>
                  <w:noWrap w:val="0"/>
                  <w:vAlign w:val="center"/>
                </w:tcPr>
                <w:p w14:paraId="6FD4D05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新建</w:t>
                  </w:r>
                </w:p>
              </w:tc>
            </w:tr>
            <w:tr w14:paraId="73BA3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42" w:type="pct"/>
                  <w:vMerge w:val="restart"/>
                  <w:noWrap w:val="0"/>
                  <w:vAlign w:val="center"/>
                </w:tcPr>
                <w:p w14:paraId="7B7C6BA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储运工程</w:t>
                  </w:r>
                </w:p>
              </w:tc>
              <w:tc>
                <w:tcPr>
                  <w:tcW w:w="583" w:type="pct"/>
                  <w:shd w:val="clear" w:color="auto" w:fill="auto"/>
                  <w:noWrap w:val="0"/>
                  <w:vAlign w:val="center"/>
                </w:tcPr>
                <w:p w14:paraId="5587D80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行政库房</w:t>
                  </w:r>
                </w:p>
              </w:tc>
              <w:tc>
                <w:tcPr>
                  <w:tcW w:w="3518" w:type="pct"/>
                  <w:shd w:val="clear" w:color="auto" w:fill="auto"/>
                  <w:noWrap w:val="0"/>
                  <w:vAlign w:val="center"/>
                </w:tcPr>
                <w:p w14:paraId="398989C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位于1</w:t>
                  </w:r>
                  <w:r>
                    <w:rPr>
                      <w:rFonts w:hint="eastAsia"/>
                      <w:color w:val="auto"/>
                      <w:sz w:val="21"/>
                      <w:szCs w:val="21"/>
                      <w:vertAlign w:val="baseline"/>
                      <w:lang w:val="en-US" w:eastAsia="zh-CN"/>
                    </w:rPr>
                    <w:t>#楼</w:t>
                  </w:r>
                  <w:r>
                    <w:rPr>
                      <w:rFonts w:hint="eastAsia"/>
                      <w:color w:val="auto"/>
                      <w:sz w:val="21"/>
                      <w:szCs w:val="21"/>
                      <w:lang w:val="en-US" w:eastAsia="zh-CN"/>
                    </w:rPr>
                    <w:t>一层西侧，主要用于行政办公用品的暂存。</w:t>
                  </w:r>
                </w:p>
              </w:tc>
              <w:tc>
                <w:tcPr>
                  <w:tcW w:w="556" w:type="pct"/>
                  <w:noWrap w:val="0"/>
                  <w:vAlign w:val="center"/>
                </w:tcPr>
                <w:p w14:paraId="2EE600B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新建</w:t>
                  </w:r>
                </w:p>
              </w:tc>
            </w:tr>
            <w:tr w14:paraId="7EF7E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42" w:type="pct"/>
                  <w:vMerge w:val="continue"/>
                  <w:noWrap w:val="0"/>
                  <w:vAlign w:val="center"/>
                </w:tcPr>
                <w:p w14:paraId="7183501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p>
              </w:tc>
              <w:tc>
                <w:tcPr>
                  <w:tcW w:w="583" w:type="pct"/>
                  <w:shd w:val="clear" w:color="auto" w:fill="auto"/>
                  <w:noWrap w:val="0"/>
                  <w:vAlign w:val="center"/>
                </w:tcPr>
                <w:p w14:paraId="0246B8B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库房</w:t>
                  </w:r>
                </w:p>
              </w:tc>
              <w:tc>
                <w:tcPr>
                  <w:tcW w:w="3518" w:type="pct"/>
                  <w:shd w:val="clear" w:color="auto" w:fill="auto"/>
                  <w:noWrap w:val="0"/>
                  <w:vAlign w:val="center"/>
                </w:tcPr>
                <w:p w14:paraId="327A99A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default"/>
                      <w:color w:val="auto"/>
                      <w:sz w:val="21"/>
                      <w:szCs w:val="21"/>
                      <w:lang w:val="en-US" w:eastAsia="zh-CN"/>
                    </w:rPr>
                  </w:pPr>
                  <w:r>
                    <w:rPr>
                      <w:rFonts w:hint="eastAsia"/>
                      <w:color w:val="auto"/>
                      <w:sz w:val="21"/>
                      <w:szCs w:val="21"/>
                      <w:lang w:val="en-US" w:eastAsia="zh-CN"/>
                    </w:rPr>
                    <w:t>位于1</w:t>
                  </w:r>
                  <w:r>
                    <w:rPr>
                      <w:rFonts w:hint="eastAsia"/>
                      <w:color w:val="auto"/>
                      <w:sz w:val="21"/>
                      <w:szCs w:val="21"/>
                      <w:vertAlign w:val="baseline"/>
                      <w:lang w:val="en-US" w:eastAsia="zh-CN"/>
                    </w:rPr>
                    <w:t>#楼</w:t>
                  </w:r>
                  <w:r>
                    <w:rPr>
                      <w:rFonts w:hint="eastAsia"/>
                      <w:color w:val="auto"/>
                      <w:sz w:val="21"/>
                      <w:szCs w:val="21"/>
                      <w:lang w:val="en-US" w:eastAsia="zh-CN"/>
                    </w:rPr>
                    <w:t>一层北侧，主要用于实验用品的暂存。</w:t>
                  </w:r>
                </w:p>
              </w:tc>
              <w:tc>
                <w:tcPr>
                  <w:tcW w:w="556" w:type="pct"/>
                  <w:noWrap w:val="0"/>
                  <w:vAlign w:val="center"/>
                </w:tcPr>
                <w:p w14:paraId="01E3FF1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新建</w:t>
                  </w:r>
                </w:p>
              </w:tc>
            </w:tr>
            <w:tr w14:paraId="56F1B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342" w:type="pct"/>
                  <w:vMerge w:val="continue"/>
                  <w:noWrap w:val="0"/>
                  <w:vAlign w:val="center"/>
                </w:tcPr>
                <w:p w14:paraId="418EF10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p>
              </w:tc>
              <w:tc>
                <w:tcPr>
                  <w:tcW w:w="583" w:type="pct"/>
                  <w:noWrap w:val="0"/>
                  <w:vAlign w:val="center"/>
                </w:tcPr>
                <w:p w14:paraId="3C24F85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IT库房</w:t>
                  </w:r>
                </w:p>
              </w:tc>
              <w:tc>
                <w:tcPr>
                  <w:tcW w:w="3518" w:type="pct"/>
                  <w:noWrap w:val="0"/>
                  <w:vAlign w:val="center"/>
                </w:tcPr>
                <w:p w14:paraId="74E19A4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default"/>
                      <w:color w:val="auto"/>
                      <w:sz w:val="21"/>
                      <w:szCs w:val="21"/>
                      <w:lang w:val="en-US" w:eastAsia="zh-CN"/>
                    </w:rPr>
                  </w:pPr>
                  <w:r>
                    <w:rPr>
                      <w:rFonts w:hint="eastAsia"/>
                      <w:color w:val="auto"/>
                      <w:sz w:val="21"/>
                      <w:szCs w:val="21"/>
                      <w:lang w:val="en-US" w:eastAsia="zh-CN"/>
                    </w:rPr>
                    <w:t>位于1</w:t>
                  </w:r>
                  <w:r>
                    <w:rPr>
                      <w:rFonts w:hint="eastAsia"/>
                      <w:color w:val="auto"/>
                      <w:sz w:val="21"/>
                      <w:szCs w:val="21"/>
                      <w:vertAlign w:val="baseline"/>
                      <w:lang w:val="en-US" w:eastAsia="zh-CN"/>
                    </w:rPr>
                    <w:t>#楼三层北侧，主要用于IT实验测试研发用品的存放。</w:t>
                  </w:r>
                </w:p>
              </w:tc>
              <w:tc>
                <w:tcPr>
                  <w:tcW w:w="556" w:type="pct"/>
                  <w:noWrap w:val="0"/>
                  <w:vAlign w:val="center"/>
                </w:tcPr>
                <w:p w14:paraId="6DC91B8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新建</w:t>
                  </w:r>
                </w:p>
              </w:tc>
            </w:tr>
            <w:tr w14:paraId="5C92F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42" w:type="pct"/>
                  <w:vMerge w:val="restart"/>
                  <w:noWrap w:val="0"/>
                  <w:vAlign w:val="center"/>
                </w:tcPr>
                <w:p w14:paraId="3D7D300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公用工程</w:t>
                  </w:r>
                </w:p>
              </w:tc>
              <w:tc>
                <w:tcPr>
                  <w:tcW w:w="583" w:type="pct"/>
                  <w:noWrap w:val="0"/>
                  <w:vAlign w:val="center"/>
                </w:tcPr>
                <w:p w14:paraId="78F0C04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给水</w:t>
                  </w:r>
                </w:p>
              </w:tc>
              <w:tc>
                <w:tcPr>
                  <w:tcW w:w="3518" w:type="pct"/>
                  <w:noWrap w:val="0"/>
                  <w:vAlign w:val="center"/>
                </w:tcPr>
                <w:p w14:paraId="2BAE529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highlight w:val="none"/>
                      <w:lang w:val="en-US" w:eastAsia="zh-CN"/>
                    </w:rPr>
                  </w:pPr>
                  <w:r>
                    <w:rPr>
                      <w:rFonts w:hint="eastAsia"/>
                      <w:color w:val="auto"/>
                      <w:sz w:val="21"/>
                      <w:szCs w:val="21"/>
                      <w:highlight w:val="none"/>
                      <w:lang w:val="en-US" w:eastAsia="zh-CN"/>
                    </w:rPr>
                    <w:t>由市政供水管网供给。</w:t>
                  </w:r>
                </w:p>
              </w:tc>
              <w:tc>
                <w:tcPr>
                  <w:tcW w:w="556" w:type="pct"/>
                  <w:noWrap w:val="0"/>
                  <w:vAlign w:val="center"/>
                </w:tcPr>
                <w:p w14:paraId="6B6EA6F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新建</w:t>
                  </w:r>
                </w:p>
              </w:tc>
            </w:tr>
            <w:tr w14:paraId="51AEA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42" w:type="pct"/>
                  <w:vMerge w:val="continue"/>
                  <w:noWrap w:val="0"/>
                  <w:vAlign w:val="center"/>
                </w:tcPr>
                <w:p w14:paraId="314B1E5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p>
              </w:tc>
              <w:tc>
                <w:tcPr>
                  <w:tcW w:w="583" w:type="pct"/>
                  <w:noWrap w:val="0"/>
                  <w:vAlign w:val="center"/>
                </w:tcPr>
                <w:p w14:paraId="0138AEF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排水</w:t>
                  </w:r>
                </w:p>
              </w:tc>
              <w:tc>
                <w:tcPr>
                  <w:tcW w:w="3518" w:type="pct"/>
                  <w:noWrap w:val="0"/>
                  <w:vAlign w:val="center"/>
                </w:tcPr>
                <w:p w14:paraId="3CE18DE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本项目废水采取雨污分流，</w:t>
                  </w:r>
                  <w:r>
                    <w:rPr>
                      <w:rFonts w:hint="eastAsia" w:ascii="Times New Roman" w:hAnsi="Times New Roman" w:cs="Times New Roman"/>
                      <w:color w:val="auto"/>
                      <w:kern w:val="2"/>
                      <w:sz w:val="21"/>
                      <w:szCs w:val="21"/>
                      <w:highlight w:val="none"/>
                    </w:rPr>
                    <w:t>雨水通过雨水口、雨水检查井、雨水管道有组织收集排至市政雨水管网</w:t>
                  </w:r>
                  <w:r>
                    <w:rPr>
                      <w:rFonts w:hint="eastAsia" w:cs="Times New Roman"/>
                      <w:color w:val="auto"/>
                      <w:kern w:val="2"/>
                      <w:sz w:val="21"/>
                      <w:szCs w:val="21"/>
                      <w:highlight w:val="none"/>
                      <w:lang w:eastAsia="zh-CN"/>
                    </w:rPr>
                    <w:t>；</w:t>
                  </w:r>
                </w:p>
                <w:p w14:paraId="44EFFF5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default"/>
                      <w:color w:val="auto"/>
                      <w:sz w:val="21"/>
                      <w:szCs w:val="21"/>
                      <w:highlight w:val="none"/>
                      <w:lang w:val="en-US" w:eastAsia="zh-CN"/>
                    </w:rPr>
                  </w:pPr>
                  <w:r>
                    <w:rPr>
                      <w:rFonts w:hint="eastAsia"/>
                      <w:color w:val="auto"/>
                      <w:sz w:val="21"/>
                      <w:szCs w:val="21"/>
                      <w:highlight w:val="none"/>
                      <w:lang w:val="en-US" w:eastAsia="zh-CN"/>
                    </w:rPr>
                    <w:t>餐饮废水经油水分离器处理后与实验综合废水和生活污水一同经化粪池处理后，由市政污水管网排入西咸新区沣东南污水处理厂。</w:t>
                  </w:r>
                </w:p>
              </w:tc>
              <w:tc>
                <w:tcPr>
                  <w:tcW w:w="556" w:type="pct"/>
                  <w:noWrap w:val="0"/>
                  <w:vAlign w:val="center"/>
                </w:tcPr>
                <w:p w14:paraId="19683CA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新建</w:t>
                  </w:r>
                </w:p>
              </w:tc>
            </w:tr>
            <w:tr w14:paraId="10090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42" w:type="pct"/>
                  <w:vMerge w:val="continue"/>
                  <w:noWrap w:val="0"/>
                  <w:vAlign w:val="center"/>
                </w:tcPr>
                <w:p w14:paraId="0707083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p>
              </w:tc>
              <w:tc>
                <w:tcPr>
                  <w:tcW w:w="583" w:type="pct"/>
                  <w:noWrap w:val="0"/>
                  <w:vAlign w:val="center"/>
                </w:tcPr>
                <w:p w14:paraId="6BD673F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供电</w:t>
                  </w:r>
                </w:p>
              </w:tc>
              <w:tc>
                <w:tcPr>
                  <w:tcW w:w="3518" w:type="pct"/>
                  <w:noWrap w:val="0"/>
                  <w:vAlign w:val="center"/>
                </w:tcPr>
                <w:p w14:paraId="1460ACB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left"/>
                    <w:textAlignment w:val="auto"/>
                    <w:rPr>
                      <w:rFonts w:hint="eastAsia"/>
                      <w:color w:val="auto"/>
                      <w:sz w:val="21"/>
                      <w:szCs w:val="21"/>
                      <w:highlight w:val="none"/>
                      <w:lang w:val="en-US" w:eastAsia="zh-CN"/>
                    </w:rPr>
                  </w:pPr>
                  <w:r>
                    <w:rPr>
                      <w:rFonts w:hint="eastAsia"/>
                      <w:color w:val="auto"/>
                      <w:sz w:val="21"/>
                      <w:szCs w:val="21"/>
                      <w:highlight w:val="none"/>
                      <w:lang w:val="en-US" w:eastAsia="zh-CN"/>
                    </w:rPr>
                    <w:t>由市政电网供给。</w:t>
                  </w:r>
                </w:p>
              </w:tc>
              <w:tc>
                <w:tcPr>
                  <w:tcW w:w="556" w:type="pct"/>
                  <w:noWrap w:val="0"/>
                  <w:vAlign w:val="center"/>
                </w:tcPr>
                <w:p w14:paraId="50D8120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新建</w:t>
                  </w:r>
                </w:p>
              </w:tc>
            </w:tr>
            <w:tr w14:paraId="393DB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42" w:type="pct"/>
                  <w:vMerge w:val="continue"/>
                  <w:noWrap w:val="0"/>
                  <w:vAlign w:val="center"/>
                </w:tcPr>
                <w:p w14:paraId="49A9243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highlight w:val="none"/>
                      <w:lang w:val="en-US" w:eastAsia="zh-CN"/>
                    </w:rPr>
                  </w:pPr>
                </w:p>
              </w:tc>
              <w:tc>
                <w:tcPr>
                  <w:tcW w:w="583" w:type="pct"/>
                  <w:noWrap w:val="0"/>
                  <w:vAlign w:val="center"/>
                </w:tcPr>
                <w:p w14:paraId="453E926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供热、制冷</w:t>
                  </w:r>
                </w:p>
              </w:tc>
              <w:tc>
                <w:tcPr>
                  <w:tcW w:w="3518" w:type="pct"/>
                  <w:noWrap w:val="0"/>
                  <w:vAlign w:val="center"/>
                </w:tcPr>
                <w:p w14:paraId="1388D75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left"/>
                    <w:textAlignment w:val="auto"/>
                    <w:rPr>
                      <w:rFonts w:hint="default"/>
                      <w:color w:val="auto"/>
                      <w:sz w:val="21"/>
                      <w:szCs w:val="21"/>
                      <w:highlight w:val="none"/>
                      <w:lang w:val="en-US" w:eastAsia="zh-CN"/>
                    </w:rPr>
                  </w:pPr>
                  <w:r>
                    <w:rPr>
                      <w:rFonts w:hint="eastAsia"/>
                      <w:color w:val="auto"/>
                      <w:sz w:val="21"/>
                      <w:szCs w:val="21"/>
                      <w:highlight w:val="none"/>
                      <w:lang w:val="en-US" w:eastAsia="zh-CN"/>
                    </w:rPr>
                    <w:t>设置中央空调实现采暖、制冷。</w:t>
                  </w:r>
                </w:p>
              </w:tc>
              <w:tc>
                <w:tcPr>
                  <w:tcW w:w="556" w:type="pct"/>
                  <w:noWrap w:val="0"/>
                  <w:vAlign w:val="center"/>
                </w:tcPr>
                <w:p w14:paraId="1264374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新建</w:t>
                  </w:r>
                </w:p>
              </w:tc>
            </w:tr>
            <w:tr w14:paraId="3E34D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342" w:type="pct"/>
                  <w:vMerge w:val="restart"/>
                  <w:noWrap w:val="0"/>
                  <w:vAlign w:val="center"/>
                </w:tcPr>
                <w:p w14:paraId="45F8D18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环保工程</w:t>
                  </w:r>
                </w:p>
              </w:tc>
              <w:tc>
                <w:tcPr>
                  <w:tcW w:w="583" w:type="pct"/>
                  <w:vMerge w:val="restart"/>
                  <w:noWrap w:val="0"/>
                  <w:vAlign w:val="center"/>
                </w:tcPr>
                <w:p w14:paraId="1446ABA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废气</w:t>
                  </w:r>
                </w:p>
              </w:tc>
              <w:tc>
                <w:tcPr>
                  <w:tcW w:w="3518" w:type="pct"/>
                  <w:noWrap w:val="0"/>
                  <w:vAlign w:val="center"/>
                </w:tcPr>
                <w:p w14:paraId="7DF4E52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default" w:cs="Times New Roman"/>
                      <w:color w:val="auto"/>
                      <w:kern w:val="2"/>
                      <w:sz w:val="21"/>
                      <w:szCs w:val="21"/>
                      <w:highlight w:val="yellow"/>
                      <w:lang w:val="en-US" w:eastAsia="zh-CN" w:bidi="ar-SA"/>
                    </w:rPr>
                  </w:pPr>
                  <w:r>
                    <w:rPr>
                      <w:rFonts w:hint="eastAsia"/>
                      <w:color w:val="auto"/>
                      <w:sz w:val="21"/>
                      <w:szCs w:val="21"/>
                      <w:highlight w:val="none"/>
                      <w:lang w:val="en-US" w:eastAsia="zh-CN"/>
                    </w:rPr>
                    <w:t>焊接工序产生的焊接烟尘</w:t>
                  </w:r>
                  <w:r>
                    <w:rPr>
                      <w:rFonts w:hint="default"/>
                      <w:color w:val="auto"/>
                      <w:sz w:val="21"/>
                      <w:szCs w:val="21"/>
                      <w:highlight w:val="none"/>
                      <w:lang w:val="en-US" w:eastAsia="zh-CN"/>
                    </w:rPr>
                    <w:t>经</w:t>
                  </w:r>
                  <w:r>
                    <w:rPr>
                      <w:rFonts w:hint="eastAsia"/>
                      <w:color w:val="auto"/>
                      <w:sz w:val="21"/>
                      <w:szCs w:val="21"/>
                      <w:highlight w:val="none"/>
                      <w:lang w:val="en-US" w:eastAsia="zh-CN"/>
                    </w:rPr>
                    <w:t>焊烟净化器</w:t>
                  </w:r>
                  <w:r>
                    <w:rPr>
                      <w:rFonts w:hint="default"/>
                      <w:color w:val="auto"/>
                      <w:sz w:val="21"/>
                      <w:szCs w:val="21"/>
                      <w:highlight w:val="none"/>
                      <w:lang w:val="en-US" w:eastAsia="zh-CN"/>
                    </w:rPr>
                    <w:t>处理</w:t>
                  </w:r>
                  <w:r>
                    <w:rPr>
                      <w:rFonts w:hint="eastAsia"/>
                      <w:color w:val="auto"/>
                      <w:sz w:val="21"/>
                      <w:szCs w:val="21"/>
                      <w:highlight w:val="none"/>
                      <w:lang w:val="en-US" w:eastAsia="zh-CN"/>
                    </w:rPr>
                    <w:t>后无组织排放；</w:t>
                  </w:r>
                </w:p>
              </w:tc>
              <w:tc>
                <w:tcPr>
                  <w:tcW w:w="556" w:type="pct"/>
                  <w:vMerge w:val="restart"/>
                  <w:noWrap w:val="0"/>
                  <w:vAlign w:val="center"/>
                </w:tcPr>
                <w:p w14:paraId="7F587E8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w:t>
                  </w:r>
                </w:p>
              </w:tc>
            </w:tr>
            <w:tr w14:paraId="7829E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342" w:type="pct"/>
                  <w:vMerge w:val="continue"/>
                  <w:noWrap w:val="0"/>
                  <w:vAlign w:val="center"/>
                </w:tcPr>
                <w:p w14:paraId="6C4CB0D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pPr>
                </w:p>
              </w:tc>
              <w:tc>
                <w:tcPr>
                  <w:tcW w:w="583" w:type="pct"/>
                  <w:vMerge w:val="continue"/>
                  <w:noWrap w:val="0"/>
                  <w:vAlign w:val="center"/>
                </w:tcPr>
                <w:p w14:paraId="239D04A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color w:val="auto"/>
                    </w:rPr>
                  </w:pPr>
                </w:p>
              </w:tc>
              <w:tc>
                <w:tcPr>
                  <w:tcW w:w="3518" w:type="pct"/>
                  <w:noWrap w:val="0"/>
                  <w:vAlign w:val="center"/>
                </w:tcPr>
                <w:p w14:paraId="6F22752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highlight w:val="none"/>
                      <w:lang w:val="en-US" w:eastAsia="zh-CN"/>
                    </w:rPr>
                  </w:pPr>
                  <w:r>
                    <w:rPr>
                      <w:rFonts w:hint="eastAsia"/>
                      <w:color w:val="auto"/>
                      <w:sz w:val="21"/>
                      <w:szCs w:val="21"/>
                      <w:highlight w:val="none"/>
                      <w:lang w:val="en-US" w:eastAsia="zh-CN"/>
                    </w:rPr>
                    <w:t>研发过程中使用实验化学品（浓盐酸、硝酸等）产生的HCl、NOx等酸性废气通过内置SDG酸性气体吸附剂通风橱收集处理后无组织排放；</w:t>
                  </w:r>
                </w:p>
              </w:tc>
              <w:tc>
                <w:tcPr>
                  <w:tcW w:w="556" w:type="pct"/>
                  <w:vMerge w:val="continue"/>
                  <w:noWrap w:val="0"/>
                  <w:vAlign w:val="center"/>
                </w:tcPr>
                <w:p w14:paraId="71FF5EC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highlight w:val="none"/>
                      <w:lang w:val="en-US" w:eastAsia="zh-CN"/>
                    </w:rPr>
                  </w:pPr>
                </w:p>
              </w:tc>
            </w:tr>
            <w:tr w14:paraId="2C3FA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342" w:type="pct"/>
                  <w:vMerge w:val="continue"/>
                  <w:noWrap w:val="0"/>
                  <w:vAlign w:val="center"/>
                </w:tcPr>
                <w:p w14:paraId="31AEDF9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highlight w:val="none"/>
                      <w:lang w:val="en-US" w:eastAsia="zh-CN"/>
                    </w:rPr>
                  </w:pPr>
                </w:p>
              </w:tc>
              <w:tc>
                <w:tcPr>
                  <w:tcW w:w="583" w:type="pct"/>
                  <w:vMerge w:val="continue"/>
                  <w:noWrap w:val="0"/>
                  <w:vAlign w:val="center"/>
                </w:tcPr>
                <w:p w14:paraId="080E8BC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highlight w:val="none"/>
                      <w:lang w:val="en-US" w:eastAsia="zh-CN"/>
                    </w:rPr>
                  </w:pPr>
                </w:p>
              </w:tc>
              <w:tc>
                <w:tcPr>
                  <w:tcW w:w="3518" w:type="pct"/>
                  <w:noWrap w:val="0"/>
                  <w:vAlign w:val="center"/>
                </w:tcPr>
                <w:p w14:paraId="527306A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highlight w:val="none"/>
                      <w:lang w:val="en-US" w:eastAsia="zh-CN"/>
                    </w:rPr>
                  </w:pPr>
                  <w:r>
                    <w:rPr>
                      <w:rFonts w:hint="eastAsia"/>
                      <w:color w:val="auto"/>
                      <w:sz w:val="21"/>
                      <w:szCs w:val="21"/>
                      <w:highlight w:val="none"/>
                      <w:lang w:val="en-US" w:eastAsia="zh-CN"/>
                    </w:rPr>
                    <w:t>在密闭空间内设置两级活性炭的通风排气设备，在密闭专用空间内使用含有非甲烷总烃的原辅材料，产生的非甲烷废气通过两级活性炭处理后，经通风排气设备无组织排放；</w:t>
                  </w:r>
                </w:p>
              </w:tc>
              <w:tc>
                <w:tcPr>
                  <w:tcW w:w="556" w:type="pct"/>
                  <w:vMerge w:val="continue"/>
                  <w:noWrap w:val="0"/>
                  <w:vAlign w:val="center"/>
                </w:tcPr>
                <w:p w14:paraId="00F0F69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highlight w:val="none"/>
                      <w:lang w:val="en-US" w:eastAsia="zh-CN"/>
                    </w:rPr>
                  </w:pPr>
                </w:p>
              </w:tc>
            </w:tr>
            <w:tr w14:paraId="187E0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342" w:type="pct"/>
                  <w:vMerge w:val="continue"/>
                  <w:noWrap w:val="0"/>
                  <w:vAlign w:val="center"/>
                </w:tcPr>
                <w:p w14:paraId="2A0A87F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highlight w:val="none"/>
                      <w:lang w:val="en-US" w:eastAsia="zh-CN"/>
                    </w:rPr>
                  </w:pPr>
                </w:p>
              </w:tc>
              <w:tc>
                <w:tcPr>
                  <w:tcW w:w="583" w:type="pct"/>
                  <w:vMerge w:val="continue"/>
                  <w:noWrap w:val="0"/>
                  <w:vAlign w:val="center"/>
                </w:tcPr>
                <w:p w14:paraId="6B47720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highlight w:val="none"/>
                      <w:lang w:val="en-US" w:eastAsia="zh-CN"/>
                    </w:rPr>
                  </w:pPr>
                </w:p>
              </w:tc>
              <w:tc>
                <w:tcPr>
                  <w:tcW w:w="3518" w:type="pct"/>
                  <w:noWrap w:val="0"/>
                  <w:vAlign w:val="center"/>
                </w:tcPr>
                <w:p w14:paraId="05D64A9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highlight w:val="none"/>
                      <w:lang w:val="en-US" w:eastAsia="zh-CN"/>
                    </w:rPr>
                  </w:pPr>
                  <w:r>
                    <w:rPr>
                      <w:rFonts w:hint="eastAsia"/>
                      <w:color w:val="auto"/>
                      <w:sz w:val="21"/>
                      <w:szCs w:val="21"/>
                      <w:highlight w:val="none"/>
                      <w:lang w:val="en-US" w:eastAsia="zh-CN"/>
                    </w:rPr>
                    <w:t>餐厅油烟通过油烟净化器处理后引至屋顶排放。</w:t>
                  </w:r>
                </w:p>
              </w:tc>
              <w:tc>
                <w:tcPr>
                  <w:tcW w:w="556" w:type="pct"/>
                  <w:vMerge w:val="continue"/>
                  <w:noWrap w:val="0"/>
                  <w:vAlign w:val="center"/>
                </w:tcPr>
                <w:p w14:paraId="26D163E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highlight w:val="none"/>
                      <w:lang w:val="en-US" w:eastAsia="zh-CN"/>
                    </w:rPr>
                  </w:pPr>
                </w:p>
              </w:tc>
            </w:tr>
            <w:tr w14:paraId="33333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42" w:type="pct"/>
                  <w:vMerge w:val="continue"/>
                  <w:noWrap w:val="0"/>
                  <w:vAlign w:val="center"/>
                </w:tcPr>
                <w:p w14:paraId="1EF3B5F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highlight w:val="none"/>
                      <w:lang w:val="en-US" w:eastAsia="zh-CN"/>
                    </w:rPr>
                  </w:pPr>
                </w:p>
              </w:tc>
              <w:tc>
                <w:tcPr>
                  <w:tcW w:w="583" w:type="pct"/>
                  <w:noWrap w:val="0"/>
                  <w:vAlign w:val="center"/>
                </w:tcPr>
                <w:p w14:paraId="6BC3AAA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废水</w:t>
                  </w:r>
                </w:p>
              </w:tc>
              <w:tc>
                <w:tcPr>
                  <w:tcW w:w="3518" w:type="pct"/>
                  <w:noWrap w:val="0"/>
                  <w:vAlign w:val="center"/>
                </w:tcPr>
                <w:p w14:paraId="343B1BC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default"/>
                      <w:color w:val="auto"/>
                      <w:sz w:val="21"/>
                      <w:szCs w:val="21"/>
                      <w:highlight w:val="none"/>
                      <w:lang w:val="en-US" w:eastAsia="zh-CN"/>
                    </w:rPr>
                  </w:pPr>
                  <w:r>
                    <w:rPr>
                      <w:rFonts w:hint="eastAsia"/>
                      <w:color w:val="auto"/>
                      <w:sz w:val="21"/>
                      <w:szCs w:val="21"/>
                      <w:highlight w:val="none"/>
                      <w:lang w:val="en-US" w:eastAsia="zh-CN"/>
                    </w:rPr>
                    <w:t>餐饮废水经油水分离器处理后与实验综合废水和生活污水一同经化粪池处理后，由市政污水管网排入西咸新区沣东南污水处理厂。</w:t>
                  </w:r>
                </w:p>
              </w:tc>
              <w:tc>
                <w:tcPr>
                  <w:tcW w:w="556" w:type="pct"/>
                  <w:noWrap w:val="0"/>
                  <w:vAlign w:val="center"/>
                </w:tcPr>
                <w:p w14:paraId="7B70206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w:t>
                  </w:r>
                </w:p>
              </w:tc>
            </w:tr>
            <w:tr w14:paraId="23B53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42" w:type="pct"/>
                  <w:vMerge w:val="continue"/>
                  <w:noWrap w:val="0"/>
                  <w:vAlign w:val="center"/>
                </w:tcPr>
                <w:p w14:paraId="6F0486C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highlight w:val="none"/>
                      <w:lang w:val="en-US" w:eastAsia="zh-CN"/>
                    </w:rPr>
                  </w:pPr>
                </w:p>
              </w:tc>
              <w:tc>
                <w:tcPr>
                  <w:tcW w:w="583" w:type="pct"/>
                  <w:noWrap w:val="0"/>
                  <w:vAlign w:val="center"/>
                </w:tcPr>
                <w:p w14:paraId="00597C6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噪声</w:t>
                  </w:r>
                  <w:r>
                    <w:rPr>
                      <w:rFonts w:hint="eastAsia"/>
                      <w:color w:val="auto"/>
                      <w:sz w:val="21"/>
                      <w:szCs w:val="21"/>
                      <w:highlight w:val="none"/>
                      <w:lang w:val="en-US" w:eastAsia="zh-CN"/>
                    </w:rPr>
                    <w:cr/>
                  </w:r>
                </w:p>
              </w:tc>
              <w:tc>
                <w:tcPr>
                  <w:tcW w:w="3518" w:type="pct"/>
                  <w:noWrap w:val="0"/>
                  <w:vAlign w:val="center"/>
                </w:tcPr>
                <w:p w14:paraId="643C663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color w:val="auto"/>
                      <w:sz w:val="21"/>
                      <w:szCs w:val="21"/>
                      <w:highlight w:val="none"/>
                      <w:lang w:val="en-US" w:eastAsia="zh-CN"/>
                    </w:rPr>
                  </w:pPr>
                  <w:r>
                    <w:rPr>
                      <w:rFonts w:hint="eastAsia"/>
                      <w:color w:val="auto"/>
                      <w:sz w:val="21"/>
                      <w:szCs w:val="21"/>
                      <w:highlight w:val="none"/>
                      <w:lang w:val="en-US" w:eastAsia="zh-CN"/>
                    </w:rPr>
                    <w:t>实验设备选用低噪声设备，采用基础减振、墙体隔声、距离衰减等综合降噪措施。</w:t>
                  </w:r>
                </w:p>
              </w:tc>
              <w:tc>
                <w:tcPr>
                  <w:tcW w:w="556" w:type="pct"/>
                  <w:noWrap w:val="0"/>
                  <w:vAlign w:val="center"/>
                </w:tcPr>
                <w:p w14:paraId="7C9AD07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w:t>
                  </w:r>
                </w:p>
              </w:tc>
            </w:tr>
            <w:tr w14:paraId="3C774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42" w:type="pct"/>
                  <w:vMerge w:val="continue"/>
                  <w:noWrap w:val="0"/>
                  <w:vAlign w:val="center"/>
                </w:tcPr>
                <w:p w14:paraId="31F71B5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highlight w:val="none"/>
                      <w:lang w:val="en-US" w:eastAsia="zh-CN"/>
                    </w:rPr>
                  </w:pPr>
                </w:p>
              </w:tc>
              <w:tc>
                <w:tcPr>
                  <w:tcW w:w="583" w:type="pct"/>
                  <w:noWrap w:val="0"/>
                  <w:vAlign w:val="center"/>
                </w:tcPr>
                <w:p w14:paraId="0B236D8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固体废物</w:t>
                  </w:r>
                </w:p>
              </w:tc>
              <w:tc>
                <w:tcPr>
                  <w:tcW w:w="3518" w:type="pct"/>
                  <w:shd w:val="clear" w:color="auto" w:fill="auto"/>
                  <w:noWrap w:val="0"/>
                  <w:vAlign w:val="center"/>
                </w:tcPr>
                <w:p w14:paraId="5569212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both"/>
                    <w:textAlignment w:val="auto"/>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auto"/>
                      <w:sz w:val="21"/>
                      <w:szCs w:val="21"/>
                      <w:highlight w:val="none"/>
                      <w:lang w:val="en-US" w:eastAsia="zh-CN"/>
                    </w:rPr>
                    <w:t>废外包材</w:t>
                  </w:r>
                  <w:r>
                    <w:rPr>
                      <w:rFonts w:hint="eastAsia" w:cs="Times New Roman"/>
                      <w:color w:val="auto"/>
                      <w:sz w:val="21"/>
                      <w:szCs w:val="21"/>
                      <w:highlight w:val="none"/>
                      <w:lang w:val="en-US" w:eastAsia="zh-CN"/>
                    </w:rPr>
                    <w:t>、</w:t>
                  </w:r>
                  <w:r>
                    <w:rPr>
                      <w:rFonts w:hint="eastAsia"/>
                      <w:color w:val="auto"/>
                      <w:sz w:val="21"/>
                      <w:szCs w:val="21"/>
                      <w:lang w:val="en-US" w:eastAsia="zh-CN"/>
                    </w:rPr>
                    <w:t>研发废料</w:t>
                  </w:r>
                  <w:r>
                    <w:rPr>
                      <w:rFonts w:hint="default" w:ascii="Times New Roman" w:hAnsi="Times New Roman" w:eastAsia="宋体" w:cs="Times New Roman"/>
                      <w:color w:val="auto"/>
                      <w:sz w:val="21"/>
                      <w:szCs w:val="21"/>
                      <w:highlight w:val="none"/>
                      <w:lang w:val="en-US" w:eastAsia="zh-CN"/>
                    </w:rPr>
                    <w:t>收集后外售资源回收公司</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废</w:t>
                  </w:r>
                  <w:r>
                    <w:rPr>
                      <w:rFonts w:hint="eastAsia" w:cs="Times New Roman"/>
                      <w:color w:val="auto"/>
                      <w:sz w:val="21"/>
                      <w:szCs w:val="21"/>
                      <w:highlight w:val="none"/>
                      <w:lang w:val="en-US" w:eastAsia="zh-CN"/>
                    </w:rPr>
                    <w:t>洗板水</w:t>
                  </w:r>
                  <w:r>
                    <w:rPr>
                      <w:rFonts w:hint="default" w:ascii="Times New Roman" w:hAnsi="Times New Roman" w:eastAsia="宋体" w:cs="Times New Roman"/>
                      <w:color w:val="auto"/>
                      <w:sz w:val="21"/>
                      <w:szCs w:val="21"/>
                      <w:highlight w:val="none"/>
                      <w:lang w:val="en-US" w:eastAsia="zh-CN"/>
                    </w:rPr>
                    <w:t>桶、</w:t>
                  </w:r>
                  <w:r>
                    <w:rPr>
                      <w:rFonts w:hint="eastAsia" w:eastAsia="宋体" w:cs="Times New Roman"/>
                      <w:color w:val="auto"/>
                      <w:sz w:val="21"/>
                      <w:szCs w:val="21"/>
                      <w:highlight w:val="none"/>
                      <w:lang w:val="en-US" w:eastAsia="zh-CN"/>
                    </w:rPr>
                    <w:t>废</w:t>
                  </w:r>
                  <w:r>
                    <w:rPr>
                      <w:rFonts w:hint="eastAsia" w:cs="Times New Roman"/>
                      <w:color w:val="auto"/>
                      <w:sz w:val="21"/>
                      <w:szCs w:val="21"/>
                      <w:highlight w:val="none"/>
                      <w:lang w:val="en-US" w:eastAsia="zh-CN"/>
                    </w:rPr>
                    <w:t>化学品瓶</w:t>
                  </w:r>
                  <w:r>
                    <w:rPr>
                      <w:rFonts w:hint="eastAsia"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废毛刷、</w:t>
                  </w:r>
                  <w:r>
                    <w:rPr>
                      <w:rFonts w:hint="eastAsia" w:eastAsia="宋体" w:cs="Times New Roman"/>
                      <w:color w:val="auto"/>
                      <w:sz w:val="21"/>
                      <w:szCs w:val="21"/>
                      <w:highlight w:val="none"/>
                      <w:lang w:val="en-US" w:eastAsia="zh-CN"/>
                    </w:rPr>
                    <w:t>废酒精桶</w:t>
                  </w:r>
                  <w:r>
                    <w:rPr>
                      <w:rFonts w:hint="eastAsia" w:cs="Times New Roman"/>
                      <w:color w:val="auto"/>
                      <w:sz w:val="21"/>
                      <w:szCs w:val="21"/>
                      <w:highlight w:val="none"/>
                      <w:lang w:val="en-US" w:eastAsia="zh-CN"/>
                    </w:rPr>
                    <w:t>、废润滑油桶、废活性炭、废SDG吸附材料</w:t>
                  </w:r>
                  <w:r>
                    <w:rPr>
                      <w:rFonts w:hint="default" w:ascii="Times New Roman" w:hAnsi="Times New Roman" w:eastAsia="宋体" w:cs="Times New Roman"/>
                      <w:color w:val="auto"/>
                      <w:sz w:val="21"/>
                      <w:szCs w:val="21"/>
                      <w:highlight w:val="none"/>
                      <w:lang w:val="en-US" w:eastAsia="zh-CN"/>
                    </w:rPr>
                    <w:t>作为危险废物在危废贮存库</w:t>
                  </w:r>
                  <w:r>
                    <w:rPr>
                      <w:rFonts w:hint="eastAsia" w:cs="Times New Roman"/>
                      <w:color w:val="auto"/>
                      <w:sz w:val="21"/>
                      <w:szCs w:val="21"/>
                      <w:highlight w:val="none"/>
                      <w:lang w:val="en-US" w:eastAsia="zh-CN"/>
                    </w:rPr>
                    <w:t>(位于1#楼的1F西北处，15m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vertAlign w:val="baseline"/>
                      <w:lang w:val="en-US" w:eastAsia="zh-CN"/>
                    </w:rPr>
                    <w:t>）内</w:t>
                  </w:r>
                  <w:r>
                    <w:rPr>
                      <w:rFonts w:hint="default" w:ascii="Times New Roman" w:hAnsi="Times New Roman" w:eastAsia="宋体" w:cs="Times New Roman"/>
                      <w:color w:val="auto"/>
                      <w:sz w:val="21"/>
                      <w:szCs w:val="21"/>
                      <w:highlight w:val="none"/>
                      <w:lang w:val="en-US" w:eastAsia="zh-CN"/>
                    </w:rPr>
                    <w:t>分类贮存，定期交有资质单位处置</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生活垃圾分类收集后委托环卫部门统一清运</w:t>
                  </w:r>
                  <w:r>
                    <w:rPr>
                      <w:rFonts w:hint="eastAsia" w:cs="Times New Roman"/>
                      <w:color w:val="auto"/>
                      <w:sz w:val="21"/>
                      <w:szCs w:val="21"/>
                      <w:highlight w:val="none"/>
                      <w:lang w:val="en-US" w:eastAsia="zh-CN"/>
                    </w:rPr>
                    <w:t>；废油脂</w:t>
                  </w:r>
                  <w:r>
                    <w:rPr>
                      <w:rFonts w:hint="eastAsia" w:ascii="Times New Roman" w:hAnsi="Times New Roman" w:eastAsia="宋体" w:cs="Times New Roman"/>
                      <w:color w:val="auto"/>
                      <w:sz w:val="21"/>
                      <w:szCs w:val="21"/>
                      <w:lang w:val="en-US" w:eastAsia="zh-CN"/>
                    </w:rPr>
                    <w:t>定点收集委托有资质单位转运处置</w:t>
                  </w:r>
                  <w:r>
                    <w:rPr>
                      <w:rFonts w:hint="eastAsia" w:cs="Times New Roman"/>
                      <w:color w:val="auto"/>
                      <w:sz w:val="21"/>
                      <w:szCs w:val="21"/>
                      <w:lang w:val="en-US" w:eastAsia="zh-CN"/>
                    </w:rPr>
                    <w:t>。</w:t>
                  </w:r>
                </w:p>
              </w:tc>
              <w:tc>
                <w:tcPr>
                  <w:tcW w:w="556" w:type="pct"/>
                  <w:shd w:val="clear" w:color="auto" w:fill="auto"/>
                  <w:noWrap w:val="0"/>
                  <w:vAlign w:val="center"/>
                </w:tcPr>
                <w:p w14:paraId="4E8941B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r>
          </w:tbl>
          <w:p w14:paraId="566A80C7">
            <w:pPr>
              <w:ind w:firstLine="482"/>
              <w:rPr>
                <w:rFonts w:hint="eastAsia" w:ascii="Times New Roman" w:hAnsi="Times New Roman" w:eastAsia="宋体" w:cs="Times New Roman"/>
                <w:b/>
                <w:bCs/>
                <w:color w:val="auto"/>
                <w:kern w:val="0"/>
                <w:lang w:val="en-US" w:eastAsia="zh-CN"/>
              </w:rPr>
            </w:pPr>
            <w:r>
              <w:rPr>
                <w:rFonts w:hint="eastAsia"/>
                <w:b/>
                <w:bCs/>
                <w:color w:val="auto"/>
                <w:kern w:val="0"/>
                <w:lang w:val="en-US" w:eastAsia="zh-CN"/>
              </w:rPr>
              <w:t>4</w:t>
            </w:r>
            <w:r>
              <w:rPr>
                <w:b/>
                <w:bCs/>
                <w:color w:val="auto"/>
                <w:kern w:val="0"/>
              </w:rPr>
              <w:t>、主要</w:t>
            </w:r>
            <w:r>
              <w:rPr>
                <w:rFonts w:hint="eastAsia" w:cs="Times New Roman"/>
                <w:b/>
                <w:bCs/>
                <w:color w:val="auto"/>
                <w:kern w:val="0"/>
                <w:lang w:val="en-US" w:eastAsia="zh-CN"/>
              </w:rPr>
              <w:t>研发</w:t>
            </w:r>
            <w:r>
              <w:rPr>
                <w:rFonts w:hint="eastAsia" w:ascii="Times New Roman" w:hAnsi="Times New Roman" w:eastAsia="宋体" w:cs="Times New Roman"/>
                <w:b/>
                <w:bCs/>
                <w:color w:val="auto"/>
                <w:kern w:val="0"/>
                <w:lang w:val="en-US" w:eastAsia="zh-CN"/>
              </w:rPr>
              <w:t>项目</w:t>
            </w:r>
          </w:p>
          <w:p w14:paraId="440754F8">
            <w:pPr>
              <w:rPr>
                <w:rFonts w:hint="eastAsia"/>
                <w:color w:val="auto"/>
                <w:highlight w:val="none"/>
                <w:lang w:val="en-US" w:eastAsia="zh-CN"/>
              </w:rPr>
            </w:pPr>
            <w:r>
              <w:rPr>
                <w:rFonts w:hint="eastAsia"/>
                <w:color w:val="auto"/>
                <w:highlight w:val="none"/>
                <w:lang w:val="en-US" w:eastAsia="zh-CN"/>
              </w:rPr>
              <w:t>西安研发中心定位为重点打造包含FA软件、控制层软件等工业软件平台。重点支撑FA软件平台开发业务、控制层软件开发业务、PLC（人机界面）、HMI（可编程逻辑控制器）、新能源汽车电驱系统和电源系统等动力系统核心部件、储能设备核心零部件等产品开发业务及相应的预研和测试业务。</w:t>
            </w:r>
          </w:p>
          <w:p w14:paraId="4255946F">
            <w:pPr>
              <w:pStyle w:val="24"/>
              <w:bidi w:val="0"/>
              <w:rPr>
                <w:rFonts w:hint="eastAsia"/>
                <w:color w:val="auto"/>
                <w:sz w:val="24"/>
                <w:szCs w:val="24"/>
                <w:highlight w:val="none"/>
                <w:lang w:val="en-US" w:eastAsia="zh-CN"/>
              </w:rPr>
            </w:pPr>
            <w:r>
              <w:rPr>
                <w:rFonts w:hint="eastAsia"/>
                <w:color w:val="auto"/>
                <w:sz w:val="24"/>
                <w:szCs w:val="24"/>
                <w:highlight w:val="none"/>
                <w:lang w:val="en-US" w:eastAsia="zh-CN"/>
              </w:rPr>
              <w:t>表2-2  研发产品情况一览表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2"/>
              <w:gridCol w:w="3348"/>
              <w:gridCol w:w="2520"/>
              <w:gridCol w:w="1561"/>
            </w:tblGrid>
            <w:tr w14:paraId="08970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74D92C5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b/>
                      <w:bCs/>
                      <w:color w:val="auto"/>
                      <w:sz w:val="21"/>
                      <w:szCs w:val="21"/>
                    </w:rPr>
                  </w:pPr>
                  <w:r>
                    <w:rPr>
                      <w:rFonts w:hint="default"/>
                      <w:b/>
                      <w:bCs/>
                      <w:color w:val="auto"/>
                      <w:sz w:val="21"/>
                      <w:szCs w:val="21"/>
                    </w:rPr>
                    <w:t>序号</w:t>
                  </w:r>
                </w:p>
              </w:tc>
              <w:tc>
                <w:tcPr>
                  <w:tcW w:w="2068" w:type="pct"/>
                  <w:noWrap w:val="0"/>
                  <w:vAlign w:val="center"/>
                </w:tcPr>
                <w:p w14:paraId="74C57F8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宋体"/>
                      <w:b/>
                      <w:bCs/>
                      <w:color w:val="auto"/>
                      <w:sz w:val="21"/>
                      <w:szCs w:val="21"/>
                      <w:lang w:val="en-US" w:eastAsia="zh-CN"/>
                    </w:rPr>
                  </w:pPr>
                  <w:r>
                    <w:rPr>
                      <w:rFonts w:hint="eastAsia"/>
                      <w:b/>
                      <w:bCs/>
                      <w:color w:val="auto"/>
                      <w:sz w:val="21"/>
                      <w:szCs w:val="21"/>
                      <w:lang w:val="en-US" w:eastAsia="zh-CN"/>
                    </w:rPr>
                    <w:t>研发测试种类</w:t>
                  </w:r>
                </w:p>
              </w:tc>
              <w:tc>
                <w:tcPr>
                  <w:tcW w:w="1557" w:type="pct"/>
                  <w:noWrap w:val="0"/>
                  <w:vAlign w:val="center"/>
                </w:tcPr>
                <w:p w14:paraId="6B9037B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产量</w:t>
                  </w:r>
                </w:p>
              </w:tc>
              <w:tc>
                <w:tcPr>
                  <w:tcW w:w="964" w:type="pct"/>
                  <w:noWrap w:val="0"/>
                  <w:vAlign w:val="center"/>
                </w:tcPr>
                <w:p w14:paraId="62E639E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eastAsia="宋体"/>
                      <w:b/>
                      <w:bCs/>
                      <w:color w:val="auto"/>
                      <w:sz w:val="21"/>
                      <w:szCs w:val="21"/>
                      <w:lang w:val="en-US" w:eastAsia="zh-CN"/>
                    </w:rPr>
                  </w:pPr>
                  <w:r>
                    <w:rPr>
                      <w:rFonts w:hint="eastAsia"/>
                      <w:b/>
                      <w:bCs/>
                      <w:color w:val="auto"/>
                      <w:sz w:val="21"/>
                      <w:szCs w:val="21"/>
                      <w:lang w:val="en-US" w:eastAsia="zh-CN"/>
                    </w:rPr>
                    <w:t>备注</w:t>
                  </w:r>
                </w:p>
              </w:tc>
            </w:tr>
            <w:tr w14:paraId="5BB49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682B6CF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r>
                    <w:rPr>
                      <w:rFonts w:hint="default"/>
                      <w:color w:val="auto"/>
                      <w:sz w:val="21"/>
                      <w:szCs w:val="21"/>
                    </w:rPr>
                    <w:t>1</w:t>
                  </w:r>
                </w:p>
              </w:tc>
              <w:tc>
                <w:tcPr>
                  <w:tcW w:w="2068" w:type="pct"/>
                  <w:shd w:val="clear" w:color="auto" w:fill="auto"/>
                  <w:noWrap w:val="0"/>
                  <w:vAlign w:val="center"/>
                </w:tcPr>
                <w:p w14:paraId="3B7D870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电机控制器测试</w:t>
                  </w:r>
                </w:p>
              </w:tc>
              <w:tc>
                <w:tcPr>
                  <w:tcW w:w="1557" w:type="pct"/>
                  <w:vMerge w:val="restart"/>
                  <w:shd w:val="clear" w:color="auto" w:fill="auto"/>
                  <w:noWrap w:val="0"/>
                  <w:vAlign w:val="center"/>
                </w:tcPr>
                <w:p w14:paraId="33444C6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本项目属于实验研发、测试性质，故无生产线，亦无相关产能。仅在建设单位或者甲方公司有特定研发需求时，方进行样品相关性能验证，验证合格后，后续放大试验及量产工作由制造基地完成，不在本厂区进行。</w:t>
                  </w:r>
                </w:p>
              </w:tc>
              <w:tc>
                <w:tcPr>
                  <w:tcW w:w="964" w:type="pct"/>
                  <w:vMerge w:val="restart"/>
                  <w:noWrap w:val="0"/>
                  <w:vAlign w:val="center"/>
                </w:tcPr>
                <w:p w14:paraId="13C1694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r>
                    <w:rPr>
                      <w:rFonts w:hint="default"/>
                      <w:color w:val="auto"/>
                      <w:sz w:val="21"/>
                      <w:szCs w:val="21"/>
                    </w:rPr>
                    <w:t>各类产品的研发主要通过</w:t>
                  </w:r>
                  <w:r>
                    <w:rPr>
                      <w:rFonts w:hint="eastAsia"/>
                      <w:color w:val="auto"/>
                      <w:sz w:val="21"/>
                      <w:szCs w:val="21"/>
                      <w:lang w:val="en-US" w:eastAsia="zh-CN"/>
                    </w:rPr>
                    <w:t>实验</w:t>
                  </w:r>
                  <w:r>
                    <w:rPr>
                      <w:rFonts w:hint="default"/>
                      <w:color w:val="auto"/>
                      <w:sz w:val="21"/>
                      <w:szCs w:val="21"/>
                    </w:rPr>
                    <w:t>和</w:t>
                  </w:r>
                  <w:r>
                    <w:rPr>
                      <w:rFonts w:hint="eastAsia"/>
                      <w:color w:val="auto"/>
                      <w:sz w:val="21"/>
                      <w:szCs w:val="21"/>
                      <w:lang w:val="en-US" w:eastAsia="zh-CN"/>
                    </w:rPr>
                    <w:t>测试</w:t>
                  </w:r>
                  <w:r>
                    <w:rPr>
                      <w:rFonts w:hint="default"/>
                      <w:color w:val="auto"/>
                      <w:sz w:val="21"/>
                      <w:szCs w:val="21"/>
                    </w:rPr>
                    <w:t>、实验参数控制，达到提高性能的目的，提高</w:t>
                  </w:r>
                  <w:r>
                    <w:rPr>
                      <w:rFonts w:hint="eastAsia"/>
                      <w:color w:val="auto"/>
                      <w:sz w:val="21"/>
                      <w:szCs w:val="21"/>
                      <w:lang w:val="en-US" w:eastAsia="zh-CN"/>
                    </w:rPr>
                    <w:t>性能</w:t>
                  </w:r>
                  <w:r>
                    <w:rPr>
                      <w:rFonts w:hint="default"/>
                      <w:color w:val="auto"/>
                      <w:sz w:val="21"/>
                      <w:szCs w:val="21"/>
                    </w:rPr>
                    <w:t>，</w:t>
                  </w:r>
                  <w:r>
                    <w:rPr>
                      <w:rFonts w:hint="eastAsia"/>
                      <w:color w:val="auto"/>
                      <w:sz w:val="21"/>
                      <w:szCs w:val="21"/>
                      <w:lang w:val="en-US" w:eastAsia="zh-CN"/>
                    </w:rPr>
                    <w:t>参数</w:t>
                  </w:r>
                  <w:r>
                    <w:rPr>
                      <w:rFonts w:hint="default"/>
                      <w:color w:val="auto"/>
                      <w:sz w:val="21"/>
                      <w:szCs w:val="21"/>
                    </w:rPr>
                    <w:t>不是定值。</w:t>
                  </w:r>
                </w:p>
              </w:tc>
            </w:tr>
            <w:tr w14:paraId="5BB28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40158C3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r>
                    <w:rPr>
                      <w:rFonts w:hint="default"/>
                      <w:color w:val="auto"/>
                      <w:sz w:val="21"/>
                      <w:szCs w:val="21"/>
                    </w:rPr>
                    <w:t>2</w:t>
                  </w:r>
                </w:p>
              </w:tc>
              <w:tc>
                <w:tcPr>
                  <w:tcW w:w="2068" w:type="pct"/>
                  <w:shd w:val="clear" w:color="auto" w:fill="auto"/>
                  <w:noWrap w:val="0"/>
                  <w:vAlign w:val="center"/>
                </w:tcPr>
                <w:p w14:paraId="2CF9213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储能变流器研发测试</w:t>
                  </w:r>
                </w:p>
              </w:tc>
              <w:tc>
                <w:tcPr>
                  <w:tcW w:w="1557" w:type="pct"/>
                  <w:vMerge w:val="continue"/>
                  <w:noWrap w:val="0"/>
                  <w:vAlign w:val="center"/>
                </w:tcPr>
                <w:p w14:paraId="0C859F7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c>
                <w:tcPr>
                  <w:tcW w:w="964" w:type="pct"/>
                  <w:vMerge w:val="continue"/>
                  <w:noWrap w:val="0"/>
                  <w:vAlign w:val="center"/>
                </w:tcPr>
                <w:p w14:paraId="73DC0FB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r>
            <w:tr w14:paraId="0D962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29A629B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r>
                    <w:rPr>
                      <w:rFonts w:hint="default"/>
                      <w:color w:val="auto"/>
                      <w:sz w:val="21"/>
                      <w:szCs w:val="21"/>
                    </w:rPr>
                    <w:t>3</w:t>
                  </w:r>
                </w:p>
              </w:tc>
              <w:tc>
                <w:tcPr>
                  <w:tcW w:w="2068" w:type="pct"/>
                  <w:noWrap w:val="0"/>
                  <w:vAlign w:val="center"/>
                </w:tcPr>
                <w:p w14:paraId="1A98D4B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eastAsia="zh-CN"/>
                    </w:rPr>
                  </w:pPr>
                  <w:r>
                    <w:rPr>
                      <w:rFonts w:hint="eastAsia"/>
                      <w:color w:val="auto"/>
                      <w:sz w:val="21"/>
                      <w:szCs w:val="21"/>
                      <w:lang w:val="en-US" w:eastAsia="zh-CN"/>
                    </w:rPr>
                    <w:t>储能设备通用产品研发测试</w:t>
                  </w:r>
                </w:p>
              </w:tc>
              <w:tc>
                <w:tcPr>
                  <w:tcW w:w="1557" w:type="pct"/>
                  <w:vMerge w:val="continue"/>
                  <w:noWrap w:val="0"/>
                  <w:vAlign w:val="center"/>
                </w:tcPr>
                <w:p w14:paraId="25F092E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c>
                <w:tcPr>
                  <w:tcW w:w="964" w:type="pct"/>
                  <w:vMerge w:val="continue"/>
                  <w:noWrap w:val="0"/>
                  <w:vAlign w:val="center"/>
                </w:tcPr>
                <w:p w14:paraId="2B11E81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r>
            <w:tr w14:paraId="29076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6D94328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r>
                    <w:rPr>
                      <w:rFonts w:hint="default"/>
                      <w:color w:val="auto"/>
                      <w:sz w:val="21"/>
                      <w:szCs w:val="21"/>
                    </w:rPr>
                    <w:t>4</w:t>
                  </w:r>
                </w:p>
              </w:tc>
              <w:tc>
                <w:tcPr>
                  <w:tcW w:w="2068" w:type="pct"/>
                  <w:noWrap w:val="0"/>
                  <w:vAlign w:val="center"/>
                </w:tcPr>
                <w:p w14:paraId="697105E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工商储能变流器研发测试</w:t>
                  </w:r>
                </w:p>
              </w:tc>
              <w:tc>
                <w:tcPr>
                  <w:tcW w:w="1557" w:type="pct"/>
                  <w:vMerge w:val="continue"/>
                  <w:noWrap w:val="0"/>
                  <w:vAlign w:val="center"/>
                </w:tcPr>
                <w:p w14:paraId="4F58D2C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c>
                <w:tcPr>
                  <w:tcW w:w="964" w:type="pct"/>
                  <w:vMerge w:val="continue"/>
                  <w:noWrap w:val="0"/>
                  <w:vAlign w:val="center"/>
                </w:tcPr>
                <w:p w14:paraId="1293859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r>
            <w:tr w14:paraId="77C73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09" w:type="pct"/>
                  <w:noWrap w:val="0"/>
                  <w:vAlign w:val="center"/>
                </w:tcPr>
                <w:p w14:paraId="579503E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r>
                    <w:rPr>
                      <w:rFonts w:hint="default"/>
                      <w:color w:val="auto"/>
                      <w:sz w:val="21"/>
                      <w:szCs w:val="21"/>
                    </w:rPr>
                    <w:t>5</w:t>
                  </w:r>
                </w:p>
              </w:tc>
              <w:tc>
                <w:tcPr>
                  <w:tcW w:w="2068" w:type="pct"/>
                  <w:shd w:val="clear" w:color="auto" w:fill="auto"/>
                  <w:noWrap w:val="0"/>
                  <w:vAlign w:val="center"/>
                </w:tcPr>
                <w:p w14:paraId="194968F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储能变流器电网适应性研发测试</w:t>
                  </w:r>
                </w:p>
              </w:tc>
              <w:tc>
                <w:tcPr>
                  <w:tcW w:w="1557" w:type="pct"/>
                  <w:vMerge w:val="continue"/>
                  <w:noWrap w:val="0"/>
                  <w:vAlign w:val="center"/>
                </w:tcPr>
                <w:p w14:paraId="13B82C9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c>
                <w:tcPr>
                  <w:tcW w:w="964" w:type="pct"/>
                  <w:vMerge w:val="continue"/>
                  <w:noWrap w:val="0"/>
                  <w:vAlign w:val="center"/>
                </w:tcPr>
                <w:p w14:paraId="4871E0E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r>
            <w:tr w14:paraId="5E35F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09" w:type="pct"/>
                  <w:noWrap w:val="0"/>
                  <w:vAlign w:val="center"/>
                </w:tcPr>
                <w:p w14:paraId="37F5D71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r>
                    <w:rPr>
                      <w:rFonts w:hint="default"/>
                      <w:color w:val="auto"/>
                      <w:sz w:val="21"/>
                      <w:szCs w:val="21"/>
                    </w:rPr>
                    <w:t>6</w:t>
                  </w:r>
                </w:p>
              </w:tc>
              <w:tc>
                <w:tcPr>
                  <w:tcW w:w="2068" w:type="pct"/>
                  <w:shd w:val="clear" w:color="auto" w:fill="auto"/>
                  <w:noWrap w:val="0"/>
                  <w:vAlign w:val="center"/>
                </w:tcPr>
                <w:p w14:paraId="69611A5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集中式储能变流器研发测试</w:t>
                  </w:r>
                </w:p>
              </w:tc>
              <w:tc>
                <w:tcPr>
                  <w:tcW w:w="1557" w:type="pct"/>
                  <w:vMerge w:val="continue"/>
                  <w:noWrap w:val="0"/>
                  <w:vAlign w:val="center"/>
                </w:tcPr>
                <w:p w14:paraId="510FC65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c>
                <w:tcPr>
                  <w:tcW w:w="964" w:type="pct"/>
                  <w:vMerge w:val="continue"/>
                  <w:noWrap w:val="0"/>
                  <w:vAlign w:val="center"/>
                </w:tcPr>
                <w:p w14:paraId="2629660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r>
            <w:tr w14:paraId="51C8E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09" w:type="pct"/>
                  <w:noWrap w:val="0"/>
                  <w:vAlign w:val="center"/>
                </w:tcPr>
                <w:p w14:paraId="1C0E815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r>
                    <w:rPr>
                      <w:rFonts w:hint="default"/>
                      <w:color w:val="auto"/>
                      <w:sz w:val="21"/>
                      <w:szCs w:val="21"/>
                    </w:rPr>
                    <w:t>7</w:t>
                  </w:r>
                </w:p>
              </w:tc>
              <w:tc>
                <w:tcPr>
                  <w:tcW w:w="2068" w:type="pct"/>
                  <w:shd w:val="clear" w:color="auto" w:fill="auto"/>
                  <w:noWrap w:val="0"/>
                  <w:vAlign w:val="center"/>
                </w:tcPr>
                <w:p w14:paraId="1AC8FBF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能源解决方案研发测试</w:t>
                  </w:r>
                </w:p>
              </w:tc>
              <w:tc>
                <w:tcPr>
                  <w:tcW w:w="1557" w:type="pct"/>
                  <w:vMerge w:val="continue"/>
                  <w:noWrap w:val="0"/>
                  <w:vAlign w:val="center"/>
                </w:tcPr>
                <w:p w14:paraId="0F99EF2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c>
                <w:tcPr>
                  <w:tcW w:w="964" w:type="pct"/>
                  <w:vMerge w:val="continue"/>
                  <w:noWrap w:val="0"/>
                  <w:vAlign w:val="center"/>
                </w:tcPr>
                <w:p w14:paraId="1FEB1E3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r>
            <w:tr w14:paraId="3325D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3AE776C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r>
                    <w:rPr>
                      <w:rFonts w:hint="default"/>
                      <w:color w:val="auto"/>
                      <w:sz w:val="21"/>
                      <w:szCs w:val="21"/>
                    </w:rPr>
                    <w:t>8</w:t>
                  </w:r>
                </w:p>
              </w:tc>
              <w:tc>
                <w:tcPr>
                  <w:tcW w:w="2068" w:type="pct"/>
                  <w:shd w:val="clear" w:color="auto" w:fill="auto"/>
                  <w:noWrap w:val="0"/>
                  <w:vAlign w:val="center"/>
                </w:tcPr>
                <w:p w14:paraId="4EEFF9E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模块化储能变流器研发测试</w:t>
                  </w:r>
                </w:p>
              </w:tc>
              <w:tc>
                <w:tcPr>
                  <w:tcW w:w="1557" w:type="pct"/>
                  <w:vMerge w:val="continue"/>
                  <w:noWrap w:val="0"/>
                  <w:vAlign w:val="center"/>
                </w:tcPr>
                <w:p w14:paraId="6BB5099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c>
                <w:tcPr>
                  <w:tcW w:w="964" w:type="pct"/>
                  <w:vMerge w:val="continue"/>
                  <w:noWrap w:val="0"/>
                  <w:vAlign w:val="center"/>
                </w:tcPr>
                <w:p w14:paraId="634A81C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r>
            <w:tr w14:paraId="19A39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09CC26C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r>
                    <w:rPr>
                      <w:rFonts w:hint="default"/>
                      <w:color w:val="auto"/>
                      <w:sz w:val="21"/>
                      <w:szCs w:val="21"/>
                    </w:rPr>
                    <w:t>9</w:t>
                  </w:r>
                </w:p>
              </w:tc>
              <w:tc>
                <w:tcPr>
                  <w:tcW w:w="2068" w:type="pct"/>
                  <w:shd w:val="clear" w:color="auto" w:fill="auto"/>
                  <w:noWrap w:val="0"/>
                  <w:vAlign w:val="center"/>
                </w:tcPr>
                <w:p w14:paraId="60B7748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电源产品研发测试</w:t>
                  </w:r>
                </w:p>
              </w:tc>
              <w:tc>
                <w:tcPr>
                  <w:tcW w:w="1557" w:type="pct"/>
                  <w:vMerge w:val="continue"/>
                  <w:noWrap w:val="0"/>
                  <w:vAlign w:val="center"/>
                </w:tcPr>
                <w:p w14:paraId="23DC5A8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c>
                <w:tcPr>
                  <w:tcW w:w="964" w:type="pct"/>
                  <w:vMerge w:val="continue"/>
                  <w:noWrap w:val="0"/>
                  <w:vAlign w:val="center"/>
                </w:tcPr>
                <w:p w14:paraId="25E65F6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r>
            <w:tr w14:paraId="1EEC2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3C7CF92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r>
                    <w:rPr>
                      <w:rFonts w:hint="default"/>
                      <w:color w:val="auto"/>
                      <w:sz w:val="21"/>
                      <w:szCs w:val="21"/>
                    </w:rPr>
                    <w:t>10</w:t>
                  </w:r>
                </w:p>
              </w:tc>
              <w:tc>
                <w:tcPr>
                  <w:tcW w:w="2068" w:type="pct"/>
                  <w:shd w:val="clear" w:color="auto" w:fill="auto"/>
                  <w:noWrap w:val="0"/>
                  <w:vAlign w:val="center"/>
                </w:tcPr>
                <w:p w14:paraId="122ED8F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储能变流器，变频器，IO及HMI,PLC产品热测试及样机组装</w:t>
                  </w:r>
                </w:p>
              </w:tc>
              <w:tc>
                <w:tcPr>
                  <w:tcW w:w="1557" w:type="pct"/>
                  <w:vMerge w:val="continue"/>
                  <w:noWrap w:val="0"/>
                  <w:vAlign w:val="center"/>
                </w:tcPr>
                <w:p w14:paraId="2C7F314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c>
                <w:tcPr>
                  <w:tcW w:w="964" w:type="pct"/>
                  <w:vMerge w:val="continue"/>
                  <w:noWrap w:val="0"/>
                  <w:vAlign w:val="center"/>
                </w:tcPr>
                <w:p w14:paraId="78851B3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r>
            <w:tr w14:paraId="25C7A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09" w:type="pct"/>
                  <w:noWrap w:val="0"/>
                  <w:vAlign w:val="center"/>
                </w:tcPr>
                <w:p w14:paraId="1BA4123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r>
                    <w:rPr>
                      <w:rFonts w:hint="default"/>
                      <w:color w:val="auto"/>
                      <w:sz w:val="21"/>
                      <w:szCs w:val="21"/>
                    </w:rPr>
                    <w:t>11</w:t>
                  </w:r>
                </w:p>
              </w:tc>
              <w:tc>
                <w:tcPr>
                  <w:tcW w:w="2068" w:type="pct"/>
                  <w:shd w:val="clear" w:color="auto" w:fill="auto"/>
                  <w:noWrap w:val="0"/>
                  <w:vAlign w:val="center"/>
                </w:tcPr>
                <w:p w14:paraId="5051E84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中大型PL</w:t>
                  </w:r>
                  <w:r>
                    <w:rPr>
                      <w:rFonts w:hint="eastAsia" w:ascii="Times New Roman" w:hAnsi="Times New Roman" w:eastAsia="宋体" w:cs="Times New Roman"/>
                      <w:color w:val="auto"/>
                      <w:sz w:val="21"/>
                      <w:szCs w:val="21"/>
                      <w:lang w:val="en-US" w:eastAsia="zh-CN"/>
                    </w:rPr>
                    <w:t>C（可编程逻辑控制器）产品研发项目</w:t>
                  </w:r>
                  <w:r>
                    <w:rPr>
                      <w:rFonts w:hint="eastAsia"/>
                      <w:color w:val="auto"/>
                      <w:sz w:val="21"/>
                      <w:szCs w:val="21"/>
                      <w:lang w:val="en-US" w:eastAsia="zh-CN"/>
                    </w:rPr>
                    <w:br w:type="textWrapping"/>
                  </w:r>
                  <w:r>
                    <w:rPr>
                      <w:rFonts w:hint="eastAsia"/>
                      <w:color w:val="auto"/>
                      <w:sz w:val="21"/>
                      <w:szCs w:val="21"/>
                      <w:lang w:val="en-US" w:eastAsia="zh-CN"/>
                    </w:rPr>
                    <w:t>中小型PLC产品研发项目</w:t>
                  </w:r>
                </w:p>
              </w:tc>
              <w:tc>
                <w:tcPr>
                  <w:tcW w:w="1557" w:type="pct"/>
                  <w:vMerge w:val="continue"/>
                  <w:noWrap w:val="0"/>
                  <w:vAlign w:val="center"/>
                </w:tcPr>
                <w:p w14:paraId="744713D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c>
                <w:tcPr>
                  <w:tcW w:w="964" w:type="pct"/>
                  <w:vMerge w:val="continue"/>
                  <w:noWrap w:val="0"/>
                  <w:vAlign w:val="center"/>
                </w:tcPr>
                <w:p w14:paraId="23945AF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r>
            <w:tr w14:paraId="32F9B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5242223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12</w:t>
                  </w:r>
                </w:p>
              </w:tc>
              <w:tc>
                <w:tcPr>
                  <w:tcW w:w="2068" w:type="pct"/>
                  <w:shd w:val="clear" w:color="auto" w:fill="auto"/>
                  <w:noWrap w:val="0"/>
                  <w:vAlign w:val="center"/>
                </w:tcPr>
                <w:p w14:paraId="5C3D20A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ascii="Times New Roman" w:hAnsi="Times New Roman" w:eastAsia="宋体" w:cs="Times New Roman"/>
                      <w:color w:val="auto"/>
                      <w:sz w:val="21"/>
                      <w:szCs w:val="21"/>
                      <w:lang w:val="en-US" w:eastAsia="zh-CN"/>
                    </w:rPr>
                    <w:t>HMI&amp;PAC（</w:t>
                  </w:r>
                  <w:r>
                    <w:rPr>
                      <w:rFonts w:hint="eastAsia" w:ascii="Times New Roman" w:hAnsi="Times New Roman" w:eastAsia="宋体" w:cs="Times New Roman"/>
                      <w:color w:val="auto"/>
                      <w:sz w:val="21"/>
                      <w:szCs w:val="21"/>
                      <w:lang w:val="en-US" w:eastAsia="zh-CN"/>
                    </w:rPr>
                    <w:fldChar w:fldCharType="begin"/>
                  </w:r>
                  <w:r>
                    <w:rPr>
                      <w:rFonts w:hint="eastAsia" w:ascii="Times New Roman" w:hAnsi="Times New Roman" w:eastAsia="宋体" w:cs="Times New Roman"/>
                      <w:color w:val="auto"/>
                      <w:sz w:val="21"/>
                      <w:szCs w:val="21"/>
                      <w:lang w:val="en-US" w:eastAsia="zh-CN"/>
                    </w:rPr>
                    <w:instrText xml:space="preserve"> HYPERLINK "https://zhida.zhihu.com/search?content_id=225773361&amp;content_type=Article&amp;match_order=1&amp;q=%E5%8F%AF%E7%BC%96%E7%A8%8B%E8%87%AA%E5%8A%A8%E5%8C%96%E6%8E%A7%E5%88%B6%E5%99%A8&amp;zd_token=eyJhbGciOiJIUzI1NiIsInR5cCI6IkpXVCJ9.eyJpc3MiOiJ6aGlkYV9zZXJ2ZXIiLCJleHAiOjE3NjE3ODY2NTMsInEiOiLlj6_nvJbnqIvoh6rliqjljJbmjqfliLblmagiLCJ6aGlkYV9zb3VyY2UiOiJlbnRpdHkiLCJjb250ZW50X2lkIjoyMjU3NzMzNjEsImNvbnRlbnRfdHlwZSI6IkFydGljbGUiLCJtYXRjaF9vcmRlciI6MSwiemRfdG9rZW4iOm51bGx9.GtA1HlbFxnbT4EN2JzWE9MxqgCVHDtaiZ8_6gn9U21I&amp;zhida_source=entity" \t "https://zhuanlan.zhihu.com/p/_blank" </w:instrText>
                  </w:r>
                  <w:r>
                    <w:rPr>
                      <w:rFonts w:hint="eastAsia" w:ascii="Times New Roman" w:hAnsi="Times New Roman" w:eastAsia="宋体" w:cs="Times New Roman"/>
                      <w:color w:val="auto"/>
                      <w:sz w:val="21"/>
                      <w:szCs w:val="21"/>
                      <w:lang w:val="en-US" w:eastAsia="zh-CN"/>
                    </w:rPr>
                    <w:fldChar w:fldCharType="separate"/>
                  </w:r>
                  <w:r>
                    <w:rPr>
                      <w:rFonts w:hint="eastAsia" w:ascii="Times New Roman" w:hAnsi="Times New Roman" w:eastAsia="宋体" w:cs="Times New Roman"/>
                      <w:color w:val="auto"/>
                      <w:sz w:val="21"/>
                      <w:szCs w:val="21"/>
                      <w:lang w:val="en-US" w:eastAsia="zh-CN"/>
                    </w:rPr>
                    <w:t>可编程自动化控制器</w:t>
                  </w:r>
                  <w:r>
                    <w:rPr>
                      <w:rFonts w:hint="eastAsia" w:ascii="Times New Roman" w:hAnsi="Times New Roman" w:eastAsia="宋体" w:cs="Times New Roman"/>
                      <w:color w:val="auto"/>
                      <w:sz w:val="21"/>
                      <w:szCs w:val="21"/>
                      <w:lang w:val="en-US" w:eastAsia="zh-CN"/>
                    </w:rPr>
                    <w:fldChar w:fldCharType="end"/>
                  </w:r>
                  <w:r>
                    <w:rPr>
                      <w:rFonts w:hint="eastAsia" w:ascii="Times New Roman" w:hAnsi="Times New Roman" w:eastAsia="宋体" w:cs="Times New Roman"/>
                      <w:color w:val="auto"/>
                      <w:sz w:val="21"/>
                      <w:szCs w:val="21"/>
                      <w:lang w:val="en-US" w:eastAsia="zh-CN"/>
                    </w:rPr>
                    <w:t>）产品测试</w:t>
                  </w:r>
                </w:p>
              </w:tc>
              <w:tc>
                <w:tcPr>
                  <w:tcW w:w="1557" w:type="pct"/>
                  <w:vMerge w:val="continue"/>
                  <w:noWrap w:val="0"/>
                  <w:vAlign w:val="center"/>
                </w:tcPr>
                <w:p w14:paraId="436944F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c>
                <w:tcPr>
                  <w:tcW w:w="964" w:type="pct"/>
                  <w:vMerge w:val="continue"/>
                  <w:noWrap w:val="0"/>
                  <w:vAlign w:val="center"/>
                </w:tcPr>
                <w:p w14:paraId="70CBF0A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rPr>
                  </w:pPr>
                </w:p>
              </w:tc>
            </w:tr>
            <w:tr w14:paraId="414A4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 w:hRule="atLeast"/>
                <w:jc w:val="center"/>
              </w:trPr>
              <w:tc>
                <w:tcPr>
                  <w:tcW w:w="409" w:type="pct"/>
                  <w:noWrap w:val="0"/>
                  <w:vAlign w:val="center"/>
                </w:tcPr>
                <w:p w14:paraId="16DEFD2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13</w:t>
                  </w:r>
                </w:p>
              </w:tc>
              <w:tc>
                <w:tcPr>
                  <w:tcW w:w="2068" w:type="pct"/>
                  <w:shd w:val="clear" w:color="auto" w:fill="auto"/>
                  <w:noWrap w:val="0"/>
                  <w:vAlign w:val="center"/>
                </w:tcPr>
                <w:p w14:paraId="0DD01E2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电控产品软件测试</w:t>
                  </w:r>
                </w:p>
              </w:tc>
              <w:tc>
                <w:tcPr>
                  <w:tcW w:w="1557" w:type="pct"/>
                  <w:vMerge w:val="restart"/>
                  <w:noWrap w:val="0"/>
                  <w:vAlign w:val="center"/>
                </w:tcPr>
                <w:p w14:paraId="1178884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软件类产品研发测试</w:t>
                  </w:r>
                </w:p>
              </w:tc>
              <w:tc>
                <w:tcPr>
                  <w:tcW w:w="964" w:type="pct"/>
                  <w:vMerge w:val="restart"/>
                  <w:noWrap w:val="0"/>
                  <w:vAlign w:val="center"/>
                </w:tcPr>
                <w:p w14:paraId="543705A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w:t>
                  </w:r>
                </w:p>
              </w:tc>
            </w:tr>
            <w:tr w14:paraId="2670A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2B9FA0D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14</w:t>
                  </w:r>
                </w:p>
              </w:tc>
              <w:tc>
                <w:tcPr>
                  <w:tcW w:w="2068" w:type="pct"/>
                  <w:shd w:val="clear" w:color="auto" w:fill="auto"/>
                  <w:noWrap w:val="0"/>
                  <w:vAlign w:val="center"/>
                </w:tcPr>
                <w:p w14:paraId="209D161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IFA产品（工业自动化全集成软件平台）测试</w:t>
                  </w:r>
                </w:p>
              </w:tc>
              <w:tc>
                <w:tcPr>
                  <w:tcW w:w="1557" w:type="pct"/>
                  <w:vMerge w:val="continue"/>
                  <w:noWrap w:val="0"/>
                  <w:vAlign w:val="center"/>
                </w:tcPr>
                <w:p w14:paraId="67D09B0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1D41D5"/>
                      <w:sz w:val="21"/>
                      <w:szCs w:val="21"/>
                    </w:rPr>
                  </w:pPr>
                </w:p>
              </w:tc>
              <w:tc>
                <w:tcPr>
                  <w:tcW w:w="964" w:type="pct"/>
                  <w:vMerge w:val="continue"/>
                  <w:noWrap w:val="0"/>
                  <w:vAlign w:val="center"/>
                </w:tcPr>
                <w:p w14:paraId="16A0916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1D41D5"/>
                      <w:sz w:val="21"/>
                      <w:szCs w:val="21"/>
                    </w:rPr>
                  </w:pPr>
                </w:p>
              </w:tc>
            </w:tr>
            <w:tr w14:paraId="6A3A8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7416E5C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15</w:t>
                  </w:r>
                </w:p>
              </w:tc>
              <w:tc>
                <w:tcPr>
                  <w:tcW w:w="2068" w:type="pct"/>
                  <w:shd w:val="clear" w:color="auto" w:fill="auto"/>
                  <w:noWrap w:val="0"/>
                  <w:vAlign w:val="center"/>
                </w:tcPr>
                <w:p w14:paraId="36D5837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iFS软件研发测试</w:t>
                  </w:r>
                </w:p>
              </w:tc>
              <w:tc>
                <w:tcPr>
                  <w:tcW w:w="1557" w:type="pct"/>
                  <w:vMerge w:val="continue"/>
                  <w:noWrap w:val="0"/>
                  <w:vAlign w:val="center"/>
                </w:tcPr>
                <w:p w14:paraId="3ED9E39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1D41D5"/>
                      <w:sz w:val="21"/>
                      <w:szCs w:val="21"/>
                    </w:rPr>
                  </w:pPr>
                </w:p>
              </w:tc>
              <w:tc>
                <w:tcPr>
                  <w:tcW w:w="964" w:type="pct"/>
                  <w:vMerge w:val="continue"/>
                  <w:noWrap w:val="0"/>
                  <w:vAlign w:val="center"/>
                </w:tcPr>
                <w:p w14:paraId="76C755E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1D41D5"/>
                      <w:sz w:val="21"/>
                      <w:szCs w:val="21"/>
                    </w:rPr>
                  </w:pPr>
                </w:p>
              </w:tc>
            </w:tr>
            <w:tr w14:paraId="0E34A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2E73D0E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16</w:t>
                  </w:r>
                </w:p>
              </w:tc>
              <w:tc>
                <w:tcPr>
                  <w:tcW w:w="2068" w:type="pct"/>
                  <w:shd w:val="clear" w:color="auto" w:fill="auto"/>
                  <w:noWrap w:val="0"/>
                  <w:vAlign w:val="center"/>
                </w:tcPr>
                <w:p w14:paraId="737715F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控制、能源类软硬件产品</w:t>
                  </w:r>
                </w:p>
              </w:tc>
              <w:tc>
                <w:tcPr>
                  <w:tcW w:w="1557" w:type="pct"/>
                  <w:vMerge w:val="continue"/>
                  <w:noWrap w:val="0"/>
                  <w:vAlign w:val="center"/>
                </w:tcPr>
                <w:p w14:paraId="58E21BC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1D41D5"/>
                      <w:sz w:val="21"/>
                      <w:szCs w:val="21"/>
                    </w:rPr>
                  </w:pPr>
                </w:p>
              </w:tc>
              <w:tc>
                <w:tcPr>
                  <w:tcW w:w="964" w:type="pct"/>
                  <w:vMerge w:val="continue"/>
                  <w:noWrap w:val="0"/>
                  <w:vAlign w:val="center"/>
                </w:tcPr>
                <w:p w14:paraId="7CC4214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1D41D5"/>
                      <w:sz w:val="21"/>
                      <w:szCs w:val="21"/>
                    </w:rPr>
                  </w:pPr>
                </w:p>
              </w:tc>
            </w:tr>
            <w:tr w14:paraId="259C2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240DEC5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17</w:t>
                  </w:r>
                </w:p>
              </w:tc>
              <w:tc>
                <w:tcPr>
                  <w:tcW w:w="2068" w:type="pct"/>
                  <w:shd w:val="clear" w:color="auto" w:fill="auto"/>
                  <w:noWrap w:val="0"/>
                  <w:vAlign w:val="center"/>
                </w:tcPr>
                <w:p w14:paraId="6EA5F3A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IEC控软平台项目</w:t>
                  </w:r>
                </w:p>
              </w:tc>
              <w:tc>
                <w:tcPr>
                  <w:tcW w:w="1557" w:type="pct"/>
                  <w:vMerge w:val="continue"/>
                  <w:noWrap w:val="0"/>
                  <w:vAlign w:val="center"/>
                </w:tcPr>
                <w:p w14:paraId="55027E1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1D41D5"/>
                      <w:sz w:val="21"/>
                      <w:szCs w:val="21"/>
                    </w:rPr>
                  </w:pPr>
                </w:p>
              </w:tc>
              <w:tc>
                <w:tcPr>
                  <w:tcW w:w="964" w:type="pct"/>
                  <w:vMerge w:val="continue"/>
                  <w:noWrap w:val="0"/>
                  <w:vAlign w:val="center"/>
                </w:tcPr>
                <w:p w14:paraId="475FCA3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1D41D5"/>
                      <w:sz w:val="21"/>
                      <w:szCs w:val="21"/>
                    </w:rPr>
                  </w:pPr>
                </w:p>
              </w:tc>
            </w:tr>
            <w:tr w14:paraId="4F3D2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09" w:type="pct"/>
                  <w:noWrap w:val="0"/>
                  <w:vAlign w:val="center"/>
                </w:tcPr>
                <w:p w14:paraId="5468F1D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18</w:t>
                  </w:r>
                </w:p>
              </w:tc>
              <w:tc>
                <w:tcPr>
                  <w:tcW w:w="2068" w:type="pct"/>
                  <w:shd w:val="clear" w:color="auto" w:fill="auto"/>
                  <w:noWrap w:val="0"/>
                  <w:vAlign w:val="center"/>
                </w:tcPr>
                <w:p w14:paraId="65D32FA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Motion子系统（驱动软件）</w:t>
                  </w:r>
                </w:p>
              </w:tc>
              <w:tc>
                <w:tcPr>
                  <w:tcW w:w="1557" w:type="pct"/>
                  <w:vMerge w:val="continue"/>
                  <w:noWrap w:val="0"/>
                  <w:vAlign w:val="center"/>
                </w:tcPr>
                <w:p w14:paraId="552CB35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1D41D5"/>
                      <w:sz w:val="21"/>
                      <w:szCs w:val="21"/>
                    </w:rPr>
                  </w:pPr>
                </w:p>
              </w:tc>
              <w:tc>
                <w:tcPr>
                  <w:tcW w:w="964" w:type="pct"/>
                  <w:vMerge w:val="continue"/>
                  <w:noWrap w:val="0"/>
                  <w:vAlign w:val="center"/>
                </w:tcPr>
                <w:p w14:paraId="12217B6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1D41D5"/>
                      <w:sz w:val="21"/>
                      <w:szCs w:val="21"/>
                    </w:rPr>
                  </w:pPr>
                </w:p>
              </w:tc>
            </w:tr>
          </w:tbl>
          <w:p w14:paraId="3228A55B">
            <w:pPr>
              <w:ind w:firstLine="482"/>
              <w:rPr>
                <w:b/>
                <w:bCs/>
                <w:color w:val="auto"/>
                <w:kern w:val="0"/>
              </w:rPr>
            </w:pPr>
            <w:r>
              <w:rPr>
                <w:rFonts w:hint="eastAsia"/>
                <w:b/>
                <w:bCs/>
                <w:color w:val="auto"/>
                <w:kern w:val="0"/>
                <w:lang w:val="en-US" w:eastAsia="zh-CN"/>
              </w:rPr>
              <w:t>4</w:t>
            </w:r>
            <w:r>
              <w:rPr>
                <w:b/>
                <w:bCs/>
                <w:color w:val="auto"/>
                <w:kern w:val="0"/>
              </w:rPr>
              <w:t>、主要原辅材料</w:t>
            </w:r>
          </w:p>
          <w:p w14:paraId="2E8E8AAB">
            <w:pPr>
              <w:rPr>
                <w:color w:val="auto"/>
                <w:kern w:val="0"/>
              </w:rPr>
            </w:pPr>
            <w:r>
              <w:rPr>
                <w:rFonts w:hint="eastAsia"/>
                <w:color w:val="auto"/>
                <w:kern w:val="0"/>
                <w:lang w:val="en-US" w:eastAsia="zh-CN"/>
              </w:rPr>
              <w:t>根据建设单位提供资料，</w:t>
            </w:r>
            <w:r>
              <w:rPr>
                <w:color w:val="auto"/>
                <w:kern w:val="0"/>
              </w:rPr>
              <w:t>项目主要原辅材料用量见表</w:t>
            </w:r>
            <w:r>
              <w:rPr>
                <w:rFonts w:hint="eastAsia"/>
                <w:color w:val="auto"/>
                <w:kern w:val="0"/>
              </w:rPr>
              <w:t>2-</w:t>
            </w:r>
            <w:r>
              <w:rPr>
                <w:rFonts w:hint="eastAsia"/>
                <w:color w:val="auto"/>
                <w:kern w:val="0"/>
                <w:lang w:val="en-US" w:eastAsia="zh-CN"/>
              </w:rPr>
              <w:t>3</w:t>
            </w:r>
            <w:r>
              <w:rPr>
                <w:color w:val="auto"/>
                <w:kern w:val="0"/>
              </w:rPr>
              <w:t>。</w:t>
            </w:r>
          </w:p>
          <w:p w14:paraId="2BE711AE">
            <w:pPr>
              <w:pStyle w:val="24"/>
              <w:bidi w:val="0"/>
              <w:rPr>
                <w:rFonts w:hint="eastAsia"/>
                <w:color w:val="auto"/>
                <w:sz w:val="24"/>
                <w:szCs w:val="24"/>
              </w:rPr>
            </w:pPr>
            <w:r>
              <w:rPr>
                <w:rFonts w:hint="eastAsia"/>
                <w:color w:val="auto"/>
                <w:sz w:val="24"/>
                <w:szCs w:val="24"/>
              </w:rPr>
              <w:t>表2-</w:t>
            </w:r>
            <w:r>
              <w:rPr>
                <w:rFonts w:hint="eastAsia"/>
                <w:color w:val="auto"/>
                <w:sz w:val="24"/>
                <w:szCs w:val="24"/>
                <w:lang w:val="en-US" w:eastAsia="zh-CN"/>
              </w:rPr>
              <w:t>3</w:t>
            </w:r>
            <w:r>
              <w:rPr>
                <w:rFonts w:hint="eastAsia"/>
                <w:color w:val="auto"/>
                <w:sz w:val="24"/>
                <w:szCs w:val="24"/>
              </w:rPr>
              <w:t xml:space="preserve">  项目主要原辅材料用量一览表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2062"/>
              <w:gridCol w:w="1398"/>
              <w:gridCol w:w="1374"/>
              <w:gridCol w:w="1626"/>
              <w:gridCol w:w="1019"/>
            </w:tblGrid>
            <w:tr w14:paraId="20B4F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44F7CE9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序号</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680309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原材料名称</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47CBAE6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包装方式及规格</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46AF44D9">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年用量</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27600E8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厂内最大暂存量</w:t>
                  </w:r>
                </w:p>
              </w:tc>
              <w:tc>
                <w:tcPr>
                  <w:tcW w:w="629" w:type="pct"/>
                  <w:tcBorders>
                    <w:top w:val="single" w:color="auto" w:sz="4" w:space="0"/>
                    <w:left w:val="single" w:color="auto" w:sz="4" w:space="0"/>
                    <w:bottom w:val="single" w:color="auto" w:sz="4" w:space="0"/>
                    <w:right w:val="single" w:color="auto" w:sz="4" w:space="0"/>
                    <w:tl2br w:val="nil"/>
                    <w:tr2bl w:val="nil"/>
                  </w:tcBorders>
                  <w:noWrap/>
                  <w:vAlign w:val="center"/>
                </w:tcPr>
                <w:p w14:paraId="3E5AFB73">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储存位置</w:t>
                  </w:r>
                </w:p>
              </w:tc>
            </w:tr>
            <w:tr w14:paraId="3ED71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16735649">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C7FB13E">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 xml:space="preserve">1527 </w:t>
                  </w:r>
                  <w:r>
                    <w:rPr>
                      <w:rFonts w:hint="default" w:ascii="Times New Roman" w:hAnsi="Times New Roman" w:eastAsia="宋体" w:cs="Times New Roman"/>
                      <w:color w:val="auto"/>
                      <w:kern w:val="0"/>
                      <w:sz w:val="21"/>
                      <w:szCs w:val="21"/>
                    </w:rPr>
                    <w:t>太阳电池组件专用密封剂</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0249E44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bidi="ar"/>
                    </w:rPr>
                    <w:t>310ml/支</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6D616A40">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20支</w:t>
                  </w:r>
                </w:p>
                <w:p w14:paraId="75B01ED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0.008</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0ED02AE4">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5支</w:t>
                  </w:r>
                </w:p>
                <w:p w14:paraId="53FE992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0.002</w:t>
                  </w:r>
                  <w:r>
                    <w:rPr>
                      <w:rFonts w:hint="default" w:ascii="Times New Roman" w:hAnsi="Times New Roman" w:eastAsia="宋体" w:cs="Times New Roman"/>
                      <w:color w:val="auto"/>
                      <w:sz w:val="21"/>
                      <w:szCs w:val="21"/>
                    </w:rPr>
                    <w:t>t/a</w:t>
                  </w:r>
                </w:p>
              </w:tc>
              <w:tc>
                <w:tcPr>
                  <w:tcW w:w="629" w:type="pct"/>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58E3CE59">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sz w:val="21"/>
                      <w:szCs w:val="21"/>
                    </w:rPr>
                  </w:pPr>
                </w:p>
                <w:p w14:paraId="0AEC3900">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库房</w:t>
                  </w:r>
                </w:p>
              </w:tc>
            </w:tr>
            <w:tr w14:paraId="0C67E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7D1DF9C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5C805B0">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电路板保护剂</w:t>
                  </w:r>
                  <w:r>
                    <w:rPr>
                      <w:rFonts w:hint="default" w:ascii="Times New Roman" w:hAnsi="Times New Roman" w:eastAsia="宋体" w:cs="Times New Roman"/>
                      <w:color w:val="auto"/>
                      <w:kern w:val="0"/>
                      <w:sz w:val="21"/>
                      <w:szCs w:val="21"/>
                      <w:highlight w:val="none"/>
                    </w:rPr>
                    <w:t>高效解胶剂</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6AC787B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bidi="ar"/>
                    </w:rPr>
                    <w:t>1L/瓶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23B5962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10瓶</w:t>
                  </w:r>
                </w:p>
                <w:p w14:paraId="6032522F">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0.012</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68675D2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3瓶</w:t>
                  </w:r>
                </w:p>
                <w:p w14:paraId="0307A0B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0.0036</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61640F5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391AC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007837A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61763F2">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水性金属切削液</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090D70A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bidi="ar"/>
                    </w:rPr>
                    <w:t>15KG/桶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272719FF">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20桶</w:t>
                  </w:r>
                </w:p>
                <w:p w14:paraId="31C0DCF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0.3</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456967C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5桶</w:t>
                  </w:r>
                </w:p>
                <w:p w14:paraId="5A1EDA5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0.075</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5B9B60F3">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2A598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1F6842E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2AF4F1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环氧树脂/环氧树脂固化剂</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3365FB2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1000g/瓶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019A8BD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30瓶</w:t>
                  </w:r>
                </w:p>
                <w:p w14:paraId="3476EB4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0.03</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64503649">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10瓶</w:t>
                  </w:r>
                </w:p>
                <w:p w14:paraId="32706C33">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0.01</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38727BB9">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69913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3F7A1C2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5</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ABB4459">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双酚-A型液态环氧树脂</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66268F7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1000g/瓶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5918918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30瓶</w:t>
                  </w:r>
                </w:p>
                <w:p w14:paraId="4FE8DE5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0.03</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43DB658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10瓶</w:t>
                  </w:r>
                </w:p>
                <w:p w14:paraId="77BB885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0.01</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2D06CA45">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47249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3F9D5EB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6</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3804EE7">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环氧树脂硬化剂</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2308F603">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1000g/瓶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26D3E61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30瓶</w:t>
                  </w:r>
                </w:p>
                <w:p w14:paraId="6DA72C13">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0.03</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20DCD23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10瓶</w:t>
                  </w:r>
                </w:p>
                <w:p w14:paraId="37F382E5">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0.01</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022759D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6CC44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7E464C0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7</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5860695">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冷镶埋树脂粉</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6A5728D4">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1000g/瓶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5477DED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30瓶</w:t>
                  </w:r>
                </w:p>
                <w:p w14:paraId="0B025773">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0.03</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72E9207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10瓶</w:t>
                  </w:r>
                </w:p>
                <w:p w14:paraId="607EFFE0">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0.01</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31BF5C5F">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21911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4227A8D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8</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3C98957">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电路板保护剂</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0A1D099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bidi="ar"/>
                    </w:rPr>
                    <w:t>5L/瓶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4C3B317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10瓶</w:t>
                  </w:r>
                </w:p>
                <w:p w14:paraId="381C2479">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0.05</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6E4DC3C5">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3瓶</w:t>
                  </w:r>
                </w:p>
                <w:p w14:paraId="56258F7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0.015</w:t>
                  </w:r>
                  <w:r>
                    <w:rPr>
                      <w:rFonts w:hint="default" w:ascii="Times New Roman" w:hAnsi="Times New Roman" w:eastAsia="宋体" w:cs="Times New Roman"/>
                      <w:color w:val="auto"/>
                      <w:sz w:val="21"/>
                      <w:szCs w:val="21"/>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52D2DF7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386CB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6B0B2A5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9</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65CF607">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多晶金刚石抛光液</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527AF7D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500ml/瓶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0494DD63">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10瓶</w:t>
                  </w:r>
                </w:p>
                <w:p w14:paraId="05A1DBA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eastAsia" w:ascii="Times New Roman" w:hAnsi="Times New Roman" w:eastAsia="宋体" w:cs="Times New Roman"/>
                      <w:color w:val="auto"/>
                      <w:kern w:val="0"/>
                      <w:sz w:val="21"/>
                      <w:szCs w:val="21"/>
                      <w:lang w:val="en-US" w:eastAsia="zh-CN" w:bidi="ar"/>
                    </w:rPr>
                    <w:t>0.005</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5D3229A5">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3瓶</w:t>
                  </w:r>
                </w:p>
                <w:p w14:paraId="292435F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eastAsia" w:ascii="Times New Roman" w:hAnsi="Times New Roman" w:eastAsia="宋体" w:cs="Times New Roman"/>
                      <w:color w:val="auto"/>
                      <w:kern w:val="0"/>
                      <w:sz w:val="21"/>
                      <w:szCs w:val="21"/>
                      <w:lang w:val="en-US" w:eastAsia="zh-CN" w:bidi="ar"/>
                    </w:rPr>
                    <w:t>0.0015</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0A95628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72179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676EF1E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08D1CE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漂洗剂</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64B1FF2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bidi="ar"/>
                    </w:rPr>
                    <w:t>500ml/瓶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2C664CD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10瓶</w:t>
                  </w:r>
                </w:p>
                <w:p w14:paraId="12F47BBF">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0.005</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5926F4B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3瓶</w:t>
                  </w:r>
                </w:p>
                <w:p w14:paraId="393D83F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0.0015</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633FBFB9">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1110D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6225785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11</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6AF1CCF">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清洗剂</w:t>
                  </w:r>
                  <w:r>
                    <w:rPr>
                      <w:rFonts w:hint="eastAsia" w:cs="Times New Roman"/>
                      <w:color w:val="auto"/>
                      <w:kern w:val="0"/>
                      <w:sz w:val="21"/>
                      <w:szCs w:val="21"/>
                      <w:lang w:eastAsia="zh-CN"/>
                    </w:rPr>
                    <w:t>（</w:t>
                  </w:r>
                  <w:r>
                    <w:rPr>
                      <w:rFonts w:hint="eastAsia" w:cs="Times New Roman"/>
                      <w:color w:val="auto"/>
                      <w:kern w:val="0"/>
                      <w:sz w:val="21"/>
                      <w:szCs w:val="21"/>
                      <w:lang w:val="en-US" w:eastAsia="zh-CN"/>
                    </w:rPr>
                    <w:t>洗板水）</w:t>
                  </w:r>
                  <w:bookmarkStart w:id="5" w:name="_GoBack"/>
                  <w:bookmarkEnd w:id="5"/>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2F65EED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bidi="ar"/>
                    </w:rPr>
                    <w:t>500ml/瓶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0D6B1D7A">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10瓶</w:t>
                  </w:r>
                </w:p>
                <w:p w14:paraId="081DC5F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0.005</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0EB776A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3瓶</w:t>
                  </w:r>
                </w:p>
                <w:p w14:paraId="1F5C69A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eastAsia" w:ascii="Times New Roman" w:hAnsi="Times New Roman" w:eastAsia="宋体" w:cs="Times New Roman"/>
                      <w:color w:val="auto"/>
                      <w:kern w:val="0"/>
                      <w:sz w:val="21"/>
                      <w:szCs w:val="21"/>
                      <w:lang w:val="en-US" w:eastAsia="zh-CN" w:bidi="ar"/>
                    </w:rPr>
                    <w:t>0.0015</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044A381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4E106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55C20E8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12</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23A09C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助焊剂</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06EC9544">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2L/桶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26354669">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5桶</w:t>
                  </w:r>
                </w:p>
                <w:p w14:paraId="21ABC24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0.01</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5BBE6FEE">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2桶</w:t>
                  </w:r>
                </w:p>
                <w:p w14:paraId="6532F67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0.004</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65693CE3">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6C4A3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44B81A5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13</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EE1B8D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焊丝</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1477284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20KG/盒</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06CBC96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100盒</w:t>
                  </w:r>
                </w:p>
                <w:p w14:paraId="2845D82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2</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1A619CB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20盒</w:t>
                  </w:r>
                </w:p>
                <w:p w14:paraId="1D8558B5">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0.4</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3FB7757E">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14C10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5B0477B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14</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806284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盐酸38%</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50D0FE8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500ml/瓶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1F18307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10瓶</w:t>
                  </w:r>
                </w:p>
                <w:p w14:paraId="6AB0CC0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0.006</w:t>
                  </w:r>
                  <w:r>
                    <w:rPr>
                      <w:rFonts w:hint="default" w:ascii="Times New Roman" w:hAnsi="Times New Roman" w:eastAsia="宋体" w:cs="Times New Roman"/>
                      <w:color w:val="auto"/>
                      <w:sz w:val="21"/>
                      <w:szCs w:val="21"/>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2CD20813">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3瓶</w:t>
                  </w:r>
                </w:p>
                <w:p w14:paraId="0108AE8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0.0018</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330763A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563B7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40E6E1C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15</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901854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丙酮</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69182799">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500ml/瓶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30D7914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10瓶</w:t>
                  </w:r>
                </w:p>
                <w:p w14:paraId="299F7CAF">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0.004</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40A5B90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3瓶</w:t>
                  </w:r>
                </w:p>
                <w:p w14:paraId="6410847E">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0.0012</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2DF4303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6F3AB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3371729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16</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4D67D35">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硫酸98%</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292FBC8E">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500ml/瓶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515FB2BF">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10瓶</w:t>
                  </w:r>
                </w:p>
                <w:p w14:paraId="5A1546A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bidi="ar"/>
                    </w:rPr>
                    <w:t>0.009</w:t>
                  </w:r>
                  <w:r>
                    <w:rPr>
                      <w:rFonts w:hint="default" w:ascii="Times New Roman" w:hAnsi="Times New Roman" w:eastAsia="宋体" w:cs="Times New Roman"/>
                      <w:color w:val="auto"/>
                      <w:sz w:val="21"/>
                      <w:szCs w:val="21"/>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2970E96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3瓶</w:t>
                  </w:r>
                </w:p>
                <w:p w14:paraId="002F7C6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0.0027</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741B99E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75360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6A40D62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17</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79E603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sz w:val="21"/>
                      <w:szCs w:val="21"/>
                      <w:lang w:val="en-US" w:eastAsia="zh-CN"/>
                    </w:rPr>
                    <w:t>硝酸65%</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61CABDF4">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500ml/瓶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43F4C2B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10瓶</w:t>
                  </w:r>
                </w:p>
                <w:p w14:paraId="13A7E063">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sz w:val="21"/>
                      <w:szCs w:val="21"/>
                    </w:rPr>
                    <w:t>0.0</w:t>
                  </w:r>
                  <w:r>
                    <w:rPr>
                      <w:rFonts w:hint="default" w:ascii="Times New Roman" w:hAnsi="Times New Roman" w:eastAsia="宋体" w:cs="Times New Roman"/>
                      <w:color w:val="auto"/>
                      <w:sz w:val="21"/>
                      <w:szCs w:val="21"/>
                      <w:lang w:val="en-US" w:eastAsia="zh-CN"/>
                    </w:rPr>
                    <w:t>07</w:t>
                  </w:r>
                  <w:r>
                    <w:rPr>
                      <w:rFonts w:hint="default" w:ascii="Times New Roman" w:hAnsi="Times New Roman" w:eastAsia="宋体" w:cs="Times New Roman"/>
                      <w:color w:val="auto"/>
                      <w:sz w:val="21"/>
                      <w:szCs w:val="21"/>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01073D74">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3瓶</w:t>
                  </w:r>
                </w:p>
                <w:p w14:paraId="79247FF4">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0.0021</w:t>
                  </w:r>
                  <w:r>
                    <w:rPr>
                      <w:rFonts w:hint="default" w:ascii="Times New Roman" w:hAnsi="Times New Roman" w:eastAsia="宋体" w:cs="Times New Roman"/>
                      <w:color w:val="auto"/>
                      <w:sz w:val="21"/>
                      <w:szCs w:val="21"/>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51E50745">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28E75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021DD2F3">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18</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ED68A3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高氯酸</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5C71AAD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500ml/瓶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0CCADCAA">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10瓶</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245CB46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3瓶</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3D63C94F">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0B08A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7B471FE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19</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1A44BF4">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bidi="ar"/>
                    </w:rPr>
                    <w:t>过氧化氢</w:t>
                  </w:r>
                  <w:r>
                    <w:rPr>
                      <w:rFonts w:hint="eastAsia" w:cs="Times New Roman"/>
                      <w:color w:val="auto"/>
                      <w:kern w:val="0"/>
                      <w:sz w:val="21"/>
                      <w:szCs w:val="21"/>
                      <w:lang w:eastAsia="zh-CN" w:bidi="ar"/>
                    </w:rPr>
                    <w:t>（</w:t>
                  </w:r>
                  <w:r>
                    <w:rPr>
                      <w:rFonts w:hint="eastAsia" w:cs="Times New Roman"/>
                      <w:color w:val="auto"/>
                      <w:kern w:val="0"/>
                      <w:sz w:val="21"/>
                      <w:szCs w:val="21"/>
                      <w:lang w:val="en-US" w:eastAsia="zh-CN" w:bidi="ar"/>
                    </w:rPr>
                    <w:t>双氧水）</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47B17AFE">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500ml/瓶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1C5E5E7E">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10瓶</w:t>
                  </w:r>
                </w:p>
                <w:p w14:paraId="0047948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0.055</w:t>
                  </w:r>
                  <w:r>
                    <w:rPr>
                      <w:rFonts w:hint="default" w:ascii="Times New Roman" w:hAnsi="Times New Roman" w:eastAsia="宋体" w:cs="Times New Roman"/>
                      <w:color w:val="auto"/>
                      <w:kern w:val="0"/>
                      <w:sz w:val="21"/>
                      <w:szCs w:val="21"/>
                      <w:lang w:bidi="ar"/>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3460A95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3瓶</w:t>
                  </w:r>
                </w:p>
                <w:p w14:paraId="76910710">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0.00165</w:t>
                  </w:r>
                  <w:r>
                    <w:rPr>
                      <w:rFonts w:hint="default" w:ascii="Times New Roman" w:hAnsi="Times New Roman" w:eastAsia="宋体" w:cs="Times New Roman"/>
                      <w:color w:val="auto"/>
                      <w:kern w:val="0"/>
                      <w:sz w:val="21"/>
                      <w:szCs w:val="21"/>
                      <w:lang w:bidi="ar"/>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4B06938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65E61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33EDF64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20</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3CC098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酒精</w:t>
                  </w:r>
                  <w:r>
                    <w:rPr>
                      <w:rFonts w:hint="default" w:ascii="Times New Roman" w:hAnsi="Times New Roman" w:eastAsia="宋体" w:cs="Times New Roman"/>
                      <w:color w:val="auto"/>
                      <w:kern w:val="0"/>
                      <w:sz w:val="21"/>
                      <w:szCs w:val="21"/>
                      <w:lang w:eastAsia="zh-CN"/>
                    </w:rPr>
                    <w:t>（</w:t>
                  </w:r>
                  <w:r>
                    <w:rPr>
                      <w:rFonts w:hint="default" w:ascii="Times New Roman" w:hAnsi="Times New Roman" w:eastAsia="宋体" w:cs="Times New Roman"/>
                      <w:color w:val="auto"/>
                      <w:kern w:val="0"/>
                      <w:sz w:val="21"/>
                      <w:szCs w:val="21"/>
                      <w:lang w:val="en-US" w:eastAsia="zh-CN"/>
                    </w:rPr>
                    <w:t>乙醇）</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7BE70BD4">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500ml/瓶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653D772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50瓶</w:t>
                  </w:r>
                </w:p>
                <w:p w14:paraId="537A6F7E">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sz w:val="21"/>
                      <w:szCs w:val="21"/>
                      <w:highlight w:val="none"/>
                      <w:lang w:val="en-US" w:eastAsia="zh-CN"/>
                    </w:rPr>
                    <w:t>0.02t/a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1553F3AA">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12瓶</w:t>
                  </w:r>
                </w:p>
                <w:p w14:paraId="5448C0A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0.0048</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52EDD01A">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4F692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4B34410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21</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BC865A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异丙</w:t>
                  </w:r>
                  <w:r>
                    <w:rPr>
                      <w:rFonts w:hint="default" w:ascii="Times New Roman" w:hAnsi="Times New Roman" w:eastAsia="宋体" w:cs="Times New Roman"/>
                      <w:color w:val="auto"/>
                      <w:kern w:val="0"/>
                      <w:sz w:val="21"/>
                      <w:szCs w:val="21"/>
                      <w:lang w:val="en-US" w:eastAsia="zh-CN"/>
                    </w:rPr>
                    <w:t>醇</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4495ECF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500ml/瓶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59A304B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10瓶</w:t>
                  </w:r>
                </w:p>
                <w:p w14:paraId="7F463A50">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sz w:val="21"/>
                      <w:szCs w:val="21"/>
                      <w:highlight w:val="none"/>
                      <w:lang w:val="en-US" w:eastAsia="zh-CN"/>
                    </w:rPr>
                    <w:t>0.004t/a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607A810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2瓶</w:t>
                  </w:r>
                </w:p>
                <w:p w14:paraId="2D27F4C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0.0008</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2C4CCF6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45B99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77BD4B9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22</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C0A9A7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乐泰7452促进剂</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636FBA6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20g/瓶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7DEF36E4">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50瓶</w:t>
                  </w:r>
                </w:p>
                <w:p w14:paraId="1F3C8E9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0.001</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2FF275AA">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50瓶</w:t>
                  </w:r>
                </w:p>
                <w:p w14:paraId="71D7A9F0">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eastAsia" w:ascii="Times New Roman" w:hAnsi="Times New Roman" w:eastAsia="宋体" w:cs="Times New Roman"/>
                      <w:color w:val="auto"/>
                      <w:kern w:val="0"/>
                      <w:sz w:val="21"/>
                      <w:szCs w:val="21"/>
                      <w:lang w:val="en-US" w:eastAsia="zh-CN" w:bidi="ar"/>
                    </w:rPr>
                    <w:t>0.001</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22B8972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sz w:val="21"/>
                      <w:szCs w:val="21"/>
                    </w:rPr>
                  </w:pPr>
                </w:p>
              </w:tc>
            </w:tr>
            <w:tr w14:paraId="588E8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2B34FA0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23</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8B0269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乐泰416瞬干胶</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40E1273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1KG/瓶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6E3B44A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50瓶</w:t>
                  </w:r>
                </w:p>
                <w:p w14:paraId="2A5F3A45">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0.005</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66814BC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50瓶</w:t>
                  </w:r>
                </w:p>
                <w:p w14:paraId="53D555BA">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0.005</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2BFC8F6E">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5F2F5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0A52386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24</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E41694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导热硅脂</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2FF4FEA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50ml/支</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6919A82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50瓶</w:t>
                  </w:r>
                </w:p>
                <w:p w14:paraId="4253EE3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0.009</w:t>
                  </w:r>
                  <w:r>
                    <w:rPr>
                      <w:rFonts w:hint="default" w:ascii="Times New Roman" w:hAnsi="Times New Roman" w:eastAsia="宋体" w:cs="Times New Roman"/>
                      <w:color w:val="auto"/>
                      <w:sz w:val="21"/>
                      <w:szCs w:val="21"/>
                      <w:highlight w:val="none"/>
                      <w:lang w:val="en-US" w:eastAsia="zh-CN"/>
                    </w:rPr>
                    <w:t>t/a</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53E489D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50瓶</w:t>
                  </w:r>
                </w:p>
                <w:p w14:paraId="4995A66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0.009</w:t>
                  </w:r>
                  <w:r>
                    <w:rPr>
                      <w:rFonts w:hint="default" w:ascii="Times New Roman" w:hAnsi="Times New Roman" w:eastAsia="宋体" w:cs="Times New Roman"/>
                      <w:color w:val="auto"/>
                      <w:sz w:val="21"/>
                      <w:szCs w:val="21"/>
                      <w:highlight w:val="none"/>
                      <w:lang w:val="en-US" w:eastAsia="zh-CN"/>
                    </w:rPr>
                    <w:t>t/a</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354FA175">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0F543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6CA3A47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25</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EE74B2F">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UV胶</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1ADC0FF7">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52ml/瓶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35276169">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100支</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0BAF0FDE">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100支</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5C14C925">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3F838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0A15D96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26</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4F98887">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防冻液</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70D38DAE">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200L/桶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0B9B732C">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400L</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7E9C4ED5">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200L</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64ABE450">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6437C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1247E6DF">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27</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B5B8B69">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齿轮润滑油</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19854FFA">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200L/桶</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76BE1BDA">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400L</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4E6753E0">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200L</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10F27193">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1D054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5C29BF3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28</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C60557D">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线缆</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058B55B3">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固态</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06E85DA1">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5t</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43ACBD77">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1t</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71519EE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6FA74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7612FE6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29</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172A32C">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IGBT模块</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6A6BD8E9">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1000只/箱，固态</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1BEC0063">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1万只</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4BA99038">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2000只</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664F97A5">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4D445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08E9897C">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30</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996FAFE">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卷材</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6BB787F6">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1KG/卷，固态</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133BEDF9">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80KG</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4CD536C1">
                  <w:pPr>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40KG</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6B4F46ED">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color w:val="auto"/>
                      <w:kern w:val="0"/>
                      <w:sz w:val="21"/>
                      <w:szCs w:val="21"/>
                    </w:rPr>
                  </w:pPr>
                </w:p>
              </w:tc>
            </w:tr>
            <w:tr w14:paraId="70D6E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4167ACB0">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31</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F71861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光敏树脂</w:t>
                  </w:r>
                </w:p>
              </w:tc>
              <w:tc>
                <w:tcPr>
                  <w:tcW w:w="863" w:type="pct"/>
                  <w:tcBorders>
                    <w:top w:val="single" w:color="auto" w:sz="4" w:space="0"/>
                    <w:left w:val="single" w:color="auto" w:sz="4" w:space="0"/>
                    <w:bottom w:val="single" w:color="auto" w:sz="4" w:space="0"/>
                    <w:right w:val="single" w:color="auto" w:sz="4" w:space="0"/>
                    <w:tl2br w:val="nil"/>
                    <w:tr2bl w:val="nil"/>
                  </w:tcBorders>
                  <w:noWrap/>
                  <w:vAlign w:val="center"/>
                </w:tcPr>
                <w:p w14:paraId="30F6999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1KG/瓶，液态</w:t>
                  </w:r>
                </w:p>
              </w:tc>
              <w:tc>
                <w:tcPr>
                  <w:tcW w:w="849" w:type="pct"/>
                  <w:tcBorders>
                    <w:top w:val="single" w:color="auto" w:sz="4" w:space="0"/>
                    <w:left w:val="single" w:color="auto" w:sz="4" w:space="0"/>
                    <w:bottom w:val="single" w:color="auto" w:sz="4" w:space="0"/>
                    <w:right w:val="single" w:color="auto" w:sz="4" w:space="0"/>
                    <w:tl2br w:val="nil"/>
                    <w:tr2bl w:val="nil"/>
                  </w:tcBorders>
                  <w:noWrap/>
                  <w:vAlign w:val="center"/>
                </w:tcPr>
                <w:p w14:paraId="1557FF2A">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50KG</w:t>
                  </w:r>
                </w:p>
              </w:tc>
              <w:tc>
                <w:tcPr>
                  <w:tcW w:w="1004" w:type="pct"/>
                  <w:tcBorders>
                    <w:top w:val="single" w:color="auto" w:sz="4" w:space="0"/>
                    <w:left w:val="single" w:color="auto" w:sz="4" w:space="0"/>
                    <w:bottom w:val="single" w:color="auto" w:sz="4" w:space="0"/>
                    <w:right w:val="single" w:color="auto" w:sz="4" w:space="0"/>
                    <w:tl2br w:val="nil"/>
                    <w:tr2bl w:val="nil"/>
                  </w:tcBorders>
                  <w:noWrap/>
                  <w:vAlign w:val="center"/>
                </w:tcPr>
                <w:p w14:paraId="5D68CF2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10KG</w:t>
                  </w:r>
                </w:p>
              </w:tc>
              <w:tc>
                <w:tcPr>
                  <w:tcW w:w="629" w:type="pct"/>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29101C0A">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000000"/>
                      <w:kern w:val="0"/>
                      <w:sz w:val="21"/>
                      <w:szCs w:val="21"/>
                      <w:lang w:bidi="ar"/>
                    </w:rPr>
                  </w:pPr>
                </w:p>
              </w:tc>
            </w:tr>
            <w:tr w14:paraId="79D6F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47B5D4FE">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32</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CACF09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水</w:t>
                  </w:r>
                </w:p>
              </w:tc>
              <w:tc>
                <w:tcPr>
                  <w:tcW w:w="2717" w:type="pct"/>
                  <w:gridSpan w:val="3"/>
                  <w:tcBorders>
                    <w:top w:val="single" w:color="auto" w:sz="4" w:space="0"/>
                    <w:left w:val="single" w:color="auto" w:sz="4" w:space="0"/>
                    <w:bottom w:val="single" w:color="auto" w:sz="4" w:space="0"/>
                    <w:right w:val="single" w:color="auto" w:sz="4" w:space="0"/>
                    <w:tl2br w:val="nil"/>
                    <w:tr2bl w:val="nil"/>
                  </w:tcBorders>
                  <w:noWrap/>
                  <w:vAlign w:val="center"/>
                </w:tcPr>
                <w:p w14:paraId="27D46541">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7.4万t</w:t>
                  </w:r>
                </w:p>
              </w:tc>
              <w:tc>
                <w:tcPr>
                  <w:tcW w:w="629" w:type="pct"/>
                  <w:tcBorders>
                    <w:top w:val="single" w:color="auto" w:sz="4" w:space="0"/>
                    <w:left w:val="single" w:color="auto" w:sz="4" w:space="0"/>
                    <w:bottom w:val="single" w:color="auto" w:sz="4" w:space="0"/>
                    <w:right w:val="single" w:color="auto" w:sz="4" w:space="0"/>
                    <w:tl2br w:val="nil"/>
                    <w:tr2bl w:val="nil"/>
                  </w:tcBorders>
                  <w:noWrap/>
                  <w:vAlign w:val="center"/>
                </w:tcPr>
                <w:p w14:paraId="7DCD28C5">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auto"/>
                      <w:kern w:val="0"/>
                      <w:sz w:val="21"/>
                      <w:szCs w:val="21"/>
                      <w:highlight w:val="none"/>
                    </w:rPr>
                    <w:t>市政管网供给</w:t>
                  </w:r>
                </w:p>
              </w:tc>
            </w:tr>
            <w:tr w14:paraId="599AD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78792B2A">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33</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1383FB0">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电</w:t>
                  </w:r>
                </w:p>
              </w:tc>
              <w:tc>
                <w:tcPr>
                  <w:tcW w:w="2717" w:type="pct"/>
                  <w:gridSpan w:val="3"/>
                  <w:tcBorders>
                    <w:top w:val="single" w:color="auto" w:sz="4" w:space="0"/>
                    <w:left w:val="single" w:color="auto" w:sz="4" w:space="0"/>
                    <w:bottom w:val="single" w:color="auto" w:sz="4" w:space="0"/>
                    <w:right w:val="single" w:color="auto" w:sz="4" w:space="0"/>
                    <w:tl2br w:val="nil"/>
                    <w:tr2bl w:val="nil"/>
                  </w:tcBorders>
                  <w:noWrap/>
                  <w:vAlign w:val="center"/>
                </w:tcPr>
                <w:p w14:paraId="5608F4A6">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bidi="ar"/>
                    </w:rPr>
                  </w:pPr>
                  <w:r>
                    <w:rPr>
                      <w:rFonts w:hint="eastAsia"/>
                      <w:color w:val="auto"/>
                      <w:spacing w:val="-11"/>
                      <w:sz w:val="21"/>
                      <w:szCs w:val="21"/>
                      <w:highlight w:val="none"/>
                      <w:lang w:val="en-US" w:eastAsia="zh-CN" w:bidi="ar"/>
                    </w:rPr>
                    <w:t>25万</w:t>
                  </w:r>
                  <w:r>
                    <w:rPr>
                      <w:rFonts w:hint="eastAsia"/>
                      <w:color w:val="auto"/>
                      <w:spacing w:val="-11"/>
                      <w:sz w:val="21"/>
                      <w:szCs w:val="21"/>
                      <w:highlight w:val="none"/>
                      <w:lang w:bidi="ar"/>
                    </w:rPr>
                    <w:t>k</w:t>
                  </w:r>
                  <w:r>
                    <w:rPr>
                      <w:rFonts w:hint="eastAsia"/>
                      <w:color w:val="auto"/>
                      <w:spacing w:val="-11"/>
                      <w:sz w:val="21"/>
                      <w:szCs w:val="21"/>
                      <w:highlight w:val="none"/>
                      <w:lang w:val="en-US" w:eastAsia="zh-CN" w:bidi="ar"/>
                    </w:rPr>
                    <w:t>W h</w:t>
                  </w:r>
                </w:p>
              </w:tc>
              <w:tc>
                <w:tcPr>
                  <w:tcW w:w="629" w:type="pct"/>
                  <w:tcBorders>
                    <w:top w:val="single" w:color="auto" w:sz="4" w:space="0"/>
                    <w:left w:val="single" w:color="auto" w:sz="4" w:space="0"/>
                    <w:bottom w:val="single" w:color="auto" w:sz="4" w:space="0"/>
                    <w:right w:val="single" w:color="auto" w:sz="4" w:space="0"/>
                    <w:tl2br w:val="nil"/>
                    <w:tr2bl w:val="nil"/>
                  </w:tcBorders>
                  <w:noWrap/>
                  <w:vAlign w:val="center"/>
                </w:tcPr>
                <w:p w14:paraId="7A0D33B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000000"/>
                      <w:kern w:val="0"/>
                      <w:sz w:val="21"/>
                      <w:szCs w:val="21"/>
                      <w:lang w:bidi="ar"/>
                    </w:rPr>
                  </w:pPr>
                  <w:r>
                    <w:rPr>
                      <w:rFonts w:hint="eastAsia" w:ascii="Times New Roman" w:hAnsi="Times New Roman" w:eastAsia="宋体" w:cs="Times New Roman"/>
                      <w:color w:val="auto"/>
                      <w:kern w:val="0"/>
                      <w:sz w:val="21"/>
                      <w:szCs w:val="21"/>
                      <w:highlight w:val="none"/>
                      <w:lang w:val="en-US" w:eastAsia="zh-CN"/>
                    </w:rPr>
                    <w:t>市政供电系统供应</w:t>
                  </w:r>
                </w:p>
              </w:tc>
            </w:tr>
            <w:tr w14:paraId="58BAE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 w:type="pct"/>
                  <w:tcBorders>
                    <w:top w:val="single" w:color="auto" w:sz="4" w:space="0"/>
                    <w:left w:val="single" w:color="auto" w:sz="4" w:space="0"/>
                    <w:bottom w:val="single" w:color="auto" w:sz="4" w:space="0"/>
                    <w:right w:val="single" w:color="auto" w:sz="4" w:space="0"/>
                    <w:tl2br w:val="nil"/>
                    <w:tr2bl w:val="nil"/>
                  </w:tcBorders>
                  <w:noWrap/>
                  <w:vAlign w:val="center"/>
                </w:tcPr>
                <w:p w14:paraId="2091E32B">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34</w:t>
                  </w:r>
                </w:p>
              </w:tc>
              <w:tc>
                <w:tcPr>
                  <w:tcW w:w="127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1D6361E">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天然气</w:t>
                  </w:r>
                </w:p>
              </w:tc>
              <w:tc>
                <w:tcPr>
                  <w:tcW w:w="2717" w:type="pct"/>
                  <w:gridSpan w:val="3"/>
                  <w:tcBorders>
                    <w:top w:val="single" w:color="auto" w:sz="4" w:space="0"/>
                    <w:left w:val="single" w:color="auto" w:sz="4" w:space="0"/>
                    <w:bottom w:val="single" w:color="auto" w:sz="4" w:space="0"/>
                    <w:right w:val="single" w:color="auto" w:sz="4" w:space="0"/>
                    <w:tl2br w:val="nil"/>
                    <w:tr2bl w:val="nil"/>
                  </w:tcBorders>
                  <w:noWrap/>
                  <w:vAlign w:val="center"/>
                </w:tcPr>
                <w:p w14:paraId="0F3BBB82">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3万m</w:t>
                  </w:r>
                  <w:r>
                    <w:rPr>
                      <w:rFonts w:hint="eastAsia" w:ascii="Times New Roman" w:hAnsi="Times New Roman" w:eastAsia="宋体" w:cs="Times New Roman"/>
                      <w:color w:val="auto"/>
                      <w:kern w:val="0"/>
                      <w:sz w:val="21"/>
                      <w:szCs w:val="21"/>
                      <w:vertAlign w:val="superscript"/>
                      <w:lang w:val="en-US" w:eastAsia="zh-CN" w:bidi="ar"/>
                    </w:rPr>
                    <w:t>3</w:t>
                  </w:r>
                </w:p>
              </w:tc>
              <w:tc>
                <w:tcPr>
                  <w:tcW w:w="629" w:type="pct"/>
                  <w:tcBorders>
                    <w:top w:val="single" w:color="auto" w:sz="4" w:space="0"/>
                    <w:left w:val="single" w:color="auto" w:sz="4" w:space="0"/>
                    <w:bottom w:val="single" w:color="auto" w:sz="4" w:space="0"/>
                    <w:right w:val="single" w:color="auto" w:sz="4" w:space="0"/>
                    <w:tl2br w:val="nil"/>
                    <w:tr2bl w:val="nil"/>
                  </w:tcBorders>
                  <w:noWrap/>
                  <w:vAlign w:val="center"/>
                </w:tcPr>
                <w:p w14:paraId="1C17B3D8">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市政</w:t>
                  </w:r>
                </w:p>
                <w:p w14:paraId="26CF0CBA">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auto"/>
                      <w:kern w:val="0"/>
                      <w:sz w:val="21"/>
                      <w:szCs w:val="21"/>
                      <w:highlight w:val="none"/>
                    </w:rPr>
                    <w:t>供给</w:t>
                  </w:r>
                </w:p>
              </w:tc>
            </w:tr>
          </w:tbl>
          <w:p w14:paraId="7C9333B9">
            <w:pPr>
              <w:pStyle w:val="24"/>
              <w:bidi w:val="0"/>
              <w:rPr>
                <w:rFonts w:hint="eastAsia"/>
                <w:color w:val="auto"/>
                <w:sz w:val="24"/>
                <w:szCs w:val="24"/>
              </w:rPr>
            </w:pPr>
            <w:r>
              <w:rPr>
                <w:rFonts w:hint="eastAsia"/>
                <w:color w:val="auto"/>
                <w:sz w:val="24"/>
                <w:szCs w:val="24"/>
              </w:rPr>
              <w:t>表2-</w:t>
            </w:r>
            <w:r>
              <w:rPr>
                <w:rFonts w:hint="eastAsia"/>
                <w:color w:val="auto"/>
                <w:sz w:val="24"/>
                <w:szCs w:val="24"/>
                <w:lang w:val="en-US" w:eastAsia="zh-CN"/>
              </w:rPr>
              <w:t>4</w:t>
            </w:r>
            <w:r>
              <w:rPr>
                <w:rFonts w:hint="eastAsia"/>
                <w:color w:val="auto"/>
                <w:sz w:val="24"/>
                <w:szCs w:val="24"/>
              </w:rPr>
              <w:t xml:space="preserve">  项目主要原辅材料理化性质一览表</w:t>
            </w:r>
          </w:p>
          <w:tbl>
            <w:tblPr>
              <w:tblStyle w:val="16"/>
              <w:tblW w:w="49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06"/>
              <w:gridCol w:w="7164"/>
            </w:tblGrid>
            <w:tr w14:paraId="4BE27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561" w:type="pct"/>
                  <w:tcBorders>
                    <w:tl2br w:val="nil"/>
                    <w:tr2bl w:val="nil"/>
                  </w:tcBorders>
                  <w:shd w:val="clear" w:color="auto" w:fill="auto"/>
                  <w:noWrap w:val="0"/>
                  <w:vAlign w:val="center"/>
                </w:tcPr>
                <w:p w14:paraId="423776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rPr>
                  </w:pPr>
                  <w:r>
                    <w:rPr>
                      <w:b/>
                      <w:bCs/>
                      <w:color w:val="auto"/>
                      <w:sz w:val="21"/>
                      <w:szCs w:val="21"/>
                    </w:rPr>
                    <w:t>名称</w:t>
                  </w:r>
                </w:p>
              </w:tc>
              <w:tc>
                <w:tcPr>
                  <w:tcW w:w="4438" w:type="pct"/>
                  <w:tcBorders>
                    <w:tl2br w:val="nil"/>
                    <w:tr2bl w:val="nil"/>
                  </w:tcBorders>
                  <w:shd w:val="clear" w:color="auto" w:fill="auto"/>
                  <w:noWrap w:val="0"/>
                  <w:vAlign w:val="center"/>
                </w:tcPr>
                <w:p w14:paraId="660234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rPr>
                  </w:pPr>
                  <w:r>
                    <w:rPr>
                      <w:b/>
                      <w:bCs/>
                      <w:color w:val="auto"/>
                      <w:sz w:val="21"/>
                      <w:szCs w:val="21"/>
                    </w:rPr>
                    <w:t>理化特性</w:t>
                  </w:r>
                </w:p>
              </w:tc>
            </w:tr>
            <w:tr w14:paraId="3D17D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5" w:hRule="atLeast"/>
                <w:jc w:val="center"/>
              </w:trPr>
              <w:tc>
                <w:tcPr>
                  <w:tcW w:w="561" w:type="pct"/>
                  <w:tcBorders>
                    <w:tl2br w:val="nil"/>
                    <w:tr2bl w:val="nil"/>
                  </w:tcBorders>
                  <w:shd w:val="clear" w:color="auto" w:fill="auto"/>
                  <w:noWrap w:val="0"/>
                  <w:vAlign w:val="center"/>
                </w:tcPr>
                <w:p w14:paraId="3DCFA5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导热硅脂</w:t>
                  </w:r>
                </w:p>
              </w:tc>
              <w:tc>
                <w:tcPr>
                  <w:tcW w:w="4438" w:type="pct"/>
                  <w:tcBorders>
                    <w:tl2br w:val="nil"/>
                    <w:tr2bl w:val="nil"/>
                  </w:tcBorders>
                  <w:shd w:val="clear" w:color="auto" w:fill="auto"/>
                  <w:noWrap w:val="0"/>
                  <w:vAlign w:val="center"/>
                </w:tcPr>
                <w:p w14:paraId="735EFD1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导热硅脂：俗称散热膏，导热硅脂以有机硅酮为主要原料，添加耐热、导热性能优异的材料，制成的导热型有机硅脂状复合物，用于功率放大器、晶体管、电子管、CPU等电子元器件的导热及散热，从而保证电子仪器、仪表等的电气性能的稳定，其主要成分为乙烯基甲基硅氧烷改性的氧化锌。</w:t>
                  </w:r>
                </w:p>
              </w:tc>
            </w:tr>
            <w:tr w14:paraId="5BC78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5" w:hRule="atLeast"/>
                <w:jc w:val="center"/>
              </w:trPr>
              <w:tc>
                <w:tcPr>
                  <w:tcW w:w="561" w:type="pct"/>
                  <w:tcBorders>
                    <w:tl2br w:val="nil"/>
                    <w:tr2bl w:val="nil"/>
                  </w:tcBorders>
                  <w:shd w:val="clear" w:color="auto" w:fill="auto"/>
                  <w:noWrap w:val="0"/>
                  <w:vAlign w:val="center"/>
                </w:tcPr>
                <w:p w14:paraId="51D9F3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1527 太阳电池组件专用密封剂</w:t>
                  </w:r>
                </w:p>
              </w:tc>
              <w:tc>
                <w:tcPr>
                  <w:tcW w:w="4438" w:type="pct"/>
                  <w:tcBorders>
                    <w:tl2br w:val="nil"/>
                    <w:tr2bl w:val="nil"/>
                  </w:tcBorders>
                  <w:shd w:val="clear" w:color="auto" w:fill="auto"/>
                  <w:noWrap w:val="0"/>
                  <w:vAlign w:val="center"/>
                </w:tcPr>
                <w:p w14:paraId="76E6260A">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外观为白色膏状物，有轻微气味，蒸气压为</w:t>
                  </w:r>
                  <w:r>
                    <w:rPr>
                      <w:rFonts w:hint="default" w:ascii="Times New Roman" w:hAnsi="Times New Roman" w:eastAsia="宋体" w:cs="Times New Roman"/>
                      <w:color w:val="auto"/>
                      <w:sz w:val="21"/>
                      <w:szCs w:val="21"/>
                      <w:lang w:val="en-US" w:eastAsia="zh-CN"/>
                    </w:rPr>
                    <w:t>5mm Hg</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21</w:t>
                  </w:r>
                  <w:r>
                    <w:rPr>
                      <w:rFonts w:hint="eastAsia" w:ascii="Times New Roman" w:hAnsi="Times New Roman" w:eastAsia="宋体" w:cs="Times New Roman"/>
                      <w:color w:val="auto"/>
                      <w:sz w:val="21"/>
                      <w:szCs w:val="21"/>
                      <w:lang w:val="en-US" w:eastAsia="zh-CN"/>
                    </w:rPr>
                    <w:t>℃，比空气重，水中溶解性为聚合，密度</w:t>
                  </w:r>
                  <w:r>
                    <w:rPr>
                      <w:rFonts w:hint="default" w:ascii="Times New Roman" w:hAnsi="Times New Roman" w:eastAsia="宋体" w:cs="Times New Roman"/>
                      <w:color w:val="auto"/>
                      <w:sz w:val="21"/>
                      <w:szCs w:val="21"/>
                      <w:lang w:val="en-US" w:eastAsia="zh-CN"/>
                    </w:rPr>
                    <w:t>:1.37</w:t>
                  </w:r>
                  <w:r>
                    <w:rPr>
                      <w:rFonts w:hint="eastAsia" w:ascii="Times New Roman" w:hAnsi="Times New Roman" w:eastAsia="宋体" w:cs="Times New Roman"/>
                      <w:color w:val="auto"/>
                      <w:sz w:val="21"/>
                      <w:szCs w:val="21"/>
                      <w:lang w:val="en-US" w:eastAsia="zh-CN"/>
                    </w:rPr>
                    <w:t>，具有稳定性。</w:t>
                  </w:r>
                </w:p>
                <w:p w14:paraId="56D247AC">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含有</w:t>
                  </w:r>
                  <w:r>
                    <w:rPr>
                      <w:rFonts w:hint="default" w:ascii="Times New Roman" w:hAnsi="Times New Roman" w:eastAsia="宋体" w:cs="Times New Roman"/>
                      <w:color w:val="auto"/>
                      <w:sz w:val="21"/>
                      <w:szCs w:val="21"/>
                      <w:lang w:val="en-US" w:eastAsia="zh-CN"/>
                    </w:rPr>
                    <w:t>3-5</w:t>
                  </w:r>
                  <w:r>
                    <w:rPr>
                      <w:rFonts w:hint="eastAsia" w:ascii="Times New Roman" w:hAnsi="Times New Roman" w:eastAsia="宋体" w:cs="Times New Roman"/>
                      <w:color w:val="auto"/>
                      <w:sz w:val="21"/>
                      <w:szCs w:val="21"/>
                      <w:lang w:val="en-US" w:eastAsia="zh-CN"/>
                    </w:rPr>
                    <w:t>%乙烯基肟基硅烷，当这种产品与湿气接触，会产生</w:t>
                  </w:r>
                  <w:r>
                    <w:rPr>
                      <w:rFonts w:hint="default" w:ascii="Times New Roman" w:hAnsi="Times New Roman" w:eastAsia="宋体" w:cs="Times New Roman"/>
                      <w:color w:val="auto"/>
                      <w:sz w:val="21"/>
                      <w:szCs w:val="21"/>
                      <w:lang w:val="en-US" w:eastAsia="zh-CN"/>
                    </w:rPr>
                    <w:t>1</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5%</w:t>
                  </w:r>
                  <w:r>
                    <w:rPr>
                      <w:rFonts w:hint="eastAsia" w:ascii="Times New Roman" w:hAnsi="Times New Roman" w:eastAsia="宋体" w:cs="Times New Roman"/>
                      <w:color w:val="auto"/>
                      <w:sz w:val="21"/>
                      <w:szCs w:val="21"/>
                      <w:lang w:val="en-US" w:eastAsia="zh-CN"/>
                    </w:rPr>
                    <w:t>的甲基乙基酮肟</w:t>
                  </w:r>
                  <w:r>
                    <w:rPr>
                      <w:rFonts w:hint="default" w:ascii="Times New Roman" w:hAnsi="Times New Roman" w:eastAsia="宋体" w:cs="Times New Roman"/>
                      <w:color w:val="auto"/>
                      <w:sz w:val="21"/>
                      <w:szCs w:val="21"/>
                      <w:lang w:val="en-US" w:eastAsia="zh-CN"/>
                    </w:rPr>
                    <w:t xml:space="preserve"> 96-29-7</w:t>
                  </w:r>
                  <w:r>
                    <w:rPr>
                      <w:rFonts w:hint="eastAsia" w:ascii="Times New Roman" w:hAnsi="Times New Roman" w:eastAsia="宋体" w:cs="Times New Roman"/>
                      <w:color w:val="auto"/>
                      <w:sz w:val="21"/>
                      <w:szCs w:val="21"/>
                      <w:lang w:val="en-US" w:eastAsia="zh-CN"/>
                    </w:rPr>
                    <w:t>。与皮肤和眼睛接触，会产生有轻微的刺激作用，长期接触可能引起皮炎，过量蒸气吸入可能引起头痛。</w:t>
                  </w:r>
                </w:p>
              </w:tc>
            </w:tr>
            <w:tr w14:paraId="2520E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5" w:hRule="atLeast"/>
                <w:jc w:val="center"/>
              </w:trPr>
              <w:tc>
                <w:tcPr>
                  <w:tcW w:w="561" w:type="pct"/>
                  <w:tcBorders>
                    <w:tl2br w:val="nil"/>
                    <w:tr2bl w:val="nil"/>
                  </w:tcBorders>
                  <w:shd w:val="clear" w:color="auto" w:fill="auto"/>
                  <w:noWrap w:val="0"/>
                  <w:vAlign w:val="center"/>
                </w:tcPr>
                <w:p w14:paraId="2F9ECD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电路板保护剂</w:t>
                  </w:r>
                  <w:r>
                    <w:rPr>
                      <w:rFonts w:hint="eastAsia" w:ascii="Times New Roman" w:hAnsi="Times New Roman" w:eastAsia="宋体" w:cs="Times New Roman"/>
                      <w:color w:val="auto"/>
                      <w:sz w:val="21"/>
                      <w:szCs w:val="21"/>
                      <w:lang w:val="en-US" w:eastAsia="zh-CN"/>
                    </w:rPr>
                    <w:t>高效解胶剂</w:t>
                  </w:r>
                </w:p>
              </w:tc>
              <w:tc>
                <w:tcPr>
                  <w:tcW w:w="4438" w:type="pct"/>
                  <w:tcBorders>
                    <w:tl2br w:val="nil"/>
                    <w:tr2bl w:val="nil"/>
                  </w:tcBorders>
                  <w:shd w:val="clear" w:color="auto" w:fill="auto"/>
                  <w:noWrap w:val="0"/>
                  <w:vAlign w:val="center"/>
                </w:tcPr>
                <w:p w14:paraId="4B2DBA1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液体，无色，醚类气味，微溶于水，沸点＞80℃，闪点： ＞60℃，蒸气压30KPa，比重（g/cm</w:t>
                  </w:r>
                  <w:r>
                    <w:rPr>
                      <w:rFonts w:hint="eastAsia"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lang w:val="en-US" w:eastAsia="zh-CN"/>
                    </w:rPr>
                    <w:t>，23℃）1.2±0.05 ，引燃温度610℃。成分含有5-30%功能活性剂，20-50%二甲氧基甲烷，20-50%1,2-二氯乙烯。侵入途径，吸入，食入，皮肤吸收；接触引起皮肤刺激疼痛感，过敏；本品有麻醉作用，可能引起头晕或欲睡。</w:t>
                  </w:r>
                </w:p>
              </w:tc>
            </w:tr>
            <w:tr w14:paraId="02414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5" w:hRule="atLeast"/>
                <w:jc w:val="center"/>
              </w:trPr>
              <w:tc>
                <w:tcPr>
                  <w:tcW w:w="561" w:type="pct"/>
                  <w:tcBorders>
                    <w:tl2br w:val="nil"/>
                    <w:tr2bl w:val="nil"/>
                  </w:tcBorders>
                  <w:shd w:val="clear" w:color="auto" w:fill="auto"/>
                  <w:noWrap w:val="0"/>
                  <w:vAlign w:val="center"/>
                </w:tcPr>
                <w:p w14:paraId="78FDCB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环氧树脂/环氧树脂固化剂</w:t>
                  </w:r>
                </w:p>
              </w:tc>
              <w:tc>
                <w:tcPr>
                  <w:tcW w:w="4438" w:type="pct"/>
                  <w:tcBorders>
                    <w:tl2br w:val="nil"/>
                    <w:tr2bl w:val="nil"/>
                  </w:tcBorders>
                  <w:shd w:val="clear" w:color="auto" w:fill="auto"/>
                  <w:noWrap w:val="0"/>
                  <w:vAlign w:val="center"/>
                </w:tcPr>
                <w:p w14:paraId="18CB9BE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含有脂肪胺、脂环胺、芳香胺、聚酰胺、酸酐、树脂类、叔胺等成分，有机</w:t>
                  </w:r>
                  <w:r>
                    <w:rPr>
                      <w:rFonts w:hint="eastAsia" w:cs="Times New Roman"/>
                      <w:color w:val="auto"/>
                      <w:sz w:val="21"/>
                      <w:szCs w:val="21"/>
                      <w:lang w:val="en-US" w:eastAsia="zh-CN"/>
                    </w:rPr>
                    <w:t>易挥发</w:t>
                  </w:r>
                  <w:r>
                    <w:rPr>
                      <w:rFonts w:hint="eastAsia" w:ascii="Times New Roman" w:hAnsi="Times New Roman" w:eastAsia="宋体" w:cs="Times New Roman"/>
                      <w:color w:val="auto"/>
                      <w:sz w:val="21"/>
                      <w:szCs w:val="21"/>
                      <w:lang w:val="en-US" w:eastAsia="zh-CN"/>
                    </w:rPr>
                    <w:t>成分10%；具有在新能源汽车电池封装中实现固化时间缩短40%的应用。对皮肤和黏膜的刺激性</w:t>
                  </w:r>
                </w:p>
              </w:tc>
            </w:tr>
            <w:tr w14:paraId="0F309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94" w:hRule="atLeast"/>
                <w:jc w:val="center"/>
              </w:trPr>
              <w:tc>
                <w:tcPr>
                  <w:tcW w:w="561" w:type="pct"/>
                  <w:tcBorders>
                    <w:tl2br w:val="nil"/>
                    <w:tr2bl w:val="nil"/>
                  </w:tcBorders>
                  <w:shd w:val="clear" w:color="auto" w:fill="auto"/>
                  <w:noWrap w:val="0"/>
                  <w:vAlign w:val="center"/>
                </w:tcPr>
                <w:p w14:paraId="1FA910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环氧树脂硬化剂</w:t>
                  </w:r>
                </w:p>
              </w:tc>
              <w:tc>
                <w:tcPr>
                  <w:tcW w:w="4438" w:type="pct"/>
                  <w:tcBorders>
                    <w:tl2br w:val="nil"/>
                    <w:tr2bl w:val="nil"/>
                  </w:tcBorders>
                  <w:shd w:val="clear" w:color="auto" w:fill="auto"/>
                  <w:noWrap w:val="0"/>
                  <w:vAlign w:val="center"/>
                </w:tcPr>
                <w:p w14:paraId="48918D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含有脂肪胺、脂环胺、芳香胺、聚酰胺、酸酐、树脂类、叔胺等成分，有机</w:t>
                  </w:r>
                  <w:r>
                    <w:rPr>
                      <w:rFonts w:hint="eastAsia" w:cs="Times New Roman"/>
                      <w:color w:val="auto"/>
                      <w:sz w:val="21"/>
                      <w:szCs w:val="21"/>
                      <w:lang w:val="en-US" w:eastAsia="zh-CN"/>
                    </w:rPr>
                    <w:t>易挥发</w:t>
                  </w:r>
                  <w:r>
                    <w:rPr>
                      <w:rFonts w:hint="eastAsia" w:ascii="Times New Roman" w:hAnsi="Times New Roman" w:eastAsia="宋体" w:cs="Times New Roman"/>
                      <w:color w:val="auto"/>
                      <w:sz w:val="21"/>
                      <w:szCs w:val="21"/>
                      <w:lang w:val="en-US" w:eastAsia="zh-CN"/>
                    </w:rPr>
                    <w:t>成分10%；具有在新能源汽车电池封装中实现固化时间缩短40%的应用。对皮肤和黏膜的刺激性</w:t>
                  </w:r>
                </w:p>
              </w:tc>
            </w:tr>
            <w:tr w14:paraId="7DEAB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5" w:hRule="atLeast"/>
                <w:jc w:val="center"/>
              </w:trPr>
              <w:tc>
                <w:tcPr>
                  <w:tcW w:w="561" w:type="pct"/>
                  <w:tcBorders>
                    <w:tl2br w:val="nil"/>
                    <w:tr2bl w:val="nil"/>
                  </w:tcBorders>
                  <w:shd w:val="clear" w:color="auto" w:fill="auto"/>
                  <w:noWrap w:val="0"/>
                  <w:vAlign w:val="center"/>
                </w:tcPr>
                <w:p w14:paraId="5200AD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漂洗剂</w:t>
                  </w:r>
                </w:p>
              </w:tc>
              <w:tc>
                <w:tcPr>
                  <w:tcW w:w="4438" w:type="pct"/>
                  <w:tcBorders>
                    <w:tl2br w:val="nil"/>
                    <w:tr2bl w:val="nil"/>
                  </w:tcBorders>
                  <w:shd w:val="clear" w:color="auto" w:fill="auto"/>
                  <w:noWrap w:val="0"/>
                  <w:vAlign w:val="center"/>
                </w:tcPr>
                <w:p w14:paraId="3F78B90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含有9-76%全氟丁基甲醚，19-76%甲基九氟丁醚，4-5%异丙醇。用于电子工业清洗。</w:t>
                  </w:r>
                </w:p>
              </w:tc>
            </w:tr>
            <w:tr w14:paraId="1703B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5" w:hRule="atLeast"/>
                <w:jc w:val="center"/>
              </w:trPr>
              <w:tc>
                <w:tcPr>
                  <w:tcW w:w="561" w:type="pct"/>
                  <w:tcBorders>
                    <w:tl2br w:val="nil"/>
                    <w:tr2bl w:val="nil"/>
                  </w:tcBorders>
                  <w:shd w:val="clear" w:color="auto" w:fill="auto"/>
                  <w:noWrap w:val="0"/>
                  <w:vAlign w:val="center"/>
                </w:tcPr>
                <w:p w14:paraId="55A20E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清洗剂</w:t>
                  </w:r>
                </w:p>
              </w:tc>
              <w:tc>
                <w:tcPr>
                  <w:tcW w:w="4438" w:type="pct"/>
                  <w:tcBorders>
                    <w:tl2br w:val="nil"/>
                    <w:tr2bl w:val="nil"/>
                  </w:tcBorders>
                  <w:shd w:val="clear" w:color="auto" w:fill="auto"/>
                  <w:noWrap w:val="0"/>
                  <w:vAlign w:val="center"/>
                </w:tcPr>
                <w:p w14:paraId="750A3BA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含有50-90%碳氢化合物，C11-C14，异烷烃，环烃，&lt;2%芳烃，5–10% 2-甲基戊烷-2,4-二醇（2-甲氧基甲基乙氧基），5–10%丙醇。用于电子工业清洗。</w:t>
                  </w:r>
                </w:p>
              </w:tc>
            </w:tr>
            <w:tr w14:paraId="6601A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5" w:hRule="atLeast"/>
                <w:jc w:val="center"/>
              </w:trPr>
              <w:tc>
                <w:tcPr>
                  <w:tcW w:w="561" w:type="pct"/>
                  <w:tcBorders>
                    <w:tl2br w:val="nil"/>
                    <w:tr2bl w:val="nil"/>
                  </w:tcBorders>
                  <w:shd w:val="clear" w:color="auto" w:fill="auto"/>
                  <w:noWrap w:val="0"/>
                  <w:vAlign w:val="center"/>
                </w:tcPr>
                <w:p w14:paraId="787311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助焊剂</w:t>
                  </w:r>
                </w:p>
              </w:tc>
              <w:tc>
                <w:tcPr>
                  <w:tcW w:w="4438" w:type="pct"/>
                  <w:tcBorders>
                    <w:tl2br w:val="nil"/>
                    <w:tr2bl w:val="nil"/>
                  </w:tcBorders>
                  <w:shd w:val="clear" w:color="auto" w:fill="auto"/>
                  <w:noWrap w:val="0"/>
                  <w:vAlign w:val="center"/>
                </w:tcPr>
                <w:p w14:paraId="51B2B4D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助焊剂成分为天然树脂2.75%、硬脂酸树脂2.03%、合成树脂1.22%、活化剂0.71%、羟酸1.84%、混合醇溶剂88.85%、抗挥发剂2.60%，其中活化剂、羟酸、混合醇溶剂为易挥发成分，总含量为91.37%。</w:t>
                  </w:r>
                </w:p>
              </w:tc>
            </w:tr>
            <w:tr w14:paraId="03015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5" w:hRule="atLeast"/>
                <w:jc w:val="center"/>
              </w:trPr>
              <w:tc>
                <w:tcPr>
                  <w:tcW w:w="561" w:type="pct"/>
                  <w:tcBorders>
                    <w:tl2br w:val="nil"/>
                    <w:tr2bl w:val="nil"/>
                  </w:tcBorders>
                  <w:shd w:val="clear" w:color="auto" w:fill="auto"/>
                  <w:noWrap w:val="0"/>
                  <w:vAlign w:val="center"/>
                </w:tcPr>
                <w:p w14:paraId="6266E2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双酚-A型液态环氧树脂</w:t>
                  </w:r>
                </w:p>
              </w:tc>
              <w:tc>
                <w:tcPr>
                  <w:tcW w:w="4438" w:type="pct"/>
                  <w:tcBorders>
                    <w:tl2br w:val="nil"/>
                    <w:tr2bl w:val="nil"/>
                  </w:tcBorders>
                  <w:shd w:val="clear" w:color="auto" w:fill="auto"/>
                  <w:noWrap w:val="0"/>
                  <w:vAlign w:val="center"/>
                </w:tcPr>
                <w:p w14:paraId="61BBFBF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透明或淡黄色液体，无明显</w:t>
                  </w:r>
                  <w:r>
                    <w:rPr>
                      <w:rFonts w:hint="eastAsia" w:cs="Times New Roman"/>
                      <w:color w:val="auto"/>
                      <w:sz w:val="21"/>
                      <w:szCs w:val="21"/>
                      <w:lang w:val="en-US" w:eastAsia="zh-CN"/>
                    </w:rPr>
                    <w:t>气味</w:t>
                  </w:r>
                  <w:r>
                    <w:rPr>
                      <w:rFonts w:hint="eastAsia" w:ascii="Times New Roman" w:hAnsi="Times New Roman" w:eastAsia="宋体" w:cs="Times New Roman"/>
                      <w:color w:val="auto"/>
                      <w:sz w:val="21"/>
                      <w:szCs w:val="21"/>
                      <w:lang w:val="en-US" w:eastAsia="zh-CN"/>
                    </w:rPr>
                    <w:t>，无特殊危害。透明液体沸点100度，闪</w:t>
                  </w:r>
                  <w:r>
                    <w:rPr>
                      <w:rFonts w:hint="eastAsia" w:eastAsia="宋体" w:cs="Times New Roman"/>
                      <w:color w:val="auto"/>
                      <w:sz w:val="21"/>
                      <w:szCs w:val="21"/>
                      <w:lang w:val="en-US" w:eastAsia="zh-CN"/>
                    </w:rPr>
                    <w:t>火</w:t>
                  </w:r>
                  <w:r>
                    <w:rPr>
                      <w:rFonts w:hint="eastAsia" w:ascii="Times New Roman" w:hAnsi="Times New Roman" w:eastAsia="宋体" w:cs="Times New Roman"/>
                      <w:color w:val="auto"/>
                      <w:sz w:val="21"/>
                      <w:szCs w:val="21"/>
                      <w:lang w:val="en-US" w:eastAsia="zh-CN"/>
                    </w:rPr>
                    <w:t>点：&gt;150℃，无化学危险，燃烧：无；和水的反应：几乎不溶于水；密度：1.2g/cm³用于工程塑料和复合材料，电子元件和线路的器件的灌封绝缘。其中双酚A 3-15%，酚酫树脂80-85% ，</w:t>
                  </w:r>
                  <w:r>
                    <w:rPr>
                      <w:rFonts w:hint="eastAsia" w:cs="Times New Roman"/>
                      <w:color w:val="auto"/>
                      <w:sz w:val="21"/>
                      <w:szCs w:val="21"/>
                      <w:lang w:val="en-US" w:eastAsia="zh-CN"/>
                    </w:rPr>
                    <w:t>其他有机化合物</w:t>
                  </w:r>
                  <w:r>
                    <w:rPr>
                      <w:rFonts w:hint="eastAsia" w:ascii="Times New Roman" w:hAnsi="Times New Roman" w:eastAsia="宋体" w:cs="Times New Roman"/>
                      <w:color w:val="auto"/>
                      <w:sz w:val="21"/>
                      <w:szCs w:val="21"/>
                      <w:lang w:val="en-US" w:eastAsia="zh-CN"/>
                    </w:rPr>
                    <w:t>1-2%。</w:t>
                  </w:r>
                </w:p>
              </w:tc>
            </w:tr>
            <w:tr w14:paraId="27C37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45" w:hRule="atLeast"/>
                <w:jc w:val="center"/>
              </w:trPr>
              <w:tc>
                <w:tcPr>
                  <w:tcW w:w="561" w:type="pct"/>
                  <w:tcBorders>
                    <w:tl2br w:val="nil"/>
                    <w:tr2bl w:val="nil"/>
                  </w:tcBorders>
                  <w:shd w:val="clear" w:color="auto" w:fill="auto"/>
                  <w:noWrap w:val="0"/>
                  <w:vAlign w:val="center"/>
                </w:tcPr>
                <w:p w14:paraId="551541E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电路板保护剂</w:t>
                  </w:r>
                </w:p>
              </w:tc>
              <w:tc>
                <w:tcPr>
                  <w:tcW w:w="4438" w:type="pct"/>
                  <w:tcBorders>
                    <w:tl2br w:val="nil"/>
                    <w:tr2bl w:val="nil"/>
                  </w:tcBorders>
                  <w:shd w:val="clear" w:color="auto" w:fill="auto"/>
                  <w:noWrap w:val="0"/>
                  <w:vAlign w:val="center"/>
                </w:tcPr>
                <w:p w14:paraId="63E5BDE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电路板保护剂用于保护线路板及其相关设备免受环境的侵蚀。电路板保护剂具有良好的耐高低温性能，其固化后成一层透明保护膜，具有优越的绝缘、防潮、防漏电、防震、防尘、防腐蚀、防老化、耐电晕等性能。电路板保护剂</w:t>
                  </w:r>
                  <w:r>
                    <w:rPr>
                      <w:rFonts w:hint="default" w:ascii="Times New Roman" w:hAnsi="Times New Roman" w:eastAsia="宋体" w:cs="Times New Roman"/>
                      <w:color w:val="auto"/>
                      <w:sz w:val="21"/>
                      <w:szCs w:val="21"/>
                      <w:lang w:val="en-US" w:eastAsia="zh-CN"/>
                    </w:rPr>
                    <w:t>中主要成分为组合树脂75.2%，其他挥发性助剂24.8%，密度约为0.94</w:t>
                  </w:r>
                  <w:r>
                    <w:rPr>
                      <w:rFonts w:hint="default" w:ascii="Times New Roman" w:hAnsi="Times New Roman" w:eastAsia="宋体" w:cs="Times New Roman"/>
                      <w:color w:val="auto"/>
                      <w:sz w:val="21"/>
                      <w:szCs w:val="21"/>
                      <w:lang w:val="zh-CN" w:eastAsia="zh-CN"/>
                    </w:rPr>
                    <w:t>g/cm</w:t>
                  </w:r>
                  <w:r>
                    <w:rPr>
                      <w:rFonts w:hint="default" w:ascii="Times New Roman" w:hAnsi="Times New Roman" w:eastAsia="宋体" w:cs="Times New Roman"/>
                      <w:color w:val="auto"/>
                      <w:sz w:val="21"/>
                      <w:szCs w:val="21"/>
                      <w:vertAlign w:val="superscript"/>
                      <w:lang w:val="zh-CN" w:eastAsia="zh-CN"/>
                    </w:rPr>
                    <w:t>3</w:t>
                  </w:r>
                  <w:r>
                    <w:rPr>
                      <w:rFonts w:hint="default" w:ascii="Times New Roman" w:hAnsi="Times New Roman" w:eastAsia="宋体" w:cs="Times New Roman"/>
                      <w:color w:val="auto"/>
                      <w:sz w:val="21"/>
                      <w:szCs w:val="21"/>
                      <w:lang w:val="en-US" w:eastAsia="zh-CN"/>
                    </w:rPr>
                    <w:t>。</w:t>
                  </w:r>
                </w:p>
              </w:tc>
            </w:tr>
            <w:tr w14:paraId="1C738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80" w:hRule="atLeast"/>
                <w:jc w:val="center"/>
              </w:trPr>
              <w:tc>
                <w:tcPr>
                  <w:tcW w:w="561" w:type="pct"/>
                  <w:tcBorders>
                    <w:tl2br w:val="nil"/>
                    <w:tr2bl w:val="nil"/>
                  </w:tcBorders>
                  <w:shd w:val="clear" w:color="auto" w:fill="auto"/>
                  <w:noWrap w:val="0"/>
                  <w:vAlign w:val="center"/>
                </w:tcPr>
                <w:p w14:paraId="4883B45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bidi="ar"/>
                    </w:rPr>
                    <w:t>乐泰7452促进剂</w:t>
                  </w:r>
                </w:p>
              </w:tc>
              <w:tc>
                <w:tcPr>
                  <w:tcW w:w="4438" w:type="pct"/>
                  <w:tcBorders>
                    <w:tl2br w:val="nil"/>
                    <w:tr2bl w:val="nil"/>
                  </w:tcBorders>
                  <w:shd w:val="clear" w:color="auto" w:fill="auto"/>
                  <w:noWrap w:val="0"/>
                  <w:vAlign w:val="center"/>
                </w:tcPr>
                <w:p w14:paraId="646D9B3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乐泰7452促进剂是</w:t>
                  </w:r>
                  <w:r>
                    <w:rPr>
                      <w:rFonts w:hint="default" w:ascii="Times New Roman" w:hAnsi="Times New Roman" w:eastAsia="宋体" w:cs="Times New Roman"/>
                      <w:color w:val="auto"/>
                      <w:sz w:val="21"/>
                      <w:szCs w:val="21"/>
                      <w:lang w:val="en-US" w:eastAsia="zh-CN"/>
                    </w:rPr>
                    <w:fldChar w:fldCharType="begin"/>
                  </w:r>
                  <w:r>
                    <w:rPr>
                      <w:rFonts w:hint="default" w:ascii="Times New Roman" w:hAnsi="Times New Roman" w:eastAsia="宋体" w:cs="Times New Roman"/>
                      <w:color w:val="auto"/>
                      <w:sz w:val="21"/>
                      <w:szCs w:val="21"/>
                      <w:lang w:val="en-US" w:eastAsia="zh-CN"/>
                    </w:rPr>
                    <w:instrText xml:space="preserve"> HYPERLINK "https://baike.baidu.com/item/%E6%B0%B0%E5%9F%BA%E4%B8%99%E7%83%AF%E9%85%B8%E9%85%AF%E8%83%B6%E7%B2%98%E5%89%82/1496780?fromModule=lemma_inlink" \t "https://baike.baidu.com/item/%E4%B9%90%E6%B3%B07452%E4%BF%83%E8%BF%9B%E5%89%82/_blank" </w:instrText>
                  </w:r>
                  <w:r>
                    <w:rPr>
                      <w:rFonts w:hint="default" w:ascii="Times New Roman" w:hAnsi="Times New Roman" w:eastAsia="宋体" w:cs="Times New Roman"/>
                      <w:color w:val="auto"/>
                      <w:sz w:val="21"/>
                      <w:szCs w:val="21"/>
                      <w:lang w:val="en-US" w:eastAsia="zh-CN"/>
                    </w:rPr>
                    <w:fldChar w:fldCharType="separate"/>
                  </w:r>
                  <w:r>
                    <w:rPr>
                      <w:rFonts w:hint="default" w:ascii="Times New Roman" w:hAnsi="Times New Roman" w:eastAsia="宋体" w:cs="Times New Roman"/>
                      <w:color w:val="auto"/>
                      <w:sz w:val="21"/>
                      <w:szCs w:val="21"/>
                      <w:lang w:val="en-US" w:eastAsia="zh-CN"/>
                    </w:rPr>
                    <w:t>氰基丙烯酸酯胶粘剂</w:t>
                  </w:r>
                  <w:r>
                    <w:rPr>
                      <w:rFonts w:hint="default" w:ascii="Times New Roman" w:hAnsi="Times New Roman" w:eastAsia="宋体" w:cs="Times New Roman"/>
                      <w:color w:val="auto"/>
                      <w:sz w:val="21"/>
                      <w:szCs w:val="21"/>
                      <w:lang w:val="en-US" w:eastAsia="zh-CN"/>
                    </w:rPr>
                    <w:fldChar w:fldCharType="end"/>
                  </w:r>
                  <w:r>
                    <w:rPr>
                      <w:rFonts w:hint="default" w:ascii="Times New Roman" w:hAnsi="Times New Roman" w:eastAsia="宋体" w:cs="Times New Roman"/>
                      <w:color w:val="auto"/>
                      <w:sz w:val="21"/>
                      <w:szCs w:val="21"/>
                      <w:lang w:val="en-US" w:eastAsia="zh-CN"/>
                    </w:rPr>
                    <w:t>固化促进剂，主要用于提升乐泰瞬干胶的固化速度，适用于</w:t>
                  </w:r>
                  <w:r>
                    <w:rPr>
                      <w:rFonts w:hint="default" w:ascii="Times New Roman" w:hAnsi="Times New Roman" w:eastAsia="宋体" w:cs="Times New Roman"/>
                      <w:color w:val="auto"/>
                      <w:sz w:val="21"/>
                      <w:szCs w:val="21"/>
                      <w:lang w:val="en-US" w:eastAsia="zh-CN"/>
                    </w:rPr>
                    <w:fldChar w:fldCharType="begin"/>
                  </w:r>
                  <w:r>
                    <w:rPr>
                      <w:rFonts w:hint="default" w:ascii="Times New Roman" w:hAnsi="Times New Roman" w:eastAsia="宋体" w:cs="Times New Roman"/>
                      <w:color w:val="auto"/>
                      <w:sz w:val="21"/>
                      <w:szCs w:val="21"/>
                      <w:lang w:val="en-US" w:eastAsia="zh-CN"/>
                    </w:rPr>
                    <w:instrText xml:space="preserve"> HYPERLINK "https://baike.baidu.com/item/%E8%81%9A%E7%83%AF%E7%83%83/1181970?fromModule=lemma_inlink" \t "https://baike.baidu.com/item/%E4%B9%90%E6%B3%B07452%E4%BF%83%E8%BF%9B%E5%89%82/_blank" </w:instrText>
                  </w:r>
                  <w:r>
                    <w:rPr>
                      <w:rFonts w:hint="default" w:ascii="Times New Roman" w:hAnsi="Times New Roman" w:eastAsia="宋体" w:cs="Times New Roman"/>
                      <w:color w:val="auto"/>
                      <w:sz w:val="21"/>
                      <w:szCs w:val="21"/>
                      <w:lang w:val="en-US" w:eastAsia="zh-CN"/>
                    </w:rPr>
                    <w:fldChar w:fldCharType="separate"/>
                  </w:r>
                  <w:r>
                    <w:rPr>
                      <w:rFonts w:hint="default" w:ascii="Times New Roman" w:hAnsi="Times New Roman" w:eastAsia="宋体" w:cs="Times New Roman"/>
                      <w:color w:val="auto"/>
                      <w:sz w:val="21"/>
                      <w:szCs w:val="21"/>
                      <w:lang w:val="en-US" w:eastAsia="zh-CN"/>
                    </w:rPr>
                    <w:t>聚烯烃</w:t>
                  </w:r>
                  <w:r>
                    <w:rPr>
                      <w:rFonts w:hint="default" w:ascii="Times New Roman" w:hAnsi="Times New Roman" w:eastAsia="宋体" w:cs="Times New Roman"/>
                      <w:color w:val="auto"/>
                      <w:sz w:val="21"/>
                      <w:szCs w:val="21"/>
                      <w:lang w:val="en-US" w:eastAsia="zh-CN"/>
                    </w:rPr>
                    <w:fldChar w:fldCharType="end"/>
                  </w:r>
                  <w:r>
                    <w:rPr>
                      <w:rFonts w:hint="default" w:ascii="Times New Roman" w:hAnsi="Times New Roman" w:eastAsia="宋体" w:cs="Times New Roman"/>
                      <w:color w:val="auto"/>
                      <w:sz w:val="21"/>
                      <w:szCs w:val="21"/>
                      <w:lang w:val="en-US" w:eastAsia="zh-CN"/>
                    </w:rPr>
                    <w:t>及其他低能表面材料的粘接作业。该产品为透明无色至浅琥珀色液体，化学类型为胺类（活性成分0.8—0.95），溶剂为</w:t>
                  </w:r>
                  <w:r>
                    <w:rPr>
                      <w:rFonts w:hint="default" w:ascii="Times New Roman" w:hAnsi="Times New Roman" w:eastAsia="宋体" w:cs="Times New Roman"/>
                      <w:color w:val="auto"/>
                      <w:sz w:val="21"/>
                      <w:szCs w:val="21"/>
                      <w:lang w:val="en-US" w:eastAsia="zh-CN"/>
                    </w:rPr>
                    <w:fldChar w:fldCharType="begin"/>
                  </w:r>
                  <w:r>
                    <w:rPr>
                      <w:rFonts w:hint="default" w:ascii="Times New Roman" w:hAnsi="Times New Roman" w:eastAsia="宋体" w:cs="Times New Roman"/>
                      <w:color w:val="auto"/>
                      <w:sz w:val="21"/>
                      <w:szCs w:val="21"/>
                      <w:lang w:val="en-US" w:eastAsia="zh-CN"/>
                    </w:rPr>
                    <w:instrText xml:space="preserve"> HYPERLINK "https://baike.baidu.com/item/%E4%B8%99%E9%85%AE/955883?fromModule=lemma_inlink" \t "https://baike.baidu.com/item/%E4%B9%90%E6%B3%B07452%E4%BF%83%E8%BF%9B%E5%89%82/_blank" </w:instrText>
                  </w:r>
                  <w:r>
                    <w:rPr>
                      <w:rFonts w:hint="default" w:ascii="Times New Roman" w:hAnsi="Times New Roman" w:eastAsia="宋体" w:cs="Times New Roman"/>
                      <w:color w:val="auto"/>
                      <w:sz w:val="21"/>
                      <w:szCs w:val="21"/>
                      <w:lang w:val="en-US" w:eastAsia="zh-CN"/>
                    </w:rPr>
                    <w:fldChar w:fldCharType="separate"/>
                  </w:r>
                  <w:r>
                    <w:rPr>
                      <w:rFonts w:hint="default" w:ascii="Times New Roman" w:hAnsi="Times New Roman" w:eastAsia="宋体" w:cs="Times New Roman"/>
                      <w:color w:val="auto"/>
                      <w:sz w:val="21"/>
                      <w:szCs w:val="21"/>
                      <w:lang w:val="en-US" w:eastAsia="zh-CN"/>
                    </w:rPr>
                    <w:t>丙酮</w:t>
                  </w:r>
                  <w:r>
                    <w:rPr>
                      <w:rFonts w:hint="default" w:ascii="Times New Roman" w:hAnsi="Times New Roman" w:eastAsia="宋体" w:cs="Times New Roman"/>
                      <w:color w:val="auto"/>
                      <w:sz w:val="21"/>
                      <w:szCs w:val="21"/>
                      <w:lang w:val="en-US" w:eastAsia="zh-CN"/>
                    </w:rPr>
                    <w:fldChar w:fldCharType="end"/>
                  </w:r>
                  <w:r>
                    <w:rPr>
                      <w:rFonts w:hint="default" w:ascii="Times New Roman" w:hAnsi="Times New Roman" w:eastAsia="宋体" w:cs="Times New Roman"/>
                      <w:color w:val="auto"/>
                      <w:sz w:val="21"/>
                      <w:szCs w:val="21"/>
                      <w:lang w:val="en-US" w:eastAsia="zh-CN"/>
                    </w:rPr>
                    <w:t>，粘度范围0.3—0.5 mPa·s。</w:t>
                  </w:r>
                </w:p>
                <w:p w14:paraId="0FDB955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其应用场景包括</w:t>
                  </w:r>
                  <w:r>
                    <w:rPr>
                      <w:rFonts w:hint="default" w:ascii="Times New Roman" w:hAnsi="Times New Roman" w:eastAsia="宋体" w:cs="Times New Roman"/>
                      <w:color w:val="auto"/>
                      <w:sz w:val="21"/>
                      <w:szCs w:val="21"/>
                      <w:lang w:val="en-US" w:eastAsia="zh-CN"/>
                    </w:rPr>
                    <w:fldChar w:fldCharType="begin"/>
                  </w:r>
                  <w:r>
                    <w:rPr>
                      <w:rFonts w:hint="default" w:ascii="Times New Roman" w:hAnsi="Times New Roman" w:eastAsia="宋体" w:cs="Times New Roman"/>
                      <w:color w:val="auto"/>
                      <w:sz w:val="21"/>
                      <w:szCs w:val="21"/>
                      <w:lang w:val="en-US" w:eastAsia="zh-CN"/>
                    </w:rPr>
                    <w:instrText xml:space="preserve"> HYPERLINK "https://baike.baidu.com/item/%E5%8D%B0%E5%88%B7%E7%BA%BF%E8%B7%AF%E6%9D%BF/351168?fromModule=lemma_inlink" \t "https://baike.baidu.com/item/%E4%B9%90%E6%B3%B07452%E4%BF%83%E8%BF%9B%E5%89%82/_blank" </w:instrText>
                  </w:r>
                  <w:r>
                    <w:rPr>
                      <w:rFonts w:hint="default" w:ascii="Times New Roman" w:hAnsi="Times New Roman" w:eastAsia="宋体" w:cs="Times New Roman"/>
                      <w:color w:val="auto"/>
                      <w:sz w:val="21"/>
                      <w:szCs w:val="21"/>
                      <w:lang w:val="en-US" w:eastAsia="zh-CN"/>
                    </w:rPr>
                    <w:fldChar w:fldCharType="separate"/>
                  </w:r>
                  <w:r>
                    <w:rPr>
                      <w:rFonts w:hint="default" w:ascii="Times New Roman" w:hAnsi="Times New Roman" w:eastAsia="宋体" w:cs="Times New Roman"/>
                      <w:color w:val="auto"/>
                      <w:sz w:val="21"/>
                      <w:szCs w:val="21"/>
                      <w:lang w:val="en-US" w:eastAsia="zh-CN"/>
                    </w:rPr>
                    <w:t>印刷线路板</w:t>
                  </w:r>
                  <w:r>
                    <w:rPr>
                      <w:rFonts w:hint="default" w:ascii="Times New Roman" w:hAnsi="Times New Roman" w:eastAsia="宋体" w:cs="Times New Roman"/>
                      <w:color w:val="auto"/>
                      <w:sz w:val="21"/>
                      <w:szCs w:val="21"/>
                      <w:lang w:val="en-US" w:eastAsia="zh-CN"/>
                    </w:rPr>
                    <w:fldChar w:fldCharType="end"/>
                  </w:r>
                  <w:r>
                    <w:rPr>
                      <w:rFonts w:hint="default" w:ascii="Times New Roman" w:hAnsi="Times New Roman" w:eastAsia="宋体" w:cs="Times New Roman"/>
                      <w:color w:val="auto"/>
                      <w:sz w:val="21"/>
                      <w:szCs w:val="21"/>
                      <w:lang w:val="en-US" w:eastAsia="zh-CN"/>
                    </w:rPr>
                    <w:t>固定、可调部件防干扰及导边器安装等。使用时可选择作业后活化或表面活化处理：前者需在涂胶后喷涂催化剂，后者需在粘接区域预处理并确保溶剂完全蒸发（45秒内完成涂胶）。因具有光敏感特性，产品需贮存在黑暗场所。</w:t>
                  </w:r>
                </w:p>
              </w:tc>
            </w:tr>
            <w:tr w14:paraId="46B0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561" w:type="pct"/>
                  <w:tcBorders>
                    <w:tl2br w:val="nil"/>
                    <w:tr2bl w:val="nil"/>
                  </w:tcBorders>
                  <w:shd w:val="clear" w:color="auto" w:fill="auto"/>
                  <w:noWrap w:val="0"/>
                  <w:vAlign w:val="center"/>
                </w:tcPr>
                <w:p w14:paraId="42BA1B8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bidi="ar"/>
                    </w:rPr>
                    <w:t>乐泰416瞬干胶</w:t>
                  </w:r>
                </w:p>
              </w:tc>
              <w:tc>
                <w:tcPr>
                  <w:tcW w:w="4438" w:type="pct"/>
                  <w:tcBorders>
                    <w:tl2br w:val="nil"/>
                    <w:tr2bl w:val="nil"/>
                  </w:tcBorders>
                  <w:shd w:val="clear" w:color="auto" w:fill="auto"/>
                  <w:noWrap w:val="0"/>
                  <w:vAlign w:val="center"/>
                </w:tcPr>
                <w:p w14:paraId="3B108AC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Times New Roman" w:hAnsi="Times New Roman" w:eastAsia="宋体" w:cs="Times New Roman"/>
                      <w:color w:val="auto"/>
                      <w:sz w:val="21"/>
                      <w:szCs w:val="21"/>
                      <w:lang w:val="en-US" w:eastAsia="zh-CN"/>
                    </w:rPr>
                  </w:pPr>
                  <w:r>
                    <w:rPr>
                      <w:rFonts w:ascii="Arial" w:hAnsi="Arial" w:eastAsia="宋体" w:cs="Arial"/>
                      <w:i w:val="0"/>
                      <w:iCs w:val="0"/>
                      <w:caps w:val="0"/>
                      <w:color w:val="auto"/>
                      <w:spacing w:val="0"/>
                      <w:sz w:val="21"/>
                      <w:szCs w:val="21"/>
                    </w:rPr>
                    <w:t>乐泰</w:t>
                  </w:r>
                  <w:r>
                    <w:rPr>
                      <w:rFonts w:hint="default" w:ascii="Arial" w:hAnsi="Arial" w:eastAsia="宋体" w:cs="Arial"/>
                      <w:i w:val="0"/>
                      <w:iCs w:val="0"/>
                      <w:caps w:val="0"/>
                      <w:color w:val="auto"/>
                      <w:spacing w:val="0"/>
                      <w:sz w:val="21"/>
                      <w:szCs w:val="21"/>
                    </w:rPr>
                    <w:t>416瞬干胶是一种单组分，通用工业级氰基丙烯酸酯胶粘剂。对大多数金属、塑料和橡胶具有强粘接性能。</w:t>
                  </w:r>
                  <w:r>
                    <w:rPr>
                      <w:rFonts w:ascii="Arial" w:hAnsi="Arial" w:eastAsia="宋体" w:cs="Arial"/>
                      <w:i w:val="0"/>
                      <w:iCs w:val="0"/>
                      <w:caps w:val="0"/>
                      <w:color w:val="auto"/>
                      <w:spacing w:val="0"/>
                      <w:sz w:val="21"/>
                      <w:szCs w:val="21"/>
                    </w:rPr>
                    <w:t>产品颜色∶清澈</w:t>
                  </w:r>
                  <w:r>
                    <w:rPr>
                      <w:rFonts w:hint="eastAsia" w:ascii="Arial" w:hAnsi="Arial" w:eastAsia="宋体" w:cs="Arial"/>
                      <w:i w:val="0"/>
                      <w:iCs w:val="0"/>
                      <w:caps w:val="0"/>
                      <w:color w:val="auto"/>
                      <w:spacing w:val="0"/>
                      <w:sz w:val="21"/>
                      <w:szCs w:val="21"/>
                      <w:lang w:eastAsia="zh-CN"/>
                    </w:rPr>
                    <w:t>，</w:t>
                  </w:r>
                  <w:r>
                    <w:rPr>
                      <w:rFonts w:hint="default" w:ascii="Arial" w:hAnsi="Arial" w:eastAsia="宋体" w:cs="Arial"/>
                      <w:i w:val="0"/>
                      <w:iCs w:val="0"/>
                      <w:caps w:val="0"/>
                      <w:color w:val="auto"/>
                      <w:spacing w:val="0"/>
                      <w:sz w:val="21"/>
                      <w:szCs w:val="21"/>
                    </w:rPr>
                    <w:t>粘度:1500mPa.s</w:t>
                  </w:r>
                  <w:r>
                    <w:rPr>
                      <w:rFonts w:hint="eastAsia" w:ascii="Arial" w:hAnsi="Arial" w:eastAsia="宋体" w:cs="Arial"/>
                      <w:i w:val="0"/>
                      <w:iCs w:val="0"/>
                      <w:caps w:val="0"/>
                      <w:color w:val="auto"/>
                      <w:spacing w:val="0"/>
                      <w:sz w:val="21"/>
                      <w:szCs w:val="21"/>
                      <w:lang w:eastAsia="zh-CN"/>
                    </w:rPr>
                    <w:t>，</w:t>
                  </w:r>
                  <w:r>
                    <w:rPr>
                      <w:rFonts w:hint="default" w:ascii="Arial" w:hAnsi="Arial" w:eastAsia="宋体" w:cs="Arial"/>
                      <w:i w:val="0"/>
                      <w:iCs w:val="0"/>
                      <w:caps w:val="0"/>
                      <w:color w:val="auto"/>
                      <w:spacing w:val="0"/>
                      <w:sz w:val="21"/>
                      <w:szCs w:val="21"/>
                    </w:rPr>
                    <w:t>耐温:-53C-82℃</w:t>
                  </w:r>
                  <w:r>
                    <w:rPr>
                      <w:rFonts w:hint="eastAsia" w:ascii="Arial" w:hAnsi="Arial" w:eastAsia="宋体" w:cs="Arial"/>
                      <w:i w:val="0"/>
                      <w:iCs w:val="0"/>
                      <w:caps w:val="0"/>
                      <w:color w:val="auto"/>
                      <w:spacing w:val="0"/>
                      <w:sz w:val="21"/>
                      <w:szCs w:val="21"/>
                      <w:lang w:eastAsia="zh-CN"/>
                    </w:rPr>
                    <w:t>。</w:t>
                  </w:r>
                  <w:r>
                    <w:rPr>
                      <w:rFonts w:hint="default" w:ascii="Arial" w:hAnsi="Arial" w:eastAsia="宋体" w:cs="Arial"/>
                      <w:i w:val="0"/>
                      <w:iCs w:val="0"/>
                      <w:caps w:val="0"/>
                      <w:color w:val="auto"/>
                      <w:spacing w:val="0"/>
                      <w:sz w:val="21"/>
                      <w:szCs w:val="21"/>
                    </w:rPr>
                    <w:t>应用∶粘接大多数金属,塑料和弹性材料。用于粗糙或不规则表面的粘接、用在要求定位时间可达15秒的场合。</w:t>
                  </w:r>
                </w:p>
              </w:tc>
            </w:tr>
            <w:tr w14:paraId="1BCE3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5" w:hRule="atLeast"/>
                <w:jc w:val="center"/>
              </w:trPr>
              <w:tc>
                <w:tcPr>
                  <w:tcW w:w="561" w:type="pct"/>
                  <w:tcBorders>
                    <w:tl2br w:val="nil"/>
                    <w:tr2bl w:val="nil"/>
                  </w:tcBorders>
                  <w:shd w:val="clear" w:color="auto" w:fill="auto"/>
                  <w:noWrap w:val="0"/>
                  <w:vAlign w:val="center"/>
                </w:tcPr>
                <w:p w14:paraId="074786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乙醇（酒精）</w:t>
                  </w:r>
                </w:p>
              </w:tc>
              <w:tc>
                <w:tcPr>
                  <w:tcW w:w="4438" w:type="pct"/>
                  <w:tcBorders>
                    <w:tl2br w:val="nil"/>
                    <w:tr2bl w:val="nil"/>
                  </w:tcBorders>
                  <w:shd w:val="clear" w:color="auto" w:fill="auto"/>
                  <w:noWrap w:val="0"/>
                  <w:vAlign w:val="center"/>
                </w:tcPr>
                <w:p w14:paraId="3BEAC784">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CAS号：64-17-5；分子式为C</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H</w:t>
                  </w:r>
                  <w:r>
                    <w:rPr>
                      <w:rFonts w:hint="default" w:ascii="Times New Roman" w:hAnsi="Times New Roman" w:eastAsia="宋体" w:cs="Times New Roman"/>
                      <w:color w:val="auto"/>
                      <w:sz w:val="21"/>
                      <w:szCs w:val="21"/>
                      <w:vertAlign w:val="subscript"/>
                      <w:lang w:val="en-US" w:eastAsia="zh-CN"/>
                    </w:rPr>
                    <w:t>6</w:t>
                  </w:r>
                  <w:r>
                    <w:rPr>
                      <w:rFonts w:hint="default" w:ascii="Times New Roman" w:hAnsi="Times New Roman" w:eastAsia="宋体" w:cs="Times New Roman"/>
                      <w:color w:val="auto"/>
                      <w:sz w:val="21"/>
                      <w:szCs w:val="21"/>
                      <w:lang w:val="en-US" w:eastAsia="zh-CN"/>
                    </w:rPr>
                    <w:t>O，相对分子量为46.07，相对密度 0.79g/cm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，熔点为-114.1℃，沸点为78.3℃；为无色液体，有酒香；与水混溶，可混溶于醚、氯仿、甘油等多数有机溶剂；稳定性较好；用于制酒工业、有机合成、消毒以用作溶剂。LD</w:t>
                  </w:r>
                  <w:r>
                    <w:rPr>
                      <w:rFonts w:hint="default" w:ascii="Times New Roman" w:hAnsi="Times New Roman" w:eastAsia="宋体" w:cs="Times New Roman"/>
                      <w:color w:val="auto"/>
                      <w:sz w:val="21"/>
                      <w:szCs w:val="21"/>
                      <w:vertAlign w:val="subscript"/>
                      <w:lang w:val="en-US" w:eastAsia="zh-CN"/>
                    </w:rPr>
                    <w:t>50</w:t>
                  </w:r>
                  <w:r>
                    <w:rPr>
                      <w:rFonts w:hint="default" w:ascii="Times New Roman" w:hAnsi="Times New Roman" w:eastAsia="宋体" w:cs="Times New Roman"/>
                      <w:color w:val="auto"/>
                      <w:sz w:val="21"/>
                      <w:szCs w:val="21"/>
                      <w:lang w:val="en-US" w:eastAsia="zh-CN"/>
                    </w:rPr>
                    <w:t>：7060mg/kg（大鼠经口）LC</w:t>
                  </w:r>
                  <w:r>
                    <w:rPr>
                      <w:rFonts w:hint="default" w:ascii="Times New Roman" w:hAnsi="Times New Roman" w:eastAsia="宋体" w:cs="Times New Roman"/>
                      <w:color w:val="auto"/>
                      <w:sz w:val="21"/>
                      <w:szCs w:val="21"/>
                      <w:vertAlign w:val="subscript"/>
                      <w:lang w:val="en-US" w:eastAsia="zh-CN"/>
                    </w:rPr>
                    <w:t>50</w:t>
                  </w:r>
                  <w:r>
                    <w:rPr>
                      <w:rFonts w:hint="default" w:ascii="Times New Roman" w:hAnsi="Times New Roman" w:eastAsia="宋体" w:cs="Times New Roman"/>
                      <w:color w:val="auto"/>
                      <w:sz w:val="21"/>
                      <w:szCs w:val="21"/>
                      <w:lang w:val="en-US" w:eastAsia="zh-CN"/>
                    </w:rPr>
                    <w:t>：37620mg/m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，10小时(大鼠吸入)。</w:t>
                  </w:r>
                </w:p>
              </w:tc>
            </w:tr>
            <w:tr w14:paraId="4B5F2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5" w:hRule="atLeast"/>
                <w:jc w:val="center"/>
              </w:trPr>
              <w:tc>
                <w:tcPr>
                  <w:tcW w:w="561" w:type="pct"/>
                  <w:tcBorders>
                    <w:tl2br w:val="nil"/>
                    <w:tr2bl w:val="nil"/>
                  </w:tcBorders>
                  <w:shd w:val="clear" w:color="auto" w:fill="auto"/>
                  <w:noWrap w:val="0"/>
                  <w:vAlign w:val="center"/>
                </w:tcPr>
                <w:p w14:paraId="0C022A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丙酮</w:t>
                  </w:r>
                </w:p>
              </w:tc>
              <w:tc>
                <w:tcPr>
                  <w:tcW w:w="4438" w:type="pct"/>
                  <w:tcBorders>
                    <w:tl2br w:val="nil"/>
                    <w:tr2bl w:val="nil"/>
                  </w:tcBorders>
                  <w:shd w:val="clear" w:color="auto" w:fill="auto"/>
                  <w:noWrap w:val="0"/>
                  <w:vAlign w:val="center"/>
                </w:tcPr>
                <w:p w14:paraId="2C5245D4">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eastAsia="宋体"/>
                      <w:color w:val="auto"/>
                      <w:sz w:val="21"/>
                      <w:szCs w:val="21"/>
                      <w:lang w:val="en-US" w:eastAsia="zh-CN"/>
                    </w:rPr>
                  </w:pPr>
                  <w:r>
                    <w:rPr>
                      <w:rFonts w:hint="default" w:ascii="Times New Roman" w:hAnsi="Times New Roman" w:eastAsia="宋体" w:cs="Times New Roman"/>
                      <w:color w:val="auto"/>
                      <w:sz w:val="21"/>
                      <w:szCs w:val="21"/>
                      <w:lang w:val="en-US" w:eastAsia="zh-CN"/>
                    </w:rPr>
                    <w:t>CAS号：</w:t>
                  </w:r>
                  <w:r>
                    <w:rPr>
                      <w:rFonts w:hint="eastAsia" w:ascii="Times New Roman" w:hAnsi="Times New Roman" w:eastAsia="宋体" w:cs="Times New Roman"/>
                      <w:color w:val="auto"/>
                      <w:sz w:val="21"/>
                      <w:szCs w:val="21"/>
                      <w:lang w:val="en-US" w:eastAsia="zh-CN"/>
                    </w:rPr>
                    <w:fldChar w:fldCharType="begin"/>
                  </w:r>
                  <w:r>
                    <w:rPr>
                      <w:rFonts w:hint="eastAsia" w:ascii="Times New Roman" w:hAnsi="Times New Roman" w:eastAsia="宋体" w:cs="Times New Roman"/>
                      <w:color w:val="auto"/>
                      <w:sz w:val="21"/>
                      <w:szCs w:val="21"/>
                      <w:lang w:val="en-US" w:eastAsia="zh-CN"/>
                    </w:rPr>
                    <w:instrText xml:space="preserve"> HYPERLINK "http://www.ichemistry.cn/chemistry/557-34-6.htm" \o "18087" \t "http://search.ichemistry.cn/_blank" </w:instrText>
                  </w:r>
                  <w:r>
                    <w:rPr>
                      <w:rFonts w:hint="eastAsia" w:ascii="Times New Roman" w:hAnsi="Times New Roman" w:eastAsia="宋体" w:cs="Times New Roman"/>
                      <w:color w:val="auto"/>
                      <w:sz w:val="21"/>
                      <w:szCs w:val="21"/>
                      <w:lang w:val="en-US" w:eastAsia="zh-CN"/>
                    </w:rPr>
                    <w:fldChar w:fldCharType="separate"/>
                  </w:r>
                  <w:r>
                    <w:rPr>
                      <w:rFonts w:hint="eastAsia" w:ascii="Times New Roman" w:hAnsi="Times New Roman" w:eastAsia="宋体" w:cs="Times New Roman"/>
                      <w:color w:val="auto"/>
                      <w:sz w:val="21"/>
                      <w:szCs w:val="21"/>
                      <w:lang w:val="en-US" w:eastAsia="zh-CN"/>
                    </w:rPr>
                    <w:t>67</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64</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fldChar w:fldCharType="end"/>
                  </w:r>
                  <w:r>
                    <w:rPr>
                      <w:rFonts w:hint="default" w:ascii="Times New Roman" w:hAnsi="Times New Roman" w:eastAsia="宋体" w:cs="Times New Roman"/>
                      <w:color w:val="auto"/>
                      <w:sz w:val="21"/>
                      <w:szCs w:val="21"/>
                      <w:lang w:val="en-US" w:eastAsia="zh-CN"/>
                    </w:rPr>
                    <w:t>；又名</w:t>
                  </w:r>
                  <w:r>
                    <w:rPr>
                      <w:rFonts w:hint="default" w:ascii="Times New Roman" w:hAnsi="Times New Roman" w:eastAsia="宋体" w:cs="Times New Roman"/>
                      <w:color w:val="auto"/>
                      <w:sz w:val="21"/>
                      <w:szCs w:val="21"/>
                      <w:lang w:val="en-US" w:eastAsia="zh-CN"/>
                    </w:rPr>
                    <w:fldChar w:fldCharType="begin"/>
                  </w:r>
                  <w:r>
                    <w:rPr>
                      <w:rFonts w:hint="default" w:ascii="Times New Roman" w:hAnsi="Times New Roman" w:eastAsia="宋体" w:cs="Times New Roman"/>
                      <w:color w:val="auto"/>
                      <w:sz w:val="21"/>
                      <w:szCs w:val="21"/>
                      <w:lang w:val="en-US" w:eastAsia="zh-CN"/>
                    </w:rPr>
                    <w:instrText xml:space="preserve"> HYPERLINK "https://baike.baidu.com/item/%E4%BA%8C%E7%94%B2%E5%9F%BA%E9%85%AE/3496790?fromModule=lemma_inlink" \t "https://baike.baidu.com/item/%E4%B8%99%E9%85%AE/_blank" </w:instrText>
                  </w:r>
                  <w:r>
                    <w:rPr>
                      <w:rFonts w:hint="default" w:ascii="Times New Roman" w:hAnsi="Times New Roman" w:eastAsia="宋体" w:cs="Times New Roman"/>
                      <w:color w:val="auto"/>
                      <w:sz w:val="21"/>
                      <w:szCs w:val="21"/>
                      <w:lang w:val="en-US" w:eastAsia="zh-CN"/>
                    </w:rPr>
                    <w:fldChar w:fldCharType="separate"/>
                  </w:r>
                  <w:r>
                    <w:rPr>
                      <w:rFonts w:hint="default" w:ascii="Times New Roman" w:hAnsi="Times New Roman" w:eastAsia="宋体" w:cs="Times New Roman"/>
                      <w:color w:val="auto"/>
                      <w:sz w:val="21"/>
                      <w:szCs w:val="21"/>
                      <w:lang w:val="en-US" w:eastAsia="zh-CN"/>
                    </w:rPr>
                    <w:t>二甲基酮</w:t>
                  </w:r>
                  <w:r>
                    <w:rPr>
                      <w:rFonts w:hint="default" w:ascii="Times New Roman" w:hAnsi="Times New Roman" w:eastAsia="宋体" w:cs="Times New Roman"/>
                      <w:color w:val="auto"/>
                      <w:sz w:val="21"/>
                      <w:szCs w:val="21"/>
                      <w:lang w:val="en-US" w:eastAsia="zh-CN"/>
                    </w:rPr>
                    <w:fldChar w:fldCharType="end"/>
                  </w:r>
                  <w:r>
                    <w:rPr>
                      <w:rFonts w:hint="default" w:ascii="Times New Roman" w:hAnsi="Times New Roman" w:eastAsia="宋体" w:cs="Times New Roman"/>
                      <w:color w:val="auto"/>
                      <w:sz w:val="21"/>
                      <w:szCs w:val="21"/>
                      <w:lang w:val="en-US" w:eastAsia="zh-CN"/>
                    </w:rPr>
                    <w:t>，是一种有机物，分子式为C</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H</w:t>
                  </w:r>
                  <w:r>
                    <w:rPr>
                      <w:rFonts w:hint="default" w:ascii="Times New Roman" w:hAnsi="Times New Roman" w:eastAsia="宋体" w:cs="Times New Roman"/>
                      <w:color w:val="auto"/>
                      <w:sz w:val="21"/>
                      <w:szCs w:val="21"/>
                      <w:vertAlign w:val="subscript"/>
                      <w:lang w:val="en-US" w:eastAsia="zh-CN"/>
                    </w:rPr>
                    <w:t>6</w:t>
                  </w:r>
                  <w:r>
                    <w:rPr>
                      <w:rFonts w:hint="default" w:ascii="Times New Roman" w:hAnsi="Times New Roman" w:eastAsia="宋体" w:cs="Times New Roman"/>
                      <w:color w:val="auto"/>
                      <w:sz w:val="21"/>
                      <w:szCs w:val="21"/>
                      <w:lang w:val="en-US" w:eastAsia="zh-CN"/>
                    </w:rPr>
                    <w:t>O，为最简单的饱和酮。常温常压下为一种有薄荷气味的无色可燃液体。易溶于水和</w:t>
                  </w:r>
                  <w:r>
                    <w:rPr>
                      <w:rFonts w:hint="default" w:ascii="Times New Roman" w:hAnsi="Times New Roman" w:eastAsia="宋体" w:cs="Times New Roman"/>
                      <w:color w:val="auto"/>
                      <w:sz w:val="21"/>
                      <w:szCs w:val="21"/>
                      <w:lang w:val="en-US" w:eastAsia="zh-CN"/>
                    </w:rPr>
                    <w:fldChar w:fldCharType="begin"/>
                  </w:r>
                  <w:r>
                    <w:rPr>
                      <w:rFonts w:hint="default" w:ascii="Times New Roman" w:hAnsi="Times New Roman" w:eastAsia="宋体" w:cs="Times New Roman"/>
                      <w:color w:val="auto"/>
                      <w:sz w:val="21"/>
                      <w:szCs w:val="21"/>
                      <w:lang w:val="en-US" w:eastAsia="zh-CN"/>
                    </w:rPr>
                    <w:instrText xml:space="preserve"> HYPERLINK "https://baike.baidu.com/item/%E7%94%B2%E9%86%87/1512312?fromModule=lemma_inlink" \t "https://baike.baidu.com/item/%E4%B8%99%E9%85%AE/_blank" </w:instrText>
                  </w:r>
                  <w:r>
                    <w:rPr>
                      <w:rFonts w:hint="default" w:ascii="Times New Roman" w:hAnsi="Times New Roman" w:eastAsia="宋体" w:cs="Times New Roman"/>
                      <w:color w:val="auto"/>
                      <w:sz w:val="21"/>
                      <w:szCs w:val="21"/>
                      <w:lang w:val="en-US" w:eastAsia="zh-CN"/>
                    </w:rPr>
                    <w:fldChar w:fldCharType="separate"/>
                  </w:r>
                  <w:r>
                    <w:rPr>
                      <w:rFonts w:hint="default" w:ascii="Times New Roman" w:hAnsi="Times New Roman" w:eastAsia="宋体" w:cs="Times New Roman"/>
                      <w:color w:val="auto"/>
                      <w:sz w:val="21"/>
                      <w:szCs w:val="21"/>
                      <w:lang w:val="en-US" w:eastAsia="zh-CN"/>
                    </w:rPr>
                    <w:t>甲醇</w:t>
                  </w:r>
                  <w:r>
                    <w:rPr>
                      <w:rFonts w:hint="default" w:ascii="Times New Roman" w:hAnsi="Times New Roman" w:eastAsia="宋体" w:cs="Times New Roman"/>
                      <w:color w:val="auto"/>
                      <w:sz w:val="21"/>
                      <w:szCs w:val="21"/>
                      <w:lang w:val="en-US" w:eastAsia="zh-CN"/>
                    </w:rPr>
                    <w:fldChar w:fldCharType="end"/>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fldChar w:fldCharType="begin"/>
                  </w:r>
                  <w:r>
                    <w:rPr>
                      <w:rFonts w:hint="default" w:ascii="Times New Roman" w:hAnsi="Times New Roman" w:eastAsia="宋体" w:cs="Times New Roman"/>
                      <w:color w:val="auto"/>
                      <w:sz w:val="21"/>
                      <w:szCs w:val="21"/>
                      <w:lang w:val="en-US" w:eastAsia="zh-CN"/>
                    </w:rPr>
                    <w:instrText xml:space="preserve"> HYPERLINK "https://baike.baidu.com/item/%E4%B9%99%E9%86%87/135334?fromModule=lemma_inlink" \t "https://baike.baidu.com/item/%E4%B8%99%E9%85%AE/_blank" </w:instrText>
                  </w:r>
                  <w:r>
                    <w:rPr>
                      <w:rFonts w:hint="default" w:ascii="Times New Roman" w:hAnsi="Times New Roman" w:eastAsia="宋体" w:cs="Times New Roman"/>
                      <w:color w:val="auto"/>
                      <w:sz w:val="21"/>
                      <w:szCs w:val="21"/>
                      <w:lang w:val="en-US" w:eastAsia="zh-CN"/>
                    </w:rPr>
                    <w:fldChar w:fldCharType="separate"/>
                  </w:r>
                  <w:r>
                    <w:rPr>
                      <w:rFonts w:hint="default" w:ascii="Times New Roman" w:hAnsi="Times New Roman" w:eastAsia="宋体" w:cs="Times New Roman"/>
                      <w:color w:val="auto"/>
                      <w:sz w:val="21"/>
                      <w:szCs w:val="21"/>
                      <w:lang w:val="en-US" w:eastAsia="zh-CN"/>
                    </w:rPr>
                    <w:t>乙醇</w:t>
                  </w:r>
                  <w:r>
                    <w:rPr>
                      <w:rFonts w:hint="default" w:ascii="Times New Roman" w:hAnsi="Times New Roman" w:eastAsia="宋体" w:cs="Times New Roman"/>
                      <w:color w:val="auto"/>
                      <w:sz w:val="21"/>
                      <w:szCs w:val="21"/>
                      <w:lang w:val="en-US" w:eastAsia="zh-CN"/>
                    </w:rPr>
                    <w:fldChar w:fldCharType="end"/>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fldChar w:fldCharType="begin"/>
                  </w:r>
                  <w:r>
                    <w:rPr>
                      <w:rFonts w:hint="default" w:ascii="Times New Roman" w:hAnsi="Times New Roman" w:eastAsia="宋体" w:cs="Times New Roman"/>
                      <w:color w:val="auto"/>
                      <w:sz w:val="21"/>
                      <w:szCs w:val="21"/>
                      <w:lang w:val="en-US" w:eastAsia="zh-CN"/>
                    </w:rPr>
                    <w:instrText xml:space="preserve"> HYPERLINK "https://baike.baidu.com/item/%E4%B9%99%E9%86%9A/316922?fromModule=lemma_inlink" \t "https://baike.baidu.com/item/%E4%B8%99%E9%85%AE/_blank" </w:instrText>
                  </w:r>
                  <w:r>
                    <w:rPr>
                      <w:rFonts w:hint="default" w:ascii="Times New Roman" w:hAnsi="Times New Roman" w:eastAsia="宋体" w:cs="Times New Roman"/>
                      <w:color w:val="auto"/>
                      <w:sz w:val="21"/>
                      <w:szCs w:val="21"/>
                      <w:lang w:val="en-US" w:eastAsia="zh-CN"/>
                    </w:rPr>
                    <w:fldChar w:fldCharType="separate"/>
                  </w:r>
                  <w:r>
                    <w:rPr>
                      <w:rFonts w:hint="default" w:ascii="Times New Roman" w:hAnsi="Times New Roman" w:eastAsia="宋体" w:cs="Times New Roman"/>
                      <w:color w:val="auto"/>
                      <w:sz w:val="21"/>
                      <w:szCs w:val="21"/>
                      <w:lang w:val="en-US" w:eastAsia="zh-CN"/>
                    </w:rPr>
                    <w:t>乙醚</w:t>
                  </w:r>
                  <w:r>
                    <w:rPr>
                      <w:rFonts w:hint="default" w:ascii="Times New Roman" w:hAnsi="Times New Roman" w:eastAsia="宋体" w:cs="Times New Roman"/>
                      <w:color w:val="auto"/>
                      <w:sz w:val="21"/>
                      <w:szCs w:val="21"/>
                      <w:lang w:val="en-US" w:eastAsia="zh-CN"/>
                    </w:rPr>
                    <w:fldChar w:fldCharType="end"/>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fldChar w:fldCharType="begin"/>
                  </w:r>
                  <w:r>
                    <w:rPr>
                      <w:rFonts w:hint="default" w:ascii="Times New Roman" w:hAnsi="Times New Roman" w:eastAsia="宋体" w:cs="Times New Roman"/>
                      <w:color w:val="auto"/>
                      <w:sz w:val="21"/>
                      <w:szCs w:val="21"/>
                      <w:lang w:val="en-US" w:eastAsia="zh-CN"/>
                    </w:rPr>
                    <w:instrText xml:space="preserve"> HYPERLINK "https://baike.baidu.com/item/%E6%B0%AF%E4%BB%BF/521847?fromModule=lemma_inlink" \t "https://baike.baidu.com/item/%E4%B8%99%E9%85%AE/_blank" </w:instrText>
                  </w:r>
                  <w:r>
                    <w:rPr>
                      <w:rFonts w:hint="default" w:ascii="Times New Roman" w:hAnsi="Times New Roman" w:eastAsia="宋体" w:cs="Times New Roman"/>
                      <w:color w:val="auto"/>
                      <w:sz w:val="21"/>
                      <w:szCs w:val="21"/>
                      <w:lang w:val="en-US" w:eastAsia="zh-CN"/>
                    </w:rPr>
                    <w:fldChar w:fldCharType="separate"/>
                  </w:r>
                  <w:r>
                    <w:rPr>
                      <w:rFonts w:hint="default" w:ascii="Times New Roman" w:hAnsi="Times New Roman" w:eastAsia="宋体" w:cs="Times New Roman"/>
                      <w:color w:val="auto"/>
                      <w:sz w:val="21"/>
                      <w:szCs w:val="21"/>
                      <w:lang w:val="en-US" w:eastAsia="zh-CN"/>
                    </w:rPr>
                    <w:t>氯仿</w:t>
                  </w:r>
                  <w:r>
                    <w:rPr>
                      <w:rFonts w:hint="default" w:ascii="Times New Roman" w:hAnsi="Times New Roman" w:eastAsia="宋体" w:cs="Times New Roman"/>
                      <w:color w:val="auto"/>
                      <w:sz w:val="21"/>
                      <w:szCs w:val="21"/>
                      <w:lang w:val="en-US" w:eastAsia="zh-CN"/>
                    </w:rPr>
                    <w:fldChar w:fldCharType="end"/>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fldChar w:fldCharType="begin"/>
                  </w:r>
                  <w:r>
                    <w:rPr>
                      <w:rFonts w:hint="default" w:ascii="Times New Roman" w:hAnsi="Times New Roman" w:eastAsia="宋体" w:cs="Times New Roman"/>
                      <w:color w:val="auto"/>
                      <w:sz w:val="21"/>
                      <w:szCs w:val="21"/>
                      <w:lang w:val="en-US" w:eastAsia="zh-CN"/>
                    </w:rPr>
                    <w:instrText xml:space="preserve"> HYPERLINK "https://baike.baidu.com/item/%E5%90%A1%E5%95%B6/2220692?fromModule=lemma_inlink" \t "https://baike.baidu.com/item/%E4%B8%99%E9%85%AE/_blank" </w:instrText>
                  </w:r>
                  <w:r>
                    <w:rPr>
                      <w:rFonts w:hint="default" w:ascii="Times New Roman" w:hAnsi="Times New Roman" w:eastAsia="宋体" w:cs="Times New Roman"/>
                      <w:color w:val="auto"/>
                      <w:sz w:val="21"/>
                      <w:szCs w:val="21"/>
                      <w:lang w:val="en-US" w:eastAsia="zh-CN"/>
                    </w:rPr>
                    <w:fldChar w:fldCharType="separate"/>
                  </w:r>
                  <w:r>
                    <w:rPr>
                      <w:rFonts w:hint="default" w:ascii="Times New Roman" w:hAnsi="Times New Roman" w:eastAsia="宋体" w:cs="Times New Roman"/>
                      <w:color w:val="auto"/>
                      <w:sz w:val="21"/>
                      <w:szCs w:val="21"/>
                      <w:lang w:val="en-US" w:eastAsia="zh-CN"/>
                    </w:rPr>
                    <w:t>吡啶</w:t>
                  </w:r>
                  <w:r>
                    <w:rPr>
                      <w:rFonts w:hint="default" w:ascii="Times New Roman" w:hAnsi="Times New Roman" w:eastAsia="宋体" w:cs="Times New Roman"/>
                      <w:color w:val="auto"/>
                      <w:sz w:val="21"/>
                      <w:szCs w:val="21"/>
                      <w:lang w:val="en-US" w:eastAsia="zh-CN"/>
                    </w:rPr>
                    <w:fldChar w:fldCharType="end"/>
                  </w:r>
                  <w:r>
                    <w:rPr>
                      <w:rFonts w:hint="default" w:ascii="Times New Roman" w:hAnsi="Times New Roman" w:eastAsia="宋体" w:cs="Times New Roman"/>
                      <w:color w:val="auto"/>
                      <w:sz w:val="21"/>
                      <w:szCs w:val="21"/>
                      <w:lang w:val="en-US" w:eastAsia="zh-CN"/>
                    </w:rPr>
                    <w:t>等有机溶剂。易燃、易挥发，化学性质较活泼。在工业上主要作为溶剂</w:t>
                  </w:r>
                  <w:r>
                    <w:rPr>
                      <w:rFonts w:hint="eastAsia" w:ascii="Times New Roman" w:hAnsi="Times New Roman" w:eastAsia="宋体" w:cs="Times New Roman"/>
                      <w:color w:val="auto"/>
                      <w:sz w:val="21"/>
                      <w:szCs w:val="21"/>
                      <w:lang w:val="en-US" w:eastAsia="zh-CN"/>
                    </w:rPr>
                    <w:t>。</w:t>
                  </w:r>
                </w:p>
              </w:tc>
            </w:tr>
            <w:tr w14:paraId="7D48B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5" w:hRule="atLeast"/>
                <w:jc w:val="center"/>
              </w:trPr>
              <w:tc>
                <w:tcPr>
                  <w:tcW w:w="561" w:type="pct"/>
                  <w:tcBorders>
                    <w:tl2br w:val="nil"/>
                    <w:tr2bl w:val="nil"/>
                  </w:tcBorders>
                  <w:shd w:val="clear" w:color="auto" w:fill="auto"/>
                  <w:noWrap w:val="0"/>
                  <w:vAlign w:val="center"/>
                </w:tcPr>
                <w:p w14:paraId="6CA4C7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盐酸</w:t>
                  </w:r>
                </w:p>
              </w:tc>
              <w:tc>
                <w:tcPr>
                  <w:tcW w:w="4438" w:type="pct"/>
                  <w:tcBorders>
                    <w:tl2br w:val="nil"/>
                    <w:tr2bl w:val="nil"/>
                  </w:tcBorders>
                  <w:shd w:val="clear" w:color="auto" w:fill="auto"/>
                  <w:noWrap w:val="0"/>
                  <w:vAlign w:val="center"/>
                </w:tcPr>
                <w:p w14:paraId="4A5599D3">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 w:val="21"/>
                      <w:szCs w:val="21"/>
                    </w:rPr>
                    <w:t>CAS号：</w:t>
                  </w:r>
                  <w:r>
                    <w:rPr>
                      <w:rFonts w:hint="eastAsia" w:ascii="Times New Roman" w:hAnsi="Times New Roman" w:eastAsia="宋体" w:cs="Times New Roman"/>
                      <w:color w:val="auto"/>
                      <w:sz w:val="21"/>
                      <w:szCs w:val="21"/>
                    </w:rPr>
                    <w:fldChar w:fldCharType="begin"/>
                  </w:r>
                  <w:r>
                    <w:rPr>
                      <w:rFonts w:hint="eastAsia" w:ascii="Times New Roman" w:hAnsi="Times New Roman" w:eastAsia="宋体" w:cs="Times New Roman"/>
                      <w:color w:val="auto"/>
                      <w:sz w:val="21"/>
                      <w:szCs w:val="21"/>
                    </w:rPr>
                    <w:instrText xml:space="preserve"> HYPERLINK "http://www.ichemistry.cn/chemistry/557-34-6.htm" \o "18087" \t "http://search.ichemistry.cn/_blank" </w:instrText>
                  </w:r>
                  <w:r>
                    <w:rPr>
                      <w:rFonts w:hint="eastAsia" w:ascii="Times New Roman" w:hAnsi="Times New Roman" w:eastAsia="宋体" w:cs="Times New Roman"/>
                      <w:color w:val="auto"/>
                      <w:sz w:val="21"/>
                      <w:szCs w:val="21"/>
                    </w:rPr>
                    <w:fldChar w:fldCharType="separate"/>
                  </w:r>
                  <w:r>
                    <w:rPr>
                      <w:rFonts w:hint="eastAsia" w:ascii="Times New Roman" w:hAnsi="Times New Roman" w:eastAsia="宋体" w:cs="Times New Roman"/>
                      <w:color w:val="auto"/>
                      <w:sz w:val="21"/>
                      <w:szCs w:val="21"/>
                      <w:lang w:val="en-US" w:eastAsia="zh-CN"/>
                    </w:rPr>
                    <w:t>7647</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01</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rPr>
                    <w:fldChar w:fldCharType="end"/>
                  </w:r>
                  <w:r>
                    <w:rPr>
                      <w:rFonts w:ascii="Times New Roman" w:hAnsi="Times New Roman" w:eastAsia="宋体" w:cs="Times New Roman"/>
                      <w:color w:val="auto"/>
                      <w:sz w:val="21"/>
                      <w:szCs w:val="21"/>
                    </w:rPr>
                    <w:t>；分子式为</w:t>
                  </w:r>
                  <w:r>
                    <w:rPr>
                      <w:rFonts w:hint="eastAsia" w:ascii="Times New Roman" w:hAnsi="Times New Roman" w:eastAsia="宋体" w:cs="Times New Roman"/>
                      <w:color w:val="auto"/>
                      <w:sz w:val="21"/>
                      <w:szCs w:val="21"/>
                      <w:lang w:val="en-US" w:eastAsia="zh-CN"/>
                    </w:rPr>
                    <w:t>HCl</w:t>
                  </w:r>
                  <w:r>
                    <w:rPr>
                      <w:rFonts w:ascii="Times New Roman" w:hAnsi="Times New Roman" w:eastAsia="宋体" w:cs="Times New Roman"/>
                      <w:color w:val="auto"/>
                      <w:sz w:val="21"/>
                      <w:szCs w:val="21"/>
                    </w:rPr>
                    <w:t>，相对分子量为</w:t>
                  </w:r>
                  <w:r>
                    <w:rPr>
                      <w:rFonts w:hint="eastAsia" w:ascii="Times New Roman" w:hAnsi="Times New Roman" w:eastAsia="宋体" w:cs="Times New Roman"/>
                      <w:color w:val="auto"/>
                      <w:sz w:val="21"/>
                      <w:szCs w:val="21"/>
                      <w:lang w:val="en-US" w:eastAsia="zh-CN"/>
                    </w:rPr>
                    <w:t>36.5</w:t>
                  </w:r>
                  <w:r>
                    <w:rPr>
                      <w:rFonts w:hint="eastAsia" w:ascii="Times New Roman" w:hAnsi="Times New Roman" w:eastAsia="宋体" w:cs="Times New Roman"/>
                      <w:color w:val="auto"/>
                      <w:sz w:val="21"/>
                      <w:szCs w:val="21"/>
                    </w:rPr>
                    <w:t>，熔点</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27.32℃</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247K，38%溶液</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沸点</w:t>
                  </w:r>
                  <w:r>
                    <w:rPr>
                      <w:rFonts w:ascii="Times New Roman" w:hAnsi="Times New Roman" w:eastAsia="宋体" w:cs="Times New Roman"/>
                      <w:color w:val="auto"/>
                      <w:sz w:val="21"/>
                      <w:szCs w:val="21"/>
                    </w:rPr>
                    <w:t>110℃</w:t>
                  </w:r>
                  <w:r>
                    <w:rPr>
                      <w:rFonts w:hint="eastAsia" w:ascii="Times New Roman" w:hAnsi="Times New Roman" w:eastAsia="宋体" w:cs="Times New Roman"/>
                      <w:color w:val="auto"/>
                      <w:sz w:val="21"/>
                      <w:szCs w:val="21"/>
                      <w:lang w:eastAsia="zh-CN"/>
                    </w:rPr>
                    <w:t>（</w:t>
                  </w:r>
                  <w:r>
                    <w:rPr>
                      <w:rFonts w:ascii="Times New Roman" w:hAnsi="Times New Roman" w:eastAsia="宋体" w:cs="Times New Roman"/>
                      <w:color w:val="auto"/>
                      <w:sz w:val="21"/>
                      <w:szCs w:val="21"/>
                    </w:rPr>
                    <w:t>383K，20.2%溶液</w:t>
                  </w:r>
                  <w:r>
                    <w:rPr>
                      <w:rFonts w:hint="eastAsia" w:ascii="Times New Roman" w:hAnsi="Times New Roman" w:eastAsia="宋体" w:cs="Times New Roman"/>
                      <w:color w:val="auto"/>
                      <w:sz w:val="21"/>
                      <w:szCs w:val="21"/>
                      <w:lang w:eastAsia="zh-CN"/>
                    </w:rPr>
                    <w:t>）</w:t>
                  </w:r>
                  <w:r>
                    <w:rPr>
                      <w:rFonts w:ascii="Times New Roman" w:hAnsi="Times New Roman" w:eastAsia="宋体" w:cs="Times New Roman"/>
                      <w:color w:val="auto"/>
                      <w:sz w:val="21"/>
                      <w:szCs w:val="21"/>
                    </w:rPr>
                    <w:t>；48℃</w:t>
                  </w:r>
                  <w:r>
                    <w:rPr>
                      <w:rFonts w:hint="eastAsia" w:ascii="Times New Roman" w:hAnsi="Times New Roman" w:eastAsia="宋体" w:cs="Times New Roman"/>
                      <w:color w:val="auto"/>
                      <w:sz w:val="21"/>
                      <w:szCs w:val="21"/>
                      <w:lang w:eastAsia="zh-CN"/>
                    </w:rPr>
                    <w:t>（</w:t>
                  </w:r>
                  <w:r>
                    <w:rPr>
                      <w:rFonts w:ascii="Times New Roman" w:hAnsi="Times New Roman" w:eastAsia="宋体" w:cs="Times New Roman"/>
                      <w:color w:val="auto"/>
                      <w:sz w:val="21"/>
                      <w:szCs w:val="21"/>
                    </w:rPr>
                    <w:t>321K，38%溶液</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，密度1.</w:t>
                  </w:r>
                  <w:r>
                    <w:rPr>
                      <w:rFonts w:hint="eastAsia" w:ascii="Times New Roman" w:hAnsi="Times New Roman" w:eastAsia="宋体" w:cs="Times New Roman"/>
                      <w:color w:val="auto"/>
                      <w:sz w:val="21"/>
                      <w:szCs w:val="21"/>
                      <w:lang w:val="en-US" w:eastAsia="zh-CN"/>
                    </w:rPr>
                    <w:t>18g/cm</w:t>
                  </w:r>
                  <w:r>
                    <w:rPr>
                      <w:rFonts w:hint="eastAsia"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盐酸是</w:t>
                  </w:r>
                  <w:r>
                    <w:rPr>
                      <w:rFonts w:hint="default" w:ascii="Times New Roman" w:hAnsi="Times New Roman" w:eastAsia="宋体" w:cs="Times New Roman"/>
                      <w:color w:val="auto"/>
                      <w:sz w:val="21"/>
                      <w:szCs w:val="21"/>
                    </w:rPr>
                    <w:fldChar w:fldCharType="begin"/>
                  </w:r>
                  <w:r>
                    <w:rPr>
                      <w:rFonts w:hint="default" w:ascii="Times New Roman" w:hAnsi="Times New Roman" w:eastAsia="宋体" w:cs="Times New Roman"/>
                      <w:color w:val="auto"/>
                      <w:sz w:val="21"/>
                      <w:szCs w:val="21"/>
                    </w:rPr>
                    <w:instrText xml:space="preserve"> HYPERLINK "https://baike.sogou.com/lemma/ShowInnerLink.htm?lemmaId=2637530&amp;ss_c=ssc.citiao.link" \t "https://baike.sogou.com/_blank" </w:instrText>
                  </w:r>
                  <w:r>
                    <w:rPr>
                      <w:rFonts w:hint="default" w:ascii="Times New Roman" w:hAnsi="Times New Roman" w:eastAsia="宋体" w:cs="Times New Roman"/>
                      <w:color w:val="auto"/>
                      <w:sz w:val="21"/>
                      <w:szCs w:val="21"/>
                    </w:rPr>
                    <w:fldChar w:fldCharType="separate"/>
                  </w:r>
                  <w:r>
                    <w:rPr>
                      <w:rFonts w:hint="default" w:ascii="Times New Roman" w:hAnsi="Times New Roman" w:eastAsia="宋体" w:cs="Times New Roman"/>
                      <w:color w:val="auto"/>
                      <w:sz w:val="21"/>
                      <w:szCs w:val="21"/>
                    </w:rPr>
                    <w:t>氯化氢</w:t>
                  </w:r>
                  <w:r>
                    <w:rPr>
                      <w:rFonts w:hint="default" w:ascii="Times New Roman" w:hAnsi="Times New Roman" w:eastAsia="宋体" w:cs="Times New Roman"/>
                      <w:color w:val="auto"/>
                      <w:sz w:val="21"/>
                      <w:szCs w:val="21"/>
                    </w:rPr>
                    <w:fldChar w:fldCharType="end"/>
                  </w:r>
                  <w:r>
                    <w:rPr>
                      <w:rFonts w:hint="default" w:ascii="Times New Roman" w:hAnsi="Times New Roman" w:eastAsia="宋体" w:cs="Times New Roman"/>
                      <w:color w:val="auto"/>
                      <w:sz w:val="21"/>
                      <w:szCs w:val="21"/>
                    </w:rPr>
                    <w:t>（HCl）的水溶液，为无色透明的液体</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属于一元无机强酸，工业用途广泛。有强烈的刺鼻气味，具有较高的腐蚀性，</w:t>
                  </w:r>
                  <w:r>
                    <w:rPr>
                      <w:rFonts w:hint="default" w:ascii="Times New Roman" w:hAnsi="Times New Roman" w:eastAsia="宋体" w:cs="Times New Roman"/>
                      <w:color w:val="auto"/>
                      <w:sz w:val="21"/>
                      <w:szCs w:val="21"/>
                    </w:rPr>
                    <w:fldChar w:fldCharType="begin"/>
                  </w:r>
                  <w:r>
                    <w:rPr>
                      <w:rFonts w:hint="default" w:ascii="Times New Roman" w:hAnsi="Times New Roman" w:eastAsia="宋体" w:cs="Times New Roman"/>
                      <w:color w:val="auto"/>
                      <w:sz w:val="21"/>
                      <w:szCs w:val="21"/>
                    </w:rPr>
                    <w:instrText xml:space="preserve"> HYPERLINK "https://baike.sogou.com/lemma/ShowInnerLink.htm?lemmaId=5547955&amp;ss_c=ssc.citiao.link" \t "https://baike.sogou.com/_blank" </w:instrText>
                  </w:r>
                  <w:r>
                    <w:rPr>
                      <w:rFonts w:hint="default" w:ascii="Times New Roman" w:hAnsi="Times New Roman" w:eastAsia="宋体" w:cs="Times New Roman"/>
                      <w:color w:val="auto"/>
                      <w:sz w:val="21"/>
                      <w:szCs w:val="21"/>
                    </w:rPr>
                    <w:fldChar w:fldCharType="separate"/>
                  </w:r>
                  <w:r>
                    <w:rPr>
                      <w:rFonts w:hint="default" w:ascii="Times New Roman" w:hAnsi="Times New Roman" w:eastAsia="宋体" w:cs="Times New Roman"/>
                      <w:color w:val="auto"/>
                      <w:sz w:val="21"/>
                      <w:szCs w:val="21"/>
                    </w:rPr>
                    <w:t>浓盐酸</w:t>
                  </w:r>
                  <w:r>
                    <w:rPr>
                      <w:rFonts w:hint="default" w:ascii="Times New Roman" w:hAnsi="Times New Roman" w:eastAsia="宋体" w:cs="Times New Roman"/>
                      <w:color w:val="auto"/>
                      <w:sz w:val="21"/>
                      <w:szCs w:val="21"/>
                    </w:rPr>
                    <w:fldChar w:fldCharType="end"/>
                  </w:r>
                  <w:r>
                    <w:rPr>
                      <w:rFonts w:hint="default" w:ascii="Times New Roman" w:hAnsi="Times New Roman" w:eastAsia="宋体" w:cs="Times New Roman"/>
                      <w:color w:val="auto"/>
                      <w:sz w:val="21"/>
                      <w:szCs w:val="21"/>
                    </w:rPr>
                    <w:t>的质量分数约为3</w:t>
                  </w:r>
                  <w:r>
                    <w:rPr>
                      <w:rFonts w:hint="eastAsia" w:cs="Times New Roman"/>
                      <w:color w:val="auto"/>
                      <w:sz w:val="21"/>
                      <w:szCs w:val="21"/>
                      <w:lang w:val="en-US" w:eastAsia="zh-CN"/>
                    </w:rPr>
                    <w:t>8</w:t>
                  </w:r>
                  <w:r>
                    <w:rPr>
                      <w:rFonts w:hint="default" w:ascii="Times New Roman" w:hAnsi="Times New Roman" w:eastAsia="宋体" w:cs="Times New Roman"/>
                      <w:color w:val="auto"/>
                      <w:sz w:val="21"/>
                      <w:szCs w:val="21"/>
                    </w:rPr>
                    <w:t>%，具有极强的挥发性。</w:t>
                  </w:r>
                </w:p>
              </w:tc>
            </w:tr>
            <w:tr w14:paraId="3DFB9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5" w:hRule="atLeast"/>
                <w:jc w:val="center"/>
              </w:trPr>
              <w:tc>
                <w:tcPr>
                  <w:tcW w:w="561" w:type="pct"/>
                  <w:tcBorders>
                    <w:tl2br w:val="nil"/>
                    <w:tr2bl w:val="nil"/>
                  </w:tcBorders>
                  <w:shd w:val="clear" w:color="auto" w:fill="auto"/>
                  <w:noWrap w:val="0"/>
                  <w:vAlign w:val="center"/>
                </w:tcPr>
                <w:p w14:paraId="3D8BBA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eastAsia="zh-CN"/>
                    </w:rPr>
                    <w:t>硝酸</w:t>
                  </w:r>
                </w:p>
              </w:tc>
              <w:tc>
                <w:tcPr>
                  <w:tcW w:w="4438" w:type="pct"/>
                  <w:tcBorders>
                    <w:tl2br w:val="nil"/>
                    <w:tr2bl w:val="nil"/>
                  </w:tcBorders>
                  <w:shd w:val="clear" w:color="auto" w:fill="auto"/>
                  <w:noWrap w:val="0"/>
                  <w:vAlign w:val="center"/>
                </w:tcPr>
                <w:p w14:paraId="31A634A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rPr>
                    <w:t>CAS号：</w:t>
                  </w:r>
                  <w:r>
                    <w:rPr>
                      <w:rFonts w:hint="eastAsia" w:ascii="Times New Roman" w:hAnsi="Times New Roman" w:eastAsia="宋体" w:cs="Times New Roman"/>
                      <w:color w:val="auto"/>
                      <w:sz w:val="21"/>
                      <w:szCs w:val="21"/>
                    </w:rPr>
                    <w:t>7</w:t>
                  </w:r>
                  <w:r>
                    <w:rPr>
                      <w:rFonts w:hint="eastAsia" w:ascii="Times New Roman" w:hAnsi="Times New Roman" w:eastAsia="宋体" w:cs="Times New Roman"/>
                      <w:color w:val="auto"/>
                      <w:sz w:val="21"/>
                      <w:szCs w:val="21"/>
                      <w:lang w:val="en-US" w:eastAsia="zh-CN"/>
                    </w:rPr>
                    <w:t>697-37-2</w:t>
                  </w:r>
                  <w:r>
                    <w:rPr>
                      <w:rFonts w:ascii="Times New Roman" w:hAnsi="Times New Roman" w:eastAsia="宋体" w:cs="Times New Roman"/>
                      <w:color w:val="auto"/>
                      <w:sz w:val="21"/>
                      <w:szCs w:val="21"/>
                    </w:rPr>
                    <w:t>；分子式为</w:t>
                  </w:r>
                  <w:r>
                    <w:rPr>
                      <w:rFonts w:hint="eastAsia" w:ascii="Times New Roman" w:hAnsi="Times New Roman" w:eastAsia="宋体" w:cs="Times New Roman"/>
                      <w:color w:val="auto"/>
                      <w:sz w:val="21"/>
                      <w:szCs w:val="21"/>
                      <w:lang w:val="en-US" w:eastAsia="zh-CN"/>
                    </w:rPr>
                    <w:t>HNO</w:t>
                  </w:r>
                  <w:r>
                    <w:rPr>
                      <w:rFonts w:hint="eastAsia" w:ascii="Times New Roman" w:hAnsi="Times New Roman" w:eastAsia="宋体" w:cs="Times New Roman"/>
                      <w:color w:val="auto"/>
                      <w:sz w:val="21"/>
                      <w:szCs w:val="21"/>
                      <w:vertAlign w:val="subscript"/>
                      <w:lang w:val="en-US" w:eastAsia="zh-CN"/>
                    </w:rPr>
                    <w:t>3</w:t>
                  </w:r>
                  <w:r>
                    <w:rPr>
                      <w:rFonts w:ascii="Times New Roman" w:hAnsi="Times New Roman" w:eastAsia="宋体" w:cs="Times New Roman"/>
                      <w:color w:val="auto"/>
                      <w:sz w:val="21"/>
                      <w:szCs w:val="21"/>
                    </w:rPr>
                    <w:t>，相对分子量为</w:t>
                  </w:r>
                  <w:r>
                    <w:rPr>
                      <w:rFonts w:hint="eastAsia" w:ascii="Times New Roman" w:hAnsi="Times New Roman" w:eastAsia="宋体" w:cs="Times New Roman"/>
                      <w:color w:val="auto"/>
                      <w:sz w:val="21"/>
                      <w:szCs w:val="21"/>
                      <w:lang w:val="en-US" w:eastAsia="zh-CN"/>
                    </w:rPr>
                    <w:t>63.01</w:t>
                  </w:r>
                  <w:r>
                    <w:rPr>
                      <w:rFonts w:hint="eastAsia" w:ascii="Times New Roman" w:hAnsi="Times New Roman" w:eastAsia="宋体" w:cs="Times New Roman"/>
                      <w:color w:val="auto"/>
                      <w:sz w:val="21"/>
                      <w:szCs w:val="21"/>
                    </w:rPr>
                    <w:t>，密度1.</w:t>
                  </w:r>
                  <w:r>
                    <w:rPr>
                      <w:rFonts w:hint="eastAsia" w:ascii="Times New Roman" w:hAnsi="Times New Roman" w:eastAsia="宋体" w:cs="Times New Roman"/>
                      <w:color w:val="auto"/>
                      <w:sz w:val="21"/>
                      <w:szCs w:val="21"/>
                      <w:lang w:val="en-US" w:eastAsia="zh-CN"/>
                    </w:rPr>
                    <w:t>42g/</w:t>
                  </w:r>
                  <w:r>
                    <w:rPr>
                      <w:rFonts w:hint="eastAsia" w:ascii="Times New Roman" w:hAnsi="Times New Roman" w:eastAsia="宋体" w:cs="Times New Roman"/>
                      <w:color w:val="auto"/>
                      <w:sz w:val="21"/>
                      <w:szCs w:val="21"/>
                    </w:rPr>
                    <w:t>mL，熔点</w:t>
                  </w:r>
                  <w:r>
                    <w:rPr>
                      <w:rFonts w:hint="eastAsia" w:ascii="Times New Roman" w:hAnsi="Times New Roman" w:eastAsia="宋体" w:cs="Times New Roman"/>
                      <w:color w:val="auto"/>
                      <w:sz w:val="21"/>
                      <w:szCs w:val="21"/>
                      <w:lang w:val="en-US" w:eastAsia="zh-CN"/>
                    </w:rPr>
                    <w:t>-42</w:t>
                  </w:r>
                  <w:r>
                    <w:rPr>
                      <w:rFonts w:hint="eastAsia" w:ascii="Times New Roman" w:hAnsi="Times New Roman" w:eastAsia="宋体" w:cs="Times New Roman"/>
                      <w:color w:val="auto"/>
                      <w:sz w:val="21"/>
                      <w:szCs w:val="21"/>
                    </w:rPr>
                    <w:t>℃，沸点</w:t>
                  </w:r>
                  <w:r>
                    <w:rPr>
                      <w:rFonts w:hint="eastAsia" w:ascii="Times New Roman" w:hAnsi="Times New Roman" w:eastAsia="宋体" w:cs="Times New Roman"/>
                      <w:color w:val="auto"/>
                      <w:sz w:val="21"/>
                      <w:szCs w:val="21"/>
                      <w:lang w:val="en-US" w:eastAsia="zh-CN"/>
                    </w:rPr>
                    <w:t>122</w:t>
                  </w: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无色</w:t>
                  </w:r>
                  <w:r>
                    <w:rPr>
                      <w:rFonts w:hint="eastAsia" w:ascii="Times New Roman" w:hAnsi="Times New Roman" w:eastAsia="宋体" w:cs="Times New Roman"/>
                      <w:color w:val="auto"/>
                      <w:sz w:val="21"/>
                      <w:szCs w:val="21"/>
                      <w:lang w:eastAsia="zh-CN"/>
                    </w:rPr>
                    <w:t>液体</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易溶于水，</w:t>
                  </w:r>
                  <w:r>
                    <w:rPr>
                      <w:rFonts w:ascii="Times New Roman" w:hAnsi="Times New Roman" w:eastAsia="宋体" w:cs="Times New Roman"/>
                      <w:color w:val="auto"/>
                      <w:sz w:val="21"/>
                      <w:szCs w:val="21"/>
                    </w:rPr>
                    <w:t>是一种具有强</w:t>
                  </w:r>
                  <w:r>
                    <w:rPr>
                      <w:rFonts w:hint="default" w:ascii="Times New Roman" w:hAnsi="Times New Roman" w:eastAsia="宋体" w:cs="Times New Roman"/>
                      <w:color w:val="auto"/>
                      <w:sz w:val="21"/>
                      <w:szCs w:val="21"/>
                    </w:rPr>
                    <w:fldChar w:fldCharType="begin"/>
                  </w:r>
                  <w:r>
                    <w:rPr>
                      <w:rFonts w:hint="default" w:ascii="Times New Roman" w:hAnsi="Times New Roman" w:eastAsia="宋体" w:cs="Times New Roman"/>
                      <w:color w:val="auto"/>
                      <w:sz w:val="21"/>
                      <w:szCs w:val="21"/>
                    </w:rPr>
                    <w:instrText xml:space="preserve"> HYPERLINK "https://baike.sogou.com/lemma/ShowInnerLink.htm?lemmaId=379884&amp;ss_c=ssc.citiao.link" \t "https://baike.sogou.com/_blank" </w:instrText>
                  </w:r>
                  <w:r>
                    <w:rPr>
                      <w:rFonts w:hint="default" w:ascii="Times New Roman" w:hAnsi="Times New Roman" w:eastAsia="宋体" w:cs="Times New Roman"/>
                      <w:color w:val="auto"/>
                      <w:sz w:val="21"/>
                      <w:szCs w:val="21"/>
                    </w:rPr>
                    <w:fldChar w:fldCharType="separate"/>
                  </w:r>
                  <w:r>
                    <w:rPr>
                      <w:rFonts w:hint="default" w:ascii="Times New Roman" w:hAnsi="Times New Roman" w:eastAsia="宋体" w:cs="Times New Roman"/>
                      <w:color w:val="auto"/>
                      <w:sz w:val="21"/>
                      <w:szCs w:val="21"/>
                    </w:rPr>
                    <w:t>氧化性</w:t>
                  </w:r>
                  <w:r>
                    <w:rPr>
                      <w:rFonts w:hint="default" w:ascii="Times New Roman" w:hAnsi="Times New Roman" w:eastAsia="宋体" w:cs="Times New Roman"/>
                      <w:color w:val="auto"/>
                      <w:sz w:val="21"/>
                      <w:szCs w:val="21"/>
                    </w:rPr>
                    <w:fldChar w:fldCharType="end"/>
                  </w:r>
                  <w:r>
                    <w:rPr>
                      <w:rFonts w:hint="default" w:ascii="Times New Roman" w:hAnsi="Times New Roman" w:eastAsia="宋体" w:cs="Times New Roman"/>
                      <w:color w:val="auto"/>
                      <w:sz w:val="21"/>
                      <w:szCs w:val="21"/>
                    </w:rPr>
                    <w:t>、腐蚀性的</w:t>
                  </w:r>
                  <w:r>
                    <w:rPr>
                      <w:rFonts w:hint="default" w:ascii="Times New Roman" w:hAnsi="Times New Roman" w:eastAsia="宋体" w:cs="Times New Roman"/>
                      <w:color w:val="auto"/>
                      <w:sz w:val="21"/>
                      <w:szCs w:val="21"/>
                    </w:rPr>
                    <w:fldChar w:fldCharType="begin"/>
                  </w:r>
                  <w:r>
                    <w:rPr>
                      <w:rFonts w:hint="default" w:ascii="Times New Roman" w:hAnsi="Times New Roman" w:eastAsia="宋体" w:cs="Times New Roman"/>
                      <w:color w:val="auto"/>
                      <w:sz w:val="21"/>
                      <w:szCs w:val="21"/>
                    </w:rPr>
                    <w:instrText xml:space="preserve"> HYPERLINK "https://baike.sogou.com/lemma/ShowInnerLink.htm?lemmaId=723651&amp;ss_c=ssc.citiao.link" \t "https://baike.sogou.com/_blank" </w:instrText>
                  </w:r>
                  <w:r>
                    <w:rPr>
                      <w:rFonts w:hint="default" w:ascii="Times New Roman" w:hAnsi="Times New Roman" w:eastAsia="宋体" w:cs="Times New Roman"/>
                      <w:color w:val="auto"/>
                      <w:sz w:val="21"/>
                      <w:szCs w:val="21"/>
                    </w:rPr>
                    <w:fldChar w:fldCharType="separate"/>
                  </w:r>
                  <w:r>
                    <w:rPr>
                      <w:rFonts w:hint="default" w:ascii="Times New Roman" w:hAnsi="Times New Roman" w:eastAsia="宋体" w:cs="Times New Roman"/>
                      <w:color w:val="auto"/>
                      <w:sz w:val="21"/>
                      <w:szCs w:val="21"/>
                    </w:rPr>
                    <w:t>强酸</w:t>
                  </w:r>
                  <w:r>
                    <w:rPr>
                      <w:rFonts w:hint="default" w:ascii="Times New Roman" w:hAnsi="Times New Roman" w:eastAsia="宋体" w:cs="Times New Roman"/>
                      <w:color w:val="auto"/>
                      <w:sz w:val="21"/>
                      <w:szCs w:val="21"/>
                    </w:rPr>
                    <w:fldChar w:fldCharType="end"/>
                  </w:r>
                  <w:r>
                    <w:rPr>
                      <w:rFonts w:hint="default" w:ascii="Times New Roman" w:hAnsi="Times New Roman" w:eastAsia="宋体" w:cs="Times New Roman"/>
                      <w:color w:val="auto"/>
                      <w:sz w:val="21"/>
                      <w:szCs w:val="21"/>
                    </w:rPr>
                    <w:t>，属于一元无机强酸，是六大无机强酸之一，也是一种重要的化工原料。在工业上可用于制化肥、农药、</w:t>
                  </w:r>
                  <w:r>
                    <w:rPr>
                      <w:rFonts w:hint="default" w:ascii="Times New Roman" w:hAnsi="Times New Roman" w:eastAsia="宋体" w:cs="Times New Roman"/>
                      <w:color w:val="auto"/>
                      <w:sz w:val="21"/>
                      <w:szCs w:val="21"/>
                    </w:rPr>
                    <w:fldChar w:fldCharType="begin"/>
                  </w:r>
                  <w:r>
                    <w:rPr>
                      <w:rFonts w:hint="default" w:ascii="Times New Roman" w:hAnsi="Times New Roman" w:eastAsia="宋体" w:cs="Times New Roman"/>
                      <w:color w:val="auto"/>
                      <w:sz w:val="21"/>
                      <w:szCs w:val="21"/>
                    </w:rPr>
                    <w:instrText xml:space="preserve"> HYPERLINK "https://baike.sogou.com/lemma/ShowInnerLink.htm?lemmaId=7715074&amp;ss_c=ssc.citiao.link" \t "https://baike.sogou.com/_blank" </w:instrText>
                  </w:r>
                  <w:r>
                    <w:rPr>
                      <w:rFonts w:hint="default" w:ascii="Times New Roman" w:hAnsi="Times New Roman" w:eastAsia="宋体" w:cs="Times New Roman"/>
                      <w:color w:val="auto"/>
                      <w:sz w:val="21"/>
                      <w:szCs w:val="21"/>
                    </w:rPr>
                    <w:fldChar w:fldCharType="separate"/>
                  </w:r>
                  <w:r>
                    <w:rPr>
                      <w:rFonts w:hint="default" w:ascii="Times New Roman" w:hAnsi="Times New Roman" w:eastAsia="宋体" w:cs="Times New Roman"/>
                      <w:color w:val="auto"/>
                      <w:sz w:val="21"/>
                      <w:szCs w:val="21"/>
                    </w:rPr>
                    <w:t>炸药</w:t>
                  </w:r>
                  <w:r>
                    <w:rPr>
                      <w:rFonts w:hint="default" w:ascii="Times New Roman" w:hAnsi="Times New Roman" w:eastAsia="宋体" w:cs="Times New Roman"/>
                      <w:color w:val="auto"/>
                      <w:sz w:val="21"/>
                      <w:szCs w:val="21"/>
                    </w:rPr>
                    <w:fldChar w:fldCharType="end"/>
                  </w:r>
                  <w:r>
                    <w:rPr>
                      <w:rFonts w:hint="default" w:ascii="Times New Roman" w:hAnsi="Times New Roman" w:eastAsia="宋体" w:cs="Times New Roman"/>
                      <w:color w:val="auto"/>
                      <w:sz w:val="21"/>
                      <w:szCs w:val="21"/>
                    </w:rPr>
                    <w:t>、染料、盐类等；在</w:t>
                  </w:r>
                  <w:r>
                    <w:rPr>
                      <w:rFonts w:hint="default" w:ascii="Times New Roman" w:hAnsi="Times New Roman" w:eastAsia="宋体" w:cs="Times New Roman"/>
                      <w:color w:val="auto"/>
                      <w:sz w:val="21"/>
                      <w:szCs w:val="21"/>
                    </w:rPr>
                    <w:fldChar w:fldCharType="begin"/>
                  </w:r>
                  <w:r>
                    <w:rPr>
                      <w:rFonts w:hint="default" w:ascii="Times New Roman" w:hAnsi="Times New Roman" w:eastAsia="宋体" w:cs="Times New Roman"/>
                      <w:color w:val="auto"/>
                      <w:sz w:val="21"/>
                      <w:szCs w:val="21"/>
                    </w:rPr>
                    <w:instrText xml:space="preserve"> HYPERLINK "https://baike.sogou.com/lemma/ShowInnerLink.htm?lemmaId=5459&amp;ss_c=ssc.citiao.link" \t "https://baike.sogou.com/_blank" </w:instrText>
                  </w:r>
                  <w:r>
                    <w:rPr>
                      <w:rFonts w:hint="default" w:ascii="Times New Roman" w:hAnsi="Times New Roman" w:eastAsia="宋体" w:cs="Times New Roman"/>
                      <w:color w:val="auto"/>
                      <w:sz w:val="21"/>
                      <w:szCs w:val="21"/>
                    </w:rPr>
                    <w:fldChar w:fldCharType="separate"/>
                  </w:r>
                  <w:r>
                    <w:rPr>
                      <w:rFonts w:hint="default" w:ascii="Times New Roman" w:hAnsi="Times New Roman" w:eastAsia="宋体" w:cs="Times New Roman"/>
                      <w:color w:val="auto"/>
                      <w:sz w:val="21"/>
                      <w:szCs w:val="21"/>
                    </w:rPr>
                    <w:t>有机化学</w:t>
                  </w:r>
                  <w:r>
                    <w:rPr>
                      <w:rFonts w:hint="default" w:ascii="Times New Roman" w:hAnsi="Times New Roman" w:eastAsia="宋体" w:cs="Times New Roman"/>
                      <w:color w:val="auto"/>
                      <w:sz w:val="21"/>
                      <w:szCs w:val="21"/>
                    </w:rPr>
                    <w:fldChar w:fldCharType="end"/>
                  </w:r>
                  <w:r>
                    <w:rPr>
                      <w:rFonts w:hint="default" w:ascii="Times New Roman" w:hAnsi="Times New Roman" w:eastAsia="宋体" w:cs="Times New Roman"/>
                      <w:color w:val="auto"/>
                      <w:sz w:val="21"/>
                      <w:szCs w:val="21"/>
                    </w:rPr>
                    <w:t>中，</w:t>
                  </w:r>
                  <w:r>
                    <w:rPr>
                      <w:rFonts w:hint="default" w:ascii="Times New Roman" w:hAnsi="Times New Roman" w:eastAsia="宋体" w:cs="Times New Roman"/>
                      <w:color w:val="auto"/>
                      <w:sz w:val="21"/>
                      <w:szCs w:val="21"/>
                    </w:rPr>
                    <w:fldChar w:fldCharType="begin"/>
                  </w:r>
                  <w:r>
                    <w:rPr>
                      <w:rFonts w:hint="default" w:ascii="Times New Roman" w:hAnsi="Times New Roman" w:eastAsia="宋体" w:cs="Times New Roman"/>
                      <w:color w:val="auto"/>
                      <w:sz w:val="21"/>
                      <w:szCs w:val="21"/>
                    </w:rPr>
                    <w:instrText xml:space="preserve"> HYPERLINK "https://baike.sogou.com/lemma/ShowInnerLink.htm?lemmaId=7711236&amp;ss_c=ssc.citiao.link" \t "https://baike.sogou.com/_blank" </w:instrText>
                  </w:r>
                  <w:r>
                    <w:rPr>
                      <w:rFonts w:hint="default" w:ascii="Times New Roman" w:hAnsi="Times New Roman" w:eastAsia="宋体" w:cs="Times New Roman"/>
                      <w:color w:val="auto"/>
                      <w:sz w:val="21"/>
                      <w:szCs w:val="21"/>
                    </w:rPr>
                    <w:fldChar w:fldCharType="separate"/>
                  </w:r>
                  <w:r>
                    <w:rPr>
                      <w:rFonts w:hint="default" w:ascii="Times New Roman" w:hAnsi="Times New Roman" w:eastAsia="宋体" w:cs="Times New Roman"/>
                      <w:color w:val="auto"/>
                      <w:sz w:val="21"/>
                      <w:szCs w:val="21"/>
                    </w:rPr>
                    <w:t>浓硝酸</w:t>
                  </w:r>
                  <w:r>
                    <w:rPr>
                      <w:rFonts w:hint="default" w:ascii="Times New Roman" w:hAnsi="Times New Roman" w:eastAsia="宋体" w:cs="Times New Roman"/>
                      <w:color w:val="auto"/>
                      <w:sz w:val="21"/>
                      <w:szCs w:val="21"/>
                    </w:rPr>
                    <w:fldChar w:fldCharType="end"/>
                  </w:r>
                  <w:r>
                    <w:rPr>
                      <w:rFonts w:hint="default" w:ascii="Times New Roman" w:hAnsi="Times New Roman" w:eastAsia="宋体" w:cs="Times New Roman"/>
                      <w:color w:val="auto"/>
                      <w:sz w:val="21"/>
                      <w:szCs w:val="21"/>
                    </w:rPr>
                    <w:t>与</w:t>
                  </w:r>
                  <w:r>
                    <w:rPr>
                      <w:rFonts w:hint="default" w:ascii="Times New Roman" w:hAnsi="Times New Roman" w:eastAsia="宋体" w:cs="Times New Roman"/>
                      <w:color w:val="auto"/>
                      <w:sz w:val="21"/>
                      <w:szCs w:val="21"/>
                    </w:rPr>
                    <w:fldChar w:fldCharType="begin"/>
                  </w:r>
                  <w:r>
                    <w:rPr>
                      <w:rFonts w:hint="default" w:ascii="Times New Roman" w:hAnsi="Times New Roman" w:eastAsia="宋体" w:cs="Times New Roman"/>
                      <w:color w:val="auto"/>
                      <w:sz w:val="21"/>
                      <w:szCs w:val="21"/>
                    </w:rPr>
                    <w:instrText xml:space="preserve"> HYPERLINK "https://baike.sogou.com/lemma/ShowInnerLink.htm?lemmaId=262156&amp;ss_c=ssc.citiao.link" \t "https://baike.sogou.com/_blank" </w:instrText>
                  </w:r>
                  <w:r>
                    <w:rPr>
                      <w:rFonts w:hint="default" w:ascii="Times New Roman" w:hAnsi="Times New Roman" w:eastAsia="宋体" w:cs="Times New Roman"/>
                      <w:color w:val="auto"/>
                      <w:sz w:val="21"/>
                      <w:szCs w:val="21"/>
                    </w:rPr>
                    <w:fldChar w:fldCharType="separate"/>
                  </w:r>
                  <w:r>
                    <w:rPr>
                      <w:rFonts w:hint="default" w:ascii="Times New Roman" w:hAnsi="Times New Roman" w:eastAsia="宋体" w:cs="Times New Roman"/>
                      <w:color w:val="auto"/>
                      <w:sz w:val="21"/>
                      <w:szCs w:val="21"/>
                    </w:rPr>
                    <w:t>浓硫酸</w:t>
                  </w:r>
                  <w:r>
                    <w:rPr>
                      <w:rFonts w:hint="default" w:ascii="Times New Roman" w:hAnsi="Times New Roman" w:eastAsia="宋体" w:cs="Times New Roman"/>
                      <w:color w:val="auto"/>
                      <w:sz w:val="21"/>
                      <w:szCs w:val="21"/>
                    </w:rPr>
                    <w:fldChar w:fldCharType="end"/>
                  </w:r>
                  <w:r>
                    <w:rPr>
                      <w:rFonts w:hint="default" w:ascii="Times New Roman" w:hAnsi="Times New Roman" w:eastAsia="宋体" w:cs="Times New Roman"/>
                      <w:color w:val="auto"/>
                      <w:sz w:val="21"/>
                      <w:szCs w:val="21"/>
                    </w:rPr>
                    <w:t>的混合液是重要的硝化试剂，其水溶液俗称硝镪水或氨氮水。所属的危险符号是O（氧化剂）与C（</w:t>
                  </w:r>
                  <w:r>
                    <w:rPr>
                      <w:rFonts w:hint="default" w:ascii="Times New Roman" w:hAnsi="Times New Roman" w:eastAsia="宋体" w:cs="Times New Roman"/>
                      <w:color w:val="auto"/>
                      <w:sz w:val="21"/>
                      <w:szCs w:val="21"/>
                    </w:rPr>
                    <w:fldChar w:fldCharType="begin"/>
                  </w:r>
                  <w:r>
                    <w:rPr>
                      <w:rFonts w:hint="default" w:ascii="Times New Roman" w:hAnsi="Times New Roman" w:eastAsia="宋体" w:cs="Times New Roman"/>
                      <w:color w:val="auto"/>
                      <w:sz w:val="21"/>
                      <w:szCs w:val="21"/>
                    </w:rPr>
                    <w:instrText xml:space="preserve"> HYPERLINK "https://baike.sogou.com/lemma/ShowInnerLink.htm?lemmaId=10504906&amp;ss_c=ssc.citiao.link" \t "https://baike.sogou.com/_blank" </w:instrText>
                  </w:r>
                  <w:r>
                    <w:rPr>
                      <w:rFonts w:hint="default" w:ascii="Times New Roman" w:hAnsi="Times New Roman" w:eastAsia="宋体" w:cs="Times New Roman"/>
                      <w:color w:val="auto"/>
                      <w:sz w:val="21"/>
                      <w:szCs w:val="21"/>
                    </w:rPr>
                    <w:fldChar w:fldCharType="separate"/>
                  </w:r>
                  <w:r>
                    <w:rPr>
                      <w:rFonts w:hint="default" w:ascii="Times New Roman" w:hAnsi="Times New Roman" w:eastAsia="宋体" w:cs="Times New Roman"/>
                      <w:color w:val="auto"/>
                      <w:sz w:val="21"/>
                      <w:szCs w:val="21"/>
                    </w:rPr>
                    <w:t>腐蚀品</w:t>
                  </w:r>
                  <w:r>
                    <w:rPr>
                      <w:rFonts w:hint="default" w:ascii="Times New Roman" w:hAnsi="Times New Roman" w:eastAsia="宋体" w:cs="Times New Roman"/>
                      <w:color w:val="auto"/>
                      <w:sz w:val="21"/>
                      <w:szCs w:val="21"/>
                    </w:rPr>
                    <w:fldChar w:fldCharType="end"/>
                  </w:r>
                  <w:r>
                    <w:rPr>
                      <w:rFonts w:hint="default" w:ascii="Times New Roman" w:hAnsi="Times New Roman" w:eastAsia="宋体" w:cs="Times New Roman"/>
                      <w:color w:val="auto"/>
                      <w:sz w:val="21"/>
                      <w:szCs w:val="21"/>
                    </w:rPr>
                    <w:t>）</w:t>
                  </w:r>
                  <w:bookmarkStart w:id="3" w:name="ref_1"/>
                  <w:bookmarkEnd w:id="3"/>
                  <w:r>
                    <w:rPr>
                      <w:rFonts w:hint="default" w:ascii="Times New Roman" w:hAnsi="Times New Roman" w:eastAsia="宋体" w:cs="Times New Roman"/>
                      <w:color w:val="auto"/>
                      <w:sz w:val="21"/>
                      <w:szCs w:val="21"/>
                    </w:rPr>
                    <w:t>。</w:t>
                  </w:r>
                </w:p>
              </w:tc>
            </w:tr>
            <w:tr w14:paraId="75A63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0" w:hRule="atLeast"/>
                <w:jc w:val="center"/>
              </w:trPr>
              <w:tc>
                <w:tcPr>
                  <w:tcW w:w="561" w:type="pct"/>
                  <w:tcBorders>
                    <w:tl2br w:val="nil"/>
                    <w:tr2bl w:val="nil"/>
                  </w:tcBorders>
                  <w:shd w:val="clear" w:color="auto" w:fill="auto"/>
                  <w:noWrap w:val="0"/>
                  <w:vAlign w:val="center"/>
                </w:tcPr>
                <w:p w14:paraId="6E19A7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硫酸</w:t>
                  </w:r>
                </w:p>
              </w:tc>
              <w:tc>
                <w:tcPr>
                  <w:tcW w:w="4438" w:type="pct"/>
                  <w:tcBorders>
                    <w:tl2br w:val="nil"/>
                    <w:tr2bl w:val="nil"/>
                  </w:tcBorders>
                  <w:shd w:val="clear" w:color="auto" w:fill="auto"/>
                  <w:noWrap w:val="0"/>
                  <w:vAlign w:val="center"/>
                </w:tcPr>
                <w:p w14:paraId="3CFCA6DC">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Helvetica" w:cs="Times New Roman"/>
                      <w:i w:val="0"/>
                      <w:iCs w:val="0"/>
                      <w:caps w:val="0"/>
                      <w:color w:val="auto"/>
                      <w:spacing w:val="0"/>
                      <w:sz w:val="21"/>
                      <w:szCs w:val="21"/>
                      <w:u w:val="none"/>
                      <w:shd w:val="clear" w:fill="FFFFFF"/>
                      <w:lang w:val="en-US" w:eastAsia="zh-CN"/>
                    </w:rPr>
                  </w:pPr>
                  <w:r>
                    <w:rPr>
                      <w:rFonts w:hint="default" w:ascii="Times New Roman" w:hAnsi="Times New Roman" w:eastAsia="Helvetica" w:cs="Times New Roman"/>
                      <w:i w:val="0"/>
                      <w:iCs w:val="0"/>
                      <w:caps w:val="0"/>
                      <w:color w:val="auto"/>
                      <w:spacing w:val="0"/>
                      <w:sz w:val="21"/>
                      <w:szCs w:val="21"/>
                      <w:u w:val="none"/>
                      <w:shd w:val="clear" w:fill="FFFFFF"/>
                      <w:lang w:val="en-US" w:eastAsia="zh-CN"/>
                    </w:rPr>
                    <w:t>CAS号：7664-93-9；分子式为HSO</w:t>
                  </w:r>
                  <w:r>
                    <w:rPr>
                      <w:rFonts w:hint="default" w:ascii="Times New Roman" w:hAnsi="Times New Roman" w:eastAsia="Helvetica" w:cs="Times New Roman"/>
                      <w:i w:val="0"/>
                      <w:iCs w:val="0"/>
                      <w:caps w:val="0"/>
                      <w:color w:val="auto"/>
                      <w:spacing w:val="0"/>
                      <w:sz w:val="21"/>
                      <w:szCs w:val="21"/>
                      <w:u w:val="none"/>
                      <w:shd w:val="clear" w:fill="FFFFFF"/>
                      <w:vertAlign w:val="subscript"/>
                      <w:lang w:val="en-US" w:eastAsia="zh-CN"/>
                    </w:rPr>
                    <w:t>4</w:t>
                  </w:r>
                  <w:r>
                    <w:rPr>
                      <w:rFonts w:hint="default" w:ascii="Times New Roman" w:hAnsi="Times New Roman" w:eastAsia="Helvetica" w:cs="Times New Roman"/>
                      <w:i w:val="0"/>
                      <w:iCs w:val="0"/>
                      <w:caps w:val="0"/>
                      <w:color w:val="auto"/>
                      <w:spacing w:val="0"/>
                      <w:sz w:val="21"/>
                      <w:szCs w:val="21"/>
                      <w:u w:val="none"/>
                      <w:shd w:val="clear" w:fill="FFFFFF"/>
                      <w:lang w:val="en-US" w:eastAsia="zh-CN"/>
                    </w:rPr>
                    <w:t>，相对分子量为98.1，密度1.83g/mL，熔点10-10.49℃，沸点338℃，透明无色无臭液体，易溶于水是一种无机强酸，能和绝大多数金属发生反应。高浓度的硫酸有强烈</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begin"/>
                  </w:r>
                  <w:r>
                    <w:rPr>
                      <w:rFonts w:hint="default" w:ascii="Times New Roman" w:hAnsi="Times New Roman" w:eastAsia="Helvetica" w:cs="Times New Roman"/>
                      <w:i w:val="0"/>
                      <w:iCs w:val="0"/>
                      <w:caps w:val="0"/>
                      <w:color w:val="auto"/>
                      <w:spacing w:val="0"/>
                      <w:sz w:val="21"/>
                      <w:szCs w:val="21"/>
                      <w:u w:val="none"/>
                      <w:shd w:val="clear" w:fill="FFFFFF"/>
                      <w:lang w:val="en-US" w:eastAsia="zh-CN"/>
                    </w:rPr>
                    <w:instrText xml:space="preserve"> HYPERLINK "https://baike.baidu.com/item/%E5%90%B8%E6%B0%B4%E6%80%A7/10930650?fromModule=lemma_inlink" \t "https://baike.baidu.com/item/%E7%A1%AB%E9%85%B8/_blank" </w:instrTex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separate"/>
                  </w:r>
                  <w:r>
                    <w:rPr>
                      <w:rFonts w:hint="default" w:ascii="Times New Roman" w:hAnsi="Times New Roman" w:eastAsia="Helvetica" w:cs="Times New Roman"/>
                      <w:i w:val="0"/>
                      <w:iCs w:val="0"/>
                      <w:caps w:val="0"/>
                      <w:color w:val="auto"/>
                      <w:spacing w:val="0"/>
                      <w:sz w:val="21"/>
                      <w:szCs w:val="21"/>
                      <w:u w:val="none"/>
                      <w:shd w:val="clear" w:fill="FFFFFF"/>
                      <w:lang w:val="en-US" w:eastAsia="zh-CN"/>
                    </w:rPr>
                    <w:t>吸水性</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end"/>
                  </w:r>
                  <w:r>
                    <w:rPr>
                      <w:rFonts w:hint="default" w:ascii="Times New Roman" w:hAnsi="Times New Roman" w:eastAsia="Helvetica" w:cs="Times New Roman"/>
                      <w:i w:val="0"/>
                      <w:iCs w:val="0"/>
                      <w:caps w:val="0"/>
                      <w:color w:val="auto"/>
                      <w:spacing w:val="0"/>
                      <w:sz w:val="21"/>
                      <w:szCs w:val="21"/>
                      <w:u w:val="none"/>
                      <w:shd w:val="clear" w:fill="FFFFFF"/>
                      <w:lang w:val="en-US" w:eastAsia="zh-CN"/>
                    </w:rPr>
                    <w:t>，可用作</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begin"/>
                  </w:r>
                  <w:r>
                    <w:rPr>
                      <w:rFonts w:hint="default" w:ascii="Times New Roman" w:hAnsi="Times New Roman" w:eastAsia="Helvetica" w:cs="Times New Roman"/>
                      <w:i w:val="0"/>
                      <w:iCs w:val="0"/>
                      <w:caps w:val="0"/>
                      <w:color w:val="auto"/>
                      <w:spacing w:val="0"/>
                      <w:sz w:val="21"/>
                      <w:szCs w:val="21"/>
                      <w:u w:val="none"/>
                      <w:shd w:val="clear" w:fill="FFFFFF"/>
                      <w:lang w:val="en-US" w:eastAsia="zh-CN"/>
                    </w:rPr>
                    <w:instrText xml:space="preserve"> HYPERLINK "https://baike.baidu.com/item/%E8%84%B1%E6%B0%B4%E5%89%82/6808435?fromModule=lemma_inlink" \t "https://baike.baidu.com/item/%E7%A1%AB%E9%85%B8/_blank" </w:instrTex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separate"/>
                  </w:r>
                  <w:r>
                    <w:rPr>
                      <w:rFonts w:hint="default" w:ascii="Times New Roman" w:hAnsi="Times New Roman" w:eastAsia="Helvetica" w:cs="Times New Roman"/>
                      <w:i w:val="0"/>
                      <w:iCs w:val="0"/>
                      <w:caps w:val="0"/>
                      <w:color w:val="auto"/>
                      <w:spacing w:val="0"/>
                      <w:sz w:val="21"/>
                      <w:szCs w:val="21"/>
                      <w:u w:val="none"/>
                      <w:shd w:val="clear" w:fill="FFFFFF"/>
                      <w:lang w:val="en-US" w:eastAsia="zh-CN"/>
                    </w:rPr>
                    <w:t>脱水剂</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end"/>
                  </w:r>
                  <w:r>
                    <w:rPr>
                      <w:rFonts w:hint="default" w:ascii="Times New Roman" w:hAnsi="Times New Roman" w:eastAsia="Helvetica" w:cs="Times New Roman"/>
                      <w:i w:val="0"/>
                      <w:iCs w:val="0"/>
                      <w:caps w:val="0"/>
                      <w:color w:val="auto"/>
                      <w:spacing w:val="0"/>
                      <w:sz w:val="21"/>
                      <w:szCs w:val="21"/>
                      <w:u w:val="none"/>
                      <w:shd w:val="clear" w:fill="FFFFFF"/>
                      <w:lang w:val="en-US" w:eastAsia="zh-CN"/>
                    </w:rPr>
                    <w:t>，碳化木材、纸张、棉麻织物及生物皮肉等含碳水化合物的物质。与水混合时，亦会放出大量热能。其具有强烈的</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begin"/>
                  </w:r>
                  <w:r>
                    <w:rPr>
                      <w:rFonts w:hint="default" w:ascii="Times New Roman" w:hAnsi="Times New Roman" w:eastAsia="Helvetica" w:cs="Times New Roman"/>
                      <w:i w:val="0"/>
                      <w:iCs w:val="0"/>
                      <w:caps w:val="0"/>
                      <w:color w:val="auto"/>
                      <w:spacing w:val="0"/>
                      <w:sz w:val="21"/>
                      <w:szCs w:val="21"/>
                      <w:u w:val="none"/>
                      <w:shd w:val="clear" w:fill="FFFFFF"/>
                      <w:lang w:val="en-US" w:eastAsia="zh-CN"/>
                    </w:rPr>
                    <w:instrText xml:space="preserve"> HYPERLINK "https://baike.baidu.com/item/%E8%85%90%E8%9A%80%E6%80%A7/770500?fromModule=lemma_inlink" \t "https://baike.baidu.com/item/%E7%A1%AB%E9%85%B8/_blank" </w:instrTex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separate"/>
                  </w:r>
                  <w:r>
                    <w:rPr>
                      <w:rFonts w:hint="default" w:ascii="Times New Roman" w:hAnsi="Times New Roman" w:eastAsia="Helvetica" w:cs="Times New Roman"/>
                      <w:i w:val="0"/>
                      <w:iCs w:val="0"/>
                      <w:caps w:val="0"/>
                      <w:color w:val="auto"/>
                      <w:spacing w:val="0"/>
                      <w:sz w:val="21"/>
                      <w:szCs w:val="21"/>
                      <w:u w:val="none"/>
                      <w:shd w:val="clear" w:fill="FFFFFF"/>
                      <w:lang w:val="en-US" w:eastAsia="zh-CN"/>
                    </w:rPr>
                    <w:t>腐蚀性</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end"/>
                  </w:r>
                  <w:r>
                    <w:rPr>
                      <w:rFonts w:hint="default" w:ascii="Times New Roman" w:hAnsi="Times New Roman" w:eastAsia="Helvetica" w:cs="Times New Roman"/>
                      <w:i w:val="0"/>
                      <w:iCs w:val="0"/>
                      <w:caps w:val="0"/>
                      <w:color w:val="auto"/>
                      <w:spacing w:val="0"/>
                      <w:sz w:val="21"/>
                      <w:szCs w:val="21"/>
                      <w:u w:val="none"/>
                      <w:shd w:val="clear" w:fill="FFFFFF"/>
                      <w:lang w:val="en-US" w:eastAsia="zh-CN"/>
                    </w:rPr>
                    <w:t>和</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begin"/>
                  </w:r>
                  <w:r>
                    <w:rPr>
                      <w:rFonts w:hint="default" w:ascii="Times New Roman" w:hAnsi="Times New Roman" w:eastAsia="Helvetica" w:cs="Times New Roman"/>
                      <w:i w:val="0"/>
                      <w:iCs w:val="0"/>
                      <w:caps w:val="0"/>
                      <w:color w:val="auto"/>
                      <w:spacing w:val="0"/>
                      <w:sz w:val="21"/>
                      <w:szCs w:val="21"/>
                      <w:u w:val="none"/>
                      <w:shd w:val="clear" w:fill="FFFFFF"/>
                      <w:lang w:val="en-US" w:eastAsia="zh-CN"/>
                    </w:rPr>
                    <w:instrText xml:space="preserve"> HYPERLINK "https://baike.baidu.com/item/%E6%B0%A7%E5%8C%96%E6%80%A7/4826093?fromModule=lemma_inlink" \t "https://baike.baidu.com/item/%E7%A1%AB%E9%85%B8/_blank" </w:instrTex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separate"/>
                  </w:r>
                  <w:r>
                    <w:rPr>
                      <w:rFonts w:hint="default" w:ascii="Times New Roman" w:hAnsi="Times New Roman" w:eastAsia="Helvetica" w:cs="Times New Roman"/>
                      <w:i w:val="0"/>
                      <w:iCs w:val="0"/>
                      <w:caps w:val="0"/>
                      <w:color w:val="auto"/>
                      <w:spacing w:val="0"/>
                      <w:sz w:val="21"/>
                      <w:szCs w:val="21"/>
                      <w:u w:val="none"/>
                      <w:shd w:val="clear" w:fill="FFFFFF"/>
                      <w:lang w:val="en-US" w:eastAsia="zh-CN"/>
                    </w:rPr>
                    <w:t>氧化性</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end"/>
                  </w:r>
                  <w:r>
                    <w:rPr>
                      <w:rFonts w:hint="default" w:ascii="Times New Roman" w:hAnsi="Times New Roman" w:eastAsia="Helvetica" w:cs="Times New Roman"/>
                      <w:i w:val="0"/>
                      <w:iCs w:val="0"/>
                      <w:caps w:val="0"/>
                      <w:color w:val="auto"/>
                      <w:spacing w:val="0"/>
                      <w:sz w:val="21"/>
                      <w:szCs w:val="21"/>
                      <w:u w:val="none"/>
                      <w:shd w:val="clear" w:fill="FFFFFF"/>
                      <w:lang w:val="en-US" w:eastAsia="zh-CN"/>
                    </w:rPr>
                    <w:t>，常用作</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begin"/>
                  </w:r>
                  <w:r>
                    <w:rPr>
                      <w:rFonts w:hint="default" w:ascii="Times New Roman" w:hAnsi="Times New Roman" w:eastAsia="Helvetica" w:cs="Times New Roman"/>
                      <w:i w:val="0"/>
                      <w:iCs w:val="0"/>
                      <w:caps w:val="0"/>
                      <w:color w:val="auto"/>
                      <w:spacing w:val="0"/>
                      <w:sz w:val="21"/>
                      <w:szCs w:val="21"/>
                      <w:u w:val="none"/>
                      <w:shd w:val="clear" w:fill="FFFFFF"/>
                      <w:lang w:val="en-US" w:eastAsia="zh-CN"/>
                    </w:rPr>
                    <w:instrText xml:space="preserve"> HYPERLINK "https://baike.baidu.com/item/%E5%8C%96%E5%AD%A6%E8%AF%95%E5%89%82/2609911?fromModule=lemma_inlink" \t "https://baike.baidu.com/item/%E7%A1%AB%E9%85%B8/_blank" </w:instrTex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separate"/>
                  </w:r>
                  <w:r>
                    <w:rPr>
                      <w:rFonts w:hint="default" w:ascii="Times New Roman" w:hAnsi="Times New Roman" w:eastAsia="Helvetica" w:cs="Times New Roman"/>
                      <w:i w:val="0"/>
                      <w:iCs w:val="0"/>
                      <w:caps w:val="0"/>
                      <w:color w:val="auto"/>
                      <w:spacing w:val="0"/>
                      <w:sz w:val="21"/>
                      <w:szCs w:val="21"/>
                      <w:u w:val="none"/>
                      <w:shd w:val="clear" w:fill="FFFFFF"/>
                      <w:lang w:val="en-US" w:eastAsia="zh-CN"/>
                    </w:rPr>
                    <w:t>化学试剂</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end"/>
                  </w:r>
                  <w:r>
                    <w:rPr>
                      <w:rFonts w:hint="default" w:ascii="Times New Roman" w:hAnsi="Times New Roman" w:eastAsia="Helvetica" w:cs="Times New Roman"/>
                      <w:i w:val="0"/>
                      <w:iCs w:val="0"/>
                      <w:caps w:val="0"/>
                      <w:color w:val="auto"/>
                      <w:spacing w:val="0"/>
                      <w:sz w:val="21"/>
                      <w:szCs w:val="21"/>
                      <w:u w:val="none"/>
                      <w:shd w:val="clear" w:fill="FFFFFF"/>
                      <w:lang w:val="en-US" w:eastAsia="zh-CN"/>
                    </w:rPr>
                    <w:t>，在有机合成中可用作脱水剂和</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begin"/>
                  </w:r>
                  <w:r>
                    <w:rPr>
                      <w:rFonts w:hint="default" w:ascii="Times New Roman" w:hAnsi="Times New Roman" w:eastAsia="Helvetica" w:cs="Times New Roman"/>
                      <w:i w:val="0"/>
                      <w:iCs w:val="0"/>
                      <w:caps w:val="0"/>
                      <w:color w:val="auto"/>
                      <w:spacing w:val="0"/>
                      <w:sz w:val="21"/>
                      <w:szCs w:val="21"/>
                      <w:u w:val="none"/>
                      <w:shd w:val="clear" w:fill="FFFFFF"/>
                      <w:lang w:val="en-US" w:eastAsia="zh-CN"/>
                    </w:rPr>
                    <w:instrText xml:space="preserve"> HYPERLINK "https://baike.baidu.com/item/%E7%A3%BA%E5%8C%96%E5%89%82/9847166?fromModule=lemma_inlink" \t "https://baike.baidu.com/item/%E7%A1%AB%E9%85%B8/_blank" </w:instrTex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separate"/>
                  </w:r>
                  <w:r>
                    <w:rPr>
                      <w:rFonts w:hint="default" w:ascii="Times New Roman" w:hAnsi="Times New Roman" w:eastAsia="Helvetica" w:cs="Times New Roman"/>
                      <w:i w:val="0"/>
                      <w:iCs w:val="0"/>
                      <w:caps w:val="0"/>
                      <w:color w:val="auto"/>
                      <w:spacing w:val="0"/>
                      <w:sz w:val="21"/>
                      <w:szCs w:val="21"/>
                      <w:u w:val="none"/>
                      <w:shd w:val="clear" w:fill="FFFFFF"/>
                      <w:lang w:val="en-US" w:eastAsia="zh-CN"/>
                    </w:rPr>
                    <w:t>磺化剂</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end"/>
                  </w:r>
                  <w:r>
                    <w:rPr>
                      <w:rFonts w:hint="default" w:ascii="Times New Roman" w:hAnsi="Times New Roman" w:eastAsia="Helvetica" w:cs="Times New Roman"/>
                      <w:i w:val="0"/>
                      <w:iCs w:val="0"/>
                      <w:caps w:val="0"/>
                      <w:color w:val="auto"/>
                      <w:spacing w:val="0"/>
                      <w:sz w:val="21"/>
                      <w:szCs w:val="21"/>
                      <w:u w:val="none"/>
                      <w:shd w:val="clear" w:fill="FFFFFF"/>
                      <w:lang w:val="en-US" w:eastAsia="zh-CN"/>
                    </w:rPr>
                    <w:t>。</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begin"/>
                  </w:r>
                  <w:r>
                    <w:rPr>
                      <w:rFonts w:hint="default" w:ascii="Times New Roman" w:hAnsi="Times New Roman" w:eastAsia="Helvetica" w:cs="Times New Roman"/>
                      <w:i w:val="0"/>
                      <w:iCs w:val="0"/>
                      <w:caps w:val="0"/>
                      <w:color w:val="auto"/>
                      <w:spacing w:val="0"/>
                      <w:sz w:val="21"/>
                      <w:szCs w:val="21"/>
                      <w:u w:val="none"/>
                      <w:shd w:val="clear" w:fill="FFFFFF"/>
                      <w:lang w:val="en-US" w:eastAsia="zh-CN"/>
                    </w:rPr>
                    <w:instrText xml:space="preserve"> HYPERLINK "https://baike.baidu.com/item/%E6%B5%93%E7%A1%AB%E9%85%B8/1101897" \t "https://cn.bing.com/_blank" </w:instrTex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separate"/>
                  </w:r>
                  <w:r>
                    <w:rPr>
                      <w:rFonts w:hint="default" w:ascii="Times New Roman" w:hAnsi="Times New Roman" w:eastAsia="Helvetica" w:cs="Times New Roman"/>
                      <w:i w:val="0"/>
                      <w:iCs w:val="0"/>
                      <w:caps w:val="0"/>
                      <w:color w:val="auto"/>
                      <w:spacing w:val="0"/>
                      <w:sz w:val="21"/>
                      <w:szCs w:val="21"/>
                      <w:u w:val="none"/>
                      <w:shd w:val="clear" w:fill="FFFFFF"/>
                      <w:lang w:val="en-US" w:eastAsia="zh-CN"/>
                    </w:rPr>
                    <w:t>98%的浓硫酸</w:t>
                  </w:r>
                  <w:r>
                    <w:rPr>
                      <w:rFonts w:hint="eastAsia" w:eastAsia="Helvetica" w:cs="Times New Roman"/>
                      <w:i w:val="0"/>
                      <w:iCs w:val="0"/>
                      <w:caps w:val="0"/>
                      <w:color w:val="auto"/>
                      <w:spacing w:val="0"/>
                      <w:sz w:val="21"/>
                      <w:szCs w:val="21"/>
                      <w:u w:val="none"/>
                      <w:shd w:val="clear" w:fill="FFFFFF"/>
                      <w:lang w:val="en-US" w:eastAsia="zh-CN"/>
                    </w:rPr>
                    <w:t>难挥发</w:t>
                  </w:r>
                  <w:r>
                    <w:rPr>
                      <w:rFonts w:hint="default" w:ascii="Times New Roman" w:hAnsi="Times New Roman" w:eastAsia="Helvetica" w:cs="Times New Roman"/>
                      <w:i w:val="0"/>
                      <w:iCs w:val="0"/>
                      <w:caps w:val="0"/>
                      <w:color w:val="auto"/>
                      <w:spacing w:val="0"/>
                      <w:sz w:val="21"/>
                      <w:szCs w:val="21"/>
                      <w:u w:val="none"/>
                      <w:shd w:val="clear" w:fill="FFFFFF"/>
                      <w:lang w:val="en-US" w:eastAsia="zh-CN"/>
                    </w:rPr>
                    <w:t>。</w:t>
                  </w:r>
                  <w:r>
                    <w:rPr>
                      <w:rFonts w:hint="default" w:ascii="Times New Roman" w:hAnsi="Times New Roman" w:eastAsia="Helvetica" w:cs="Times New Roman"/>
                      <w:i w:val="0"/>
                      <w:iCs w:val="0"/>
                      <w:caps w:val="0"/>
                      <w:color w:val="auto"/>
                      <w:spacing w:val="0"/>
                      <w:sz w:val="21"/>
                      <w:szCs w:val="21"/>
                      <w:u w:val="none"/>
                      <w:shd w:val="clear" w:fill="FFFFFF"/>
                      <w:lang w:val="en-US" w:eastAsia="zh-CN"/>
                    </w:rPr>
                    <w:fldChar w:fldCharType="end"/>
                  </w:r>
                </w:p>
              </w:tc>
            </w:tr>
            <w:tr w14:paraId="1F451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25" w:hRule="atLeast"/>
                <w:jc w:val="center"/>
              </w:trPr>
              <w:tc>
                <w:tcPr>
                  <w:tcW w:w="561" w:type="pct"/>
                  <w:tcBorders>
                    <w:tl2br w:val="nil"/>
                    <w:tr2bl w:val="nil"/>
                  </w:tcBorders>
                  <w:shd w:val="clear" w:color="auto" w:fill="auto"/>
                  <w:noWrap w:val="0"/>
                  <w:vAlign w:val="center"/>
                </w:tcPr>
                <w:p w14:paraId="22DB9B3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ascii="Times New Roman" w:hAnsi="Times New Roman" w:eastAsia="宋体" w:cs="Times New Roman"/>
                      <w:color w:val="auto"/>
                      <w:kern w:val="2"/>
                      <w:sz w:val="21"/>
                      <w:szCs w:val="21"/>
                      <w:highlight w:val="none"/>
                      <w:lang w:val="en-US" w:eastAsia="zh-CN" w:bidi="ar-SA"/>
                    </w:rPr>
                    <w:t>过氧化氢</w:t>
                  </w:r>
                </w:p>
              </w:tc>
              <w:tc>
                <w:tcPr>
                  <w:tcW w:w="4438" w:type="pct"/>
                  <w:tcBorders>
                    <w:tl2br w:val="nil"/>
                    <w:tr2bl w:val="nil"/>
                  </w:tcBorders>
                  <w:shd w:val="clear" w:color="auto" w:fill="auto"/>
                  <w:noWrap w:val="0"/>
                  <w:vAlign w:val="center"/>
                </w:tcPr>
                <w:p w14:paraId="1D75220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eastAsia="宋体"/>
                      <w:color w:val="auto"/>
                      <w:sz w:val="21"/>
                      <w:szCs w:val="21"/>
                      <w:lang w:eastAsia="zh-CN"/>
                    </w:rPr>
                  </w:pPr>
                  <w:r>
                    <w:rPr>
                      <w:rFonts w:ascii="Times New Roman" w:hAnsi="Times New Roman" w:eastAsia="宋体" w:cs="Times New Roman"/>
                      <w:color w:val="auto"/>
                      <w:sz w:val="21"/>
                      <w:szCs w:val="21"/>
                    </w:rPr>
                    <w:t>CAS号：</w:t>
                  </w:r>
                  <w:r>
                    <w:rPr>
                      <w:rFonts w:hint="eastAsia" w:ascii="Times New Roman" w:hAnsi="Times New Roman" w:eastAsia="宋体" w:cs="Times New Roman"/>
                      <w:color w:val="auto"/>
                      <w:sz w:val="21"/>
                      <w:szCs w:val="21"/>
                    </w:rPr>
                    <w:t>7</w:t>
                  </w:r>
                  <w:r>
                    <w:rPr>
                      <w:rFonts w:hint="eastAsia" w:ascii="Times New Roman" w:hAnsi="Times New Roman" w:eastAsia="宋体" w:cs="Times New Roman"/>
                      <w:color w:val="auto"/>
                      <w:sz w:val="21"/>
                      <w:szCs w:val="21"/>
                      <w:lang w:val="en-US" w:eastAsia="zh-CN"/>
                    </w:rPr>
                    <w:t>722-84-1</w:t>
                  </w:r>
                  <w:r>
                    <w:rPr>
                      <w:rFonts w:ascii="Times New Roman" w:hAnsi="Times New Roman" w:eastAsia="宋体" w:cs="Times New Roman"/>
                      <w:color w:val="auto"/>
                      <w:sz w:val="21"/>
                      <w:szCs w:val="21"/>
                    </w:rPr>
                    <w:t>；分子式为</w:t>
                  </w:r>
                  <w:r>
                    <w:rPr>
                      <w:rFonts w:hint="eastAsia" w:ascii="Times New Roman" w:hAnsi="Times New Roman" w:eastAsia="宋体" w:cs="Times New Roman"/>
                      <w:color w:val="auto"/>
                      <w:sz w:val="21"/>
                      <w:szCs w:val="21"/>
                      <w:lang w:val="en-US" w:eastAsia="zh-CN"/>
                    </w:rPr>
                    <w:t>H</w:t>
                  </w:r>
                  <w:r>
                    <w:rPr>
                      <w:rFonts w:hint="eastAsia" w:ascii="Times New Roman" w:hAnsi="Times New Roman" w:eastAsia="宋体" w:cs="Times New Roman"/>
                      <w:color w:val="auto"/>
                      <w:sz w:val="21"/>
                      <w:szCs w:val="21"/>
                      <w:vertAlign w:val="subscript"/>
                      <w:lang w:val="en-US" w:eastAsia="zh-CN"/>
                    </w:rPr>
                    <w:t>2</w:t>
                  </w:r>
                  <w:r>
                    <w:rPr>
                      <w:rFonts w:hint="eastAsia" w:ascii="Times New Roman" w:hAnsi="Times New Roman" w:eastAsia="宋体" w:cs="Times New Roman"/>
                      <w:color w:val="auto"/>
                      <w:sz w:val="21"/>
                      <w:szCs w:val="21"/>
                      <w:lang w:val="en-US" w:eastAsia="zh-CN"/>
                    </w:rPr>
                    <w:t>O</w:t>
                  </w:r>
                  <w:r>
                    <w:rPr>
                      <w:rFonts w:hint="eastAsia" w:ascii="Times New Roman" w:hAnsi="Times New Roman" w:eastAsia="宋体" w:cs="Times New Roman"/>
                      <w:color w:val="auto"/>
                      <w:sz w:val="21"/>
                      <w:szCs w:val="21"/>
                      <w:vertAlign w:val="subscript"/>
                      <w:lang w:val="en-US" w:eastAsia="zh-CN"/>
                    </w:rPr>
                    <w:t>2</w:t>
                  </w:r>
                  <w:r>
                    <w:rPr>
                      <w:rFonts w:ascii="Times New Roman" w:hAnsi="Times New Roman" w:eastAsia="宋体" w:cs="Times New Roman"/>
                      <w:color w:val="auto"/>
                      <w:sz w:val="21"/>
                      <w:szCs w:val="21"/>
                    </w:rPr>
                    <w:t>，相对分子量为</w:t>
                  </w:r>
                  <w:r>
                    <w:rPr>
                      <w:rFonts w:hint="eastAsia" w:ascii="Times New Roman" w:hAnsi="Times New Roman" w:eastAsia="宋体" w:cs="Times New Roman"/>
                      <w:color w:val="auto"/>
                      <w:sz w:val="21"/>
                      <w:szCs w:val="21"/>
                      <w:lang w:val="en-US" w:eastAsia="zh-CN"/>
                    </w:rPr>
                    <w:t>34.0147</w:t>
                  </w:r>
                  <w:r>
                    <w:rPr>
                      <w:rFonts w:hint="eastAsia" w:ascii="Times New Roman" w:hAnsi="Times New Roman" w:eastAsia="宋体" w:cs="Times New Roman"/>
                      <w:color w:val="auto"/>
                      <w:sz w:val="21"/>
                      <w:szCs w:val="21"/>
                    </w:rPr>
                    <w:t>，密度1.</w:t>
                  </w:r>
                  <w:r>
                    <w:rPr>
                      <w:rFonts w:hint="eastAsia" w:ascii="Times New Roman" w:hAnsi="Times New Roman" w:eastAsia="宋体" w:cs="Times New Roman"/>
                      <w:color w:val="auto"/>
                      <w:sz w:val="21"/>
                      <w:szCs w:val="21"/>
                      <w:lang w:val="en-US" w:eastAsia="zh-CN"/>
                    </w:rPr>
                    <w:t>465g/</w:t>
                  </w:r>
                  <w:r>
                    <w:rPr>
                      <w:rFonts w:hint="eastAsia" w:ascii="Times New Roman" w:hAnsi="Times New Roman" w:eastAsia="宋体" w:cs="Times New Roman"/>
                      <w:color w:val="auto"/>
                      <w:sz w:val="21"/>
                      <w:szCs w:val="21"/>
                    </w:rPr>
                    <w:t>mL，熔点</w:t>
                  </w:r>
                  <w:r>
                    <w:rPr>
                      <w:rFonts w:hint="eastAsia" w:ascii="Times New Roman" w:hAnsi="Times New Roman" w:eastAsia="宋体" w:cs="Times New Roman"/>
                      <w:color w:val="auto"/>
                      <w:sz w:val="21"/>
                      <w:szCs w:val="21"/>
                      <w:lang w:val="en-US" w:eastAsia="zh-CN"/>
                    </w:rPr>
                    <w:t>-0.42</w:t>
                  </w:r>
                  <w:r>
                    <w:rPr>
                      <w:rFonts w:hint="eastAsia" w:ascii="Times New Roman" w:hAnsi="Times New Roman" w:eastAsia="宋体" w:cs="Times New Roman"/>
                      <w:color w:val="auto"/>
                      <w:sz w:val="21"/>
                      <w:szCs w:val="21"/>
                    </w:rPr>
                    <w:t>℃，沸点</w:t>
                  </w:r>
                  <w:r>
                    <w:rPr>
                      <w:rFonts w:hint="eastAsia" w:ascii="Times New Roman" w:hAnsi="Times New Roman" w:eastAsia="宋体" w:cs="Times New Roman"/>
                      <w:color w:val="auto"/>
                      <w:sz w:val="21"/>
                      <w:szCs w:val="21"/>
                      <w:lang w:val="en-US" w:eastAsia="zh-CN"/>
                    </w:rPr>
                    <w:t>152</w:t>
                  </w:r>
                  <w:r>
                    <w:rPr>
                      <w:rFonts w:hint="eastAsia" w:ascii="Times New Roman" w:hAnsi="Times New Roman" w:eastAsia="宋体" w:cs="Times New Roman"/>
                      <w:color w:val="auto"/>
                      <w:sz w:val="21"/>
                      <w:szCs w:val="21"/>
                    </w:rPr>
                    <w:t>℃，</w:t>
                  </w:r>
                  <w:r>
                    <w:rPr>
                      <w:rFonts w:ascii="Helvetica" w:hAnsi="Helvetica" w:eastAsia="Helvetica" w:cs="Helvetica"/>
                      <w:i w:val="0"/>
                      <w:iCs w:val="0"/>
                      <w:caps w:val="0"/>
                      <w:color w:val="auto"/>
                      <w:spacing w:val="0"/>
                      <w:sz w:val="21"/>
                      <w:szCs w:val="21"/>
                      <w:shd w:val="clear" w:fill="FFFFFF"/>
                    </w:rPr>
                    <w:t>是一种蓝色、有轻微刺激性气味的粘稠液体，在暗处较稳定，受热、光照或遇到某些杂质易分解为</w:t>
                  </w:r>
                  <w:r>
                    <w:rPr>
                      <w:rFonts w:hint="default" w:ascii="Helvetica" w:hAnsi="Helvetica" w:eastAsia="Helvetica" w:cs="Helvetica"/>
                      <w:i w:val="0"/>
                      <w:iCs w:val="0"/>
                      <w:caps w:val="0"/>
                      <w:color w:val="auto"/>
                      <w:spacing w:val="0"/>
                      <w:sz w:val="21"/>
                      <w:szCs w:val="21"/>
                      <w:u w:val="none"/>
                      <w:shd w:val="clear" w:fill="FFFFFF"/>
                    </w:rPr>
                    <w:fldChar w:fldCharType="begin"/>
                  </w:r>
                  <w:r>
                    <w:rPr>
                      <w:rFonts w:hint="default" w:ascii="Helvetica" w:hAnsi="Helvetica" w:eastAsia="Helvetica" w:cs="Helvetica"/>
                      <w:i w:val="0"/>
                      <w:iCs w:val="0"/>
                      <w:caps w:val="0"/>
                      <w:color w:val="auto"/>
                      <w:spacing w:val="0"/>
                      <w:sz w:val="21"/>
                      <w:szCs w:val="21"/>
                      <w:u w:val="none"/>
                      <w:shd w:val="clear" w:fill="FFFFFF"/>
                    </w:rPr>
                    <w:instrText xml:space="preserve"> HYPERLINK "https://baike.baidu.com/item/%E6%B0%A7%E6%B0%94/64782?fromModule=lemma_inlink" \t "https://baike.baidu.com/item/%E8%BF%87%E6%B0%A7%E5%8C%96%E6%B0%A2/_blank" </w:instrText>
                  </w:r>
                  <w:r>
                    <w:rPr>
                      <w:rFonts w:hint="default" w:ascii="Helvetica" w:hAnsi="Helvetica" w:eastAsia="Helvetica" w:cs="Helvetica"/>
                      <w:i w:val="0"/>
                      <w:iCs w:val="0"/>
                      <w:caps w:val="0"/>
                      <w:color w:val="auto"/>
                      <w:spacing w:val="0"/>
                      <w:sz w:val="21"/>
                      <w:szCs w:val="21"/>
                      <w:u w:val="none"/>
                      <w:shd w:val="clear" w:fill="FFFFFF"/>
                    </w:rPr>
                    <w:fldChar w:fldCharType="separate"/>
                  </w:r>
                  <w:r>
                    <w:rPr>
                      <w:rStyle w:val="22"/>
                      <w:rFonts w:hint="default" w:ascii="Helvetica" w:hAnsi="Helvetica" w:eastAsia="Helvetica" w:cs="Helvetica"/>
                      <w:i w:val="0"/>
                      <w:iCs w:val="0"/>
                      <w:caps w:val="0"/>
                      <w:color w:val="auto"/>
                      <w:spacing w:val="0"/>
                      <w:sz w:val="21"/>
                      <w:szCs w:val="21"/>
                      <w:u w:val="none"/>
                      <w:shd w:val="clear" w:fill="FFFFFF"/>
                    </w:rPr>
                    <w:t>氧气</w:t>
                  </w:r>
                  <w:r>
                    <w:rPr>
                      <w:rFonts w:hint="default" w:ascii="Helvetica" w:hAnsi="Helvetica" w:eastAsia="Helvetica" w:cs="Helvetica"/>
                      <w:i w:val="0"/>
                      <w:iCs w:val="0"/>
                      <w:caps w:val="0"/>
                      <w:color w:val="auto"/>
                      <w:spacing w:val="0"/>
                      <w:sz w:val="21"/>
                      <w:szCs w:val="21"/>
                      <w:u w:val="none"/>
                      <w:shd w:val="clear" w:fill="FFFFFF"/>
                    </w:rPr>
                    <w:fldChar w:fldCharType="end"/>
                  </w:r>
                  <w:r>
                    <w:rPr>
                      <w:rFonts w:hint="default" w:ascii="Helvetica" w:hAnsi="Helvetica" w:eastAsia="Helvetica" w:cs="Helvetica"/>
                      <w:i w:val="0"/>
                      <w:iCs w:val="0"/>
                      <w:caps w:val="0"/>
                      <w:color w:val="auto"/>
                      <w:spacing w:val="0"/>
                      <w:sz w:val="21"/>
                      <w:szCs w:val="21"/>
                      <w:shd w:val="clear" w:fill="FFFFFF"/>
                    </w:rPr>
                    <w:t>和水，能以任意比例与水互溶</w:t>
                  </w:r>
                  <w:r>
                    <w:rPr>
                      <w:rFonts w:hint="default" w:ascii="Times New Roman" w:hAnsi="Times New Roman" w:eastAsia="宋体" w:cs="Times New Roman"/>
                      <w:color w:val="auto"/>
                      <w:sz w:val="21"/>
                      <w:szCs w:val="21"/>
                    </w:rPr>
                    <w:t>。</w:t>
                  </w:r>
                </w:p>
              </w:tc>
            </w:tr>
            <w:tr w14:paraId="20863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25" w:hRule="atLeast"/>
                <w:jc w:val="center"/>
              </w:trPr>
              <w:tc>
                <w:tcPr>
                  <w:tcW w:w="561" w:type="pct"/>
                  <w:tcBorders>
                    <w:tl2br w:val="nil"/>
                    <w:tr2bl w:val="nil"/>
                  </w:tcBorders>
                  <w:shd w:val="clear" w:color="auto" w:fill="auto"/>
                  <w:noWrap w:val="0"/>
                  <w:vAlign w:val="center"/>
                </w:tcPr>
                <w:p w14:paraId="6C5198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异丙醇</w:t>
                  </w:r>
                </w:p>
              </w:tc>
              <w:tc>
                <w:tcPr>
                  <w:tcW w:w="4438" w:type="pct"/>
                  <w:tcBorders>
                    <w:tl2br w:val="nil"/>
                    <w:tr2bl w:val="nil"/>
                  </w:tcBorders>
                  <w:shd w:val="clear" w:color="auto" w:fill="auto"/>
                  <w:noWrap w:val="0"/>
                  <w:vAlign w:val="center"/>
                </w:tcPr>
                <w:p w14:paraId="1801ADC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CAS号：67-63-0；化学式为C</w:t>
                  </w:r>
                  <w:r>
                    <w:rPr>
                      <w:rFonts w:hint="eastAsia" w:ascii="Times New Roman" w:hAnsi="Times New Roman" w:eastAsia="宋体" w:cs="Times New Roman"/>
                      <w:color w:val="auto"/>
                      <w:kern w:val="2"/>
                      <w:sz w:val="21"/>
                      <w:szCs w:val="21"/>
                      <w:highlight w:val="none"/>
                      <w:vertAlign w:val="subscript"/>
                      <w:lang w:val="en-US" w:eastAsia="zh-CN" w:bidi="ar-SA"/>
                    </w:rPr>
                    <w:t>3</w:t>
                  </w:r>
                  <w:r>
                    <w:rPr>
                      <w:rFonts w:hint="eastAsia" w:ascii="Times New Roman" w:hAnsi="Times New Roman" w:eastAsia="宋体" w:cs="Times New Roman"/>
                      <w:color w:val="auto"/>
                      <w:kern w:val="2"/>
                      <w:sz w:val="21"/>
                      <w:szCs w:val="21"/>
                      <w:highlight w:val="none"/>
                      <w:lang w:val="en-US" w:eastAsia="zh-CN" w:bidi="ar-SA"/>
                    </w:rPr>
                    <w:t>H</w:t>
                  </w:r>
                  <w:r>
                    <w:rPr>
                      <w:rFonts w:hint="eastAsia" w:ascii="Times New Roman" w:hAnsi="Times New Roman" w:eastAsia="宋体" w:cs="Times New Roman"/>
                      <w:color w:val="auto"/>
                      <w:kern w:val="2"/>
                      <w:sz w:val="21"/>
                      <w:szCs w:val="21"/>
                      <w:highlight w:val="none"/>
                      <w:vertAlign w:val="subscript"/>
                      <w:lang w:val="en-US" w:eastAsia="zh-CN" w:bidi="ar-SA"/>
                    </w:rPr>
                    <w:t>8</w:t>
                  </w:r>
                  <w:r>
                    <w:rPr>
                      <w:rFonts w:hint="eastAsia" w:ascii="Times New Roman" w:hAnsi="Times New Roman" w:eastAsia="宋体" w:cs="Times New Roman"/>
                      <w:color w:val="auto"/>
                      <w:kern w:val="2"/>
                      <w:sz w:val="21"/>
                      <w:szCs w:val="21"/>
                      <w:highlight w:val="none"/>
                      <w:lang w:val="en-US" w:eastAsia="zh-CN" w:bidi="ar-SA"/>
                    </w:rPr>
                    <w:t>O，分子量为60.10g/mol，密度为0.785 g/mL（25°C），沸点为82.3°C，熔点为-89.5°C，闪点为12°C，</w:t>
                  </w:r>
                  <w:r>
                    <w:rPr>
                      <w:rFonts w:hint="eastAsia" w:cs="Times New Roman"/>
                      <w:color w:val="auto"/>
                      <w:kern w:val="2"/>
                      <w:sz w:val="21"/>
                      <w:szCs w:val="21"/>
                      <w:highlight w:val="none"/>
                      <w:lang w:val="en-US" w:eastAsia="zh-CN" w:bidi="ar-SA"/>
                    </w:rPr>
                    <w:t>蒸汽压</w:t>
                  </w:r>
                  <w:r>
                    <w:rPr>
                      <w:rFonts w:hint="eastAsia" w:ascii="Times New Roman" w:hAnsi="Times New Roman" w:eastAsia="宋体" w:cs="Times New Roman"/>
                      <w:color w:val="auto"/>
                      <w:kern w:val="2"/>
                      <w:sz w:val="21"/>
                      <w:szCs w:val="21"/>
                      <w:highlight w:val="none"/>
                      <w:lang w:val="en-US" w:eastAsia="zh-CN" w:bidi="ar-SA"/>
                    </w:rPr>
                    <w:t>为33 mmHg（25°C）。是一种无色透明液体，低毒性，急性口服毒性LD50（大鼠）为5405 mg/kg，吸入LC</w:t>
                  </w:r>
                  <w:r>
                    <w:rPr>
                      <w:rFonts w:hint="eastAsia" w:ascii="Times New Roman" w:hAnsi="Times New Roman" w:eastAsia="宋体" w:cs="Times New Roman"/>
                      <w:color w:val="auto"/>
                      <w:kern w:val="2"/>
                      <w:sz w:val="21"/>
                      <w:szCs w:val="21"/>
                      <w:highlight w:val="none"/>
                      <w:vertAlign w:val="subscript"/>
                      <w:lang w:val="en-US" w:eastAsia="zh-CN" w:bidi="ar-SA"/>
                    </w:rPr>
                    <w:t>50</w:t>
                  </w:r>
                  <w:r>
                    <w:rPr>
                      <w:rFonts w:hint="eastAsia" w:ascii="Times New Roman" w:hAnsi="Times New Roman" w:eastAsia="宋体" w:cs="Times New Roman"/>
                      <w:color w:val="auto"/>
                      <w:kern w:val="2"/>
                      <w:sz w:val="21"/>
                      <w:szCs w:val="21"/>
                      <w:highlight w:val="none"/>
                      <w:lang w:val="en-US" w:eastAsia="zh-CN" w:bidi="ar-SA"/>
                    </w:rPr>
                    <w:t>（大鼠）为16000ppm/8小时。易燃，与氧化剂接触可能发生爆炸。它在工业、医药、电子等领域具有广泛的应用，同时因其易燃性和毒性也需谨慎处理。</w:t>
                  </w:r>
                </w:p>
              </w:tc>
            </w:tr>
          </w:tbl>
          <w:p w14:paraId="0E1A6048">
            <w:pPr>
              <w:bidi w:val="0"/>
              <w:rPr>
                <w:rFonts w:hint="default"/>
                <w:b/>
                <w:bCs/>
                <w:color w:val="auto"/>
                <w:lang w:val="en-US" w:eastAsia="zh-CN"/>
              </w:rPr>
            </w:pPr>
            <w:r>
              <w:rPr>
                <w:rFonts w:hint="eastAsia"/>
                <w:b/>
                <w:bCs/>
                <w:color w:val="auto"/>
                <w:lang w:val="en-US" w:eastAsia="zh-CN"/>
              </w:rPr>
              <w:t>4、主要设备</w:t>
            </w:r>
          </w:p>
          <w:p w14:paraId="0D733C2F">
            <w:pPr>
              <w:bidi w:val="0"/>
              <w:rPr>
                <w:rFonts w:hint="default"/>
                <w:color w:val="auto"/>
                <w:lang w:val="en-US" w:eastAsia="zh-CN"/>
              </w:rPr>
            </w:pPr>
            <w:r>
              <w:rPr>
                <w:color w:val="auto"/>
                <w:kern w:val="0"/>
              </w:rPr>
              <w:t>项目主要</w:t>
            </w:r>
            <w:r>
              <w:rPr>
                <w:rFonts w:hint="eastAsia"/>
                <w:color w:val="auto"/>
                <w:kern w:val="0"/>
                <w:lang w:val="en-US" w:eastAsia="zh-CN"/>
              </w:rPr>
              <w:t>研发设备</w:t>
            </w:r>
            <w:r>
              <w:rPr>
                <w:color w:val="auto"/>
                <w:kern w:val="0"/>
              </w:rPr>
              <w:t>见表</w:t>
            </w:r>
            <w:r>
              <w:rPr>
                <w:rFonts w:hint="eastAsia"/>
                <w:color w:val="auto"/>
                <w:kern w:val="0"/>
              </w:rPr>
              <w:t>2-</w:t>
            </w:r>
            <w:r>
              <w:rPr>
                <w:rFonts w:hint="eastAsia"/>
                <w:color w:val="auto"/>
                <w:kern w:val="0"/>
                <w:lang w:val="en-US" w:eastAsia="zh-CN"/>
              </w:rPr>
              <w:t>5</w:t>
            </w:r>
            <w:r>
              <w:rPr>
                <w:color w:val="auto"/>
                <w:kern w:val="0"/>
              </w:rPr>
              <w:t>。</w:t>
            </w:r>
          </w:p>
          <w:p w14:paraId="7950A084">
            <w:pPr>
              <w:pStyle w:val="24"/>
              <w:bidi w:val="0"/>
              <w:rPr>
                <w:rFonts w:hint="eastAsia"/>
                <w:color w:val="auto"/>
                <w:sz w:val="24"/>
                <w:szCs w:val="24"/>
                <w:lang w:val="en-US" w:eastAsia="zh-CN"/>
              </w:rPr>
            </w:pPr>
            <w:r>
              <w:rPr>
                <w:rFonts w:hint="eastAsia"/>
                <w:color w:val="auto"/>
                <w:sz w:val="24"/>
                <w:szCs w:val="24"/>
                <w:lang w:val="en-US" w:eastAsia="zh-CN"/>
              </w:rPr>
              <w:t>表2-5  研发设备情况一览表</w:t>
            </w:r>
          </w:p>
          <w:tbl>
            <w:tblPr>
              <w:tblStyle w:val="16"/>
              <w:tblW w:w="81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
              <w:gridCol w:w="2665"/>
              <w:gridCol w:w="2418"/>
              <w:gridCol w:w="1627"/>
              <w:gridCol w:w="5"/>
              <w:gridCol w:w="1377"/>
              <w:gridCol w:w="6"/>
            </w:tblGrid>
            <w:tr w14:paraId="032E5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4304400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b/>
                      <w:bCs/>
                      <w:i w:val="0"/>
                      <w:iCs w:val="0"/>
                      <w:caps w:val="0"/>
                      <w:color w:val="333333"/>
                      <w:spacing w:val="0"/>
                      <w:sz w:val="21"/>
                      <w:szCs w:val="21"/>
                      <w:shd w:val="clear" w:fill="FFFFFF"/>
                    </w:rPr>
                  </w:pPr>
                  <w:r>
                    <w:rPr>
                      <w:rFonts w:hint="default" w:ascii="Times New Roman" w:hAnsi="Times New Roman" w:eastAsia="Helvetica" w:cs="Times New Roman"/>
                      <w:b/>
                      <w:bCs/>
                      <w:i w:val="0"/>
                      <w:iCs w:val="0"/>
                      <w:caps w:val="0"/>
                      <w:color w:val="333333"/>
                      <w:spacing w:val="0"/>
                      <w:sz w:val="21"/>
                      <w:szCs w:val="21"/>
                      <w:shd w:val="clear" w:fill="FFFFFF"/>
                      <w:lang w:val="en-US" w:eastAsia="zh-CN"/>
                    </w:rPr>
                    <w:t>设备名称</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41607B9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b/>
                      <w:bCs/>
                      <w:i w:val="0"/>
                      <w:iCs w:val="0"/>
                      <w:caps w:val="0"/>
                      <w:color w:val="333333"/>
                      <w:spacing w:val="0"/>
                      <w:sz w:val="21"/>
                      <w:szCs w:val="21"/>
                      <w:shd w:val="clear" w:fill="FFFFFF"/>
                    </w:rPr>
                  </w:pPr>
                  <w:r>
                    <w:rPr>
                      <w:rFonts w:hint="default" w:ascii="Times New Roman" w:hAnsi="Times New Roman" w:eastAsia="Helvetica" w:cs="Times New Roman"/>
                      <w:b/>
                      <w:bCs/>
                      <w:i w:val="0"/>
                      <w:iCs w:val="0"/>
                      <w:caps w:val="0"/>
                      <w:color w:val="333333"/>
                      <w:spacing w:val="0"/>
                      <w:sz w:val="21"/>
                      <w:szCs w:val="21"/>
                      <w:shd w:val="clear" w:fill="FFFFFF"/>
                      <w:lang w:val="en-US" w:eastAsia="zh-CN"/>
                    </w:rPr>
                    <w:t>设备型号</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4299654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b/>
                      <w:bCs/>
                      <w:i w:val="0"/>
                      <w:iCs w:val="0"/>
                      <w:caps w:val="0"/>
                      <w:color w:val="333333"/>
                      <w:spacing w:val="0"/>
                      <w:sz w:val="21"/>
                      <w:szCs w:val="21"/>
                      <w:shd w:val="clear" w:fill="FFFFFF"/>
                      <w:lang w:val="en-US" w:eastAsia="zh-CN"/>
                    </w:rPr>
                  </w:pPr>
                  <w:r>
                    <w:rPr>
                      <w:rFonts w:hint="default" w:ascii="Times New Roman" w:hAnsi="Times New Roman" w:eastAsia="Helvetica" w:cs="Times New Roman"/>
                      <w:b/>
                      <w:bCs/>
                      <w:i w:val="0"/>
                      <w:iCs w:val="0"/>
                      <w:caps w:val="0"/>
                      <w:color w:val="333333"/>
                      <w:spacing w:val="0"/>
                      <w:sz w:val="21"/>
                      <w:szCs w:val="21"/>
                      <w:shd w:val="clear" w:fill="FFFFFF"/>
                      <w:lang w:val="en-US" w:eastAsia="zh-CN"/>
                    </w:rPr>
                    <w:t>设备数量</w:t>
                  </w:r>
                  <w:r>
                    <w:rPr>
                      <w:rFonts w:hint="eastAsia" w:eastAsia="Helvetica" w:cs="Times New Roman"/>
                      <w:b/>
                      <w:bCs/>
                      <w:i w:val="0"/>
                      <w:iCs w:val="0"/>
                      <w:caps w:val="0"/>
                      <w:color w:val="333333"/>
                      <w:spacing w:val="0"/>
                      <w:sz w:val="21"/>
                      <w:szCs w:val="21"/>
                      <w:shd w:val="clear" w:fill="FFFFFF"/>
                      <w:lang w:val="en-US" w:eastAsia="zh-CN"/>
                    </w:rPr>
                    <w:t>（个）</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2CA96D0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b/>
                      <w:bCs/>
                      <w:i w:val="0"/>
                      <w:iCs w:val="0"/>
                      <w:caps w:val="0"/>
                      <w:color w:val="333333"/>
                      <w:spacing w:val="0"/>
                      <w:sz w:val="21"/>
                      <w:szCs w:val="21"/>
                      <w:shd w:val="clear" w:fill="FFFFFF"/>
                      <w:lang w:val="en-US" w:eastAsia="zh-CN"/>
                    </w:rPr>
                  </w:pPr>
                  <w:r>
                    <w:rPr>
                      <w:rFonts w:hint="eastAsia" w:eastAsia="Helvetica" w:cs="Times New Roman"/>
                      <w:b/>
                      <w:bCs/>
                      <w:i w:val="0"/>
                      <w:iCs w:val="0"/>
                      <w:caps w:val="0"/>
                      <w:color w:val="333333"/>
                      <w:spacing w:val="0"/>
                      <w:sz w:val="21"/>
                      <w:szCs w:val="21"/>
                      <w:shd w:val="clear" w:fill="FFFFFF"/>
                      <w:lang w:val="en-US" w:eastAsia="zh-CN"/>
                    </w:rPr>
                    <w:t>备注</w:t>
                  </w:r>
                </w:p>
              </w:tc>
            </w:tr>
            <w:tr w14:paraId="2916A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411547B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高压直流电源柜</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45270CD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MD880-300kW</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4CEB42D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6</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2C345C1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3C42D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7F3D2A5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冷却水箱</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5FFD43F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LQ_45K-3L</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1F2065B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4</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6DC3DE0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4330A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4B2C2AB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冷却油箱</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7C031B8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LQ_15K-1L</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010EE97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4</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36CBB0A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0F941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13D7853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温箱</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1BCE07A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TOQH-600JXL-5KL</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05CEEBA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2</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3304534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6599D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0686E92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交流源载一体机</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4416599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AGL-100-7010</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3CB6B97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5</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550C1B0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4160C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0735A16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电池模拟器</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7FC15BD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ABS-100E-2014</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67103E1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5</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0D160F0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23B31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9830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示波器</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C5AD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RTM3004</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6E8D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B3E6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49E82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vMerge w:val="restart"/>
                  <w:tcBorders>
                    <w:top w:val="single" w:color="000000" w:sz="4" w:space="0"/>
                    <w:left w:val="single" w:color="000000" w:sz="4" w:space="0"/>
                    <w:right w:val="single" w:color="000000" w:sz="4" w:space="0"/>
                  </w:tcBorders>
                  <w:shd w:val="clear" w:color="auto" w:fill="auto"/>
                  <w:noWrap/>
                  <w:vAlign w:val="center"/>
                </w:tcPr>
                <w:p w14:paraId="799E104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可编程低压直流电源</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8BEE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LPS202A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470E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9AFD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44F86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vMerge w:val="continue"/>
                  <w:tcBorders>
                    <w:left w:val="single" w:color="000000" w:sz="4" w:space="0"/>
                    <w:bottom w:val="single" w:color="000000" w:sz="4" w:space="0"/>
                    <w:right w:val="single" w:color="000000" w:sz="4" w:space="0"/>
                  </w:tcBorders>
                  <w:shd w:val="clear" w:color="auto" w:fill="auto"/>
                  <w:noWrap/>
                  <w:vAlign w:val="center"/>
                </w:tcPr>
                <w:p w14:paraId="2A61258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5821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HSPY-150</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74E2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8513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4F007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C682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信号发生器</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4458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DG4062</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86A4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4635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581A2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209F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低压直流电源</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D3CF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IT6723</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1D2A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0562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0AEAB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F0AA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数据采集仪</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65D7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DQ970A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BABD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F8A4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55473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vMerge w:val="restart"/>
                  <w:tcBorders>
                    <w:top w:val="single" w:color="000000" w:sz="4" w:space="0"/>
                    <w:left w:val="single" w:color="000000" w:sz="4" w:space="0"/>
                    <w:right w:val="single" w:color="000000" w:sz="4" w:space="0"/>
                  </w:tcBorders>
                  <w:shd w:val="clear" w:color="auto" w:fill="auto"/>
                  <w:noWrap/>
                  <w:vAlign w:val="center"/>
                </w:tcPr>
                <w:p w14:paraId="1EAA41E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示波器</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F822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RTM3004</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178F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B87E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7B035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vMerge w:val="continue"/>
                  <w:tcBorders>
                    <w:left w:val="single" w:color="000000" w:sz="4" w:space="0"/>
                    <w:right w:val="single" w:color="000000" w:sz="4" w:space="0"/>
                  </w:tcBorders>
                  <w:shd w:val="clear" w:color="auto" w:fill="auto"/>
                  <w:noWrap/>
                  <w:vAlign w:val="center"/>
                </w:tcPr>
                <w:p w14:paraId="48BD773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365B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MD03014A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DB8C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B066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56315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vMerge w:val="continue"/>
                  <w:tcBorders>
                    <w:left w:val="single" w:color="000000" w:sz="4" w:space="0"/>
                    <w:bottom w:val="single" w:color="000000" w:sz="4" w:space="0"/>
                    <w:right w:val="single" w:color="000000" w:sz="4" w:space="0"/>
                  </w:tcBorders>
                  <w:shd w:val="clear" w:color="auto" w:fill="auto"/>
                  <w:noWrap/>
                  <w:vAlign w:val="center"/>
                </w:tcPr>
                <w:p w14:paraId="6ECFA9B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813E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DS0X3014A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E8A9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4C03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40DE7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DBDC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温箱</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ABAD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CZ-UHA2-408E</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337E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1A8F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31CAE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F696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水冷机</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553E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12</w:t>
                  </w:r>
                  <w:r>
                    <w:rPr>
                      <w:rFonts w:hint="eastAsia" w:eastAsia="Helvetica" w:cs="Times New Roman"/>
                      <w:i w:val="0"/>
                      <w:iCs w:val="0"/>
                      <w:caps w:val="0"/>
                      <w:color w:val="333333"/>
                      <w:spacing w:val="0"/>
                      <w:sz w:val="21"/>
                      <w:szCs w:val="21"/>
                      <w:shd w:val="clear" w:fill="FFFFFF"/>
                      <w:lang w:val="en-US" w:eastAsia="zh-CN"/>
                    </w:rPr>
                    <w:t>kW</w:t>
                  </w:r>
                  <w:r>
                    <w:rPr>
                      <w:rFonts w:hint="default" w:ascii="Times New Roman" w:hAnsi="Times New Roman" w:eastAsia="Helvetica" w:cs="Times New Roman"/>
                      <w:i w:val="0"/>
                      <w:iCs w:val="0"/>
                      <w:caps w:val="0"/>
                      <w:color w:val="333333"/>
                      <w:spacing w:val="0"/>
                      <w:sz w:val="21"/>
                      <w:szCs w:val="21"/>
                      <w:shd w:val="clear" w:fill="FFFFFF"/>
                      <w:lang w:val="en-US" w:eastAsia="zh-CN"/>
                    </w:rPr>
                    <w:t xml:space="preserve"> 5-5</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732D307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8</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3F3CE58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0C915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D80A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变压器</w:t>
                  </w:r>
                </w:p>
              </w:tc>
              <w:tc>
                <w:tcPr>
                  <w:tcW w:w="2418" w:type="dxa"/>
                  <w:tcBorders>
                    <w:top w:val="nil"/>
                    <w:left w:val="nil"/>
                    <w:bottom w:val="nil"/>
                    <w:right w:val="nil"/>
                  </w:tcBorders>
                  <w:shd w:val="clear" w:color="auto" w:fill="auto"/>
                  <w:noWrap/>
                  <w:vAlign w:val="center"/>
                </w:tcPr>
                <w:p w14:paraId="5A8ACB7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4F3099F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12</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6D0C0FC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762C2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0E3C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恒温加热台</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670D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P-4030</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5D8F5E7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5A1EF63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15F1B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EBAA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滑式变阻器</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9283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BX8-37</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19F0E3D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43C0D0C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42F05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EBE3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信号发生器</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B354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DG4062</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84A3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3</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64C1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6A5CE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F6B9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电子负载</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1AF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3710A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DD07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7</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04D9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77551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vMerge w:val="restart"/>
                  <w:tcBorders>
                    <w:top w:val="single" w:color="000000" w:sz="4" w:space="0"/>
                    <w:left w:val="single" w:color="000000" w:sz="4" w:space="0"/>
                    <w:right w:val="single" w:color="000000" w:sz="4" w:space="0"/>
                  </w:tcBorders>
                  <w:shd w:val="clear" w:color="auto" w:fill="auto"/>
                  <w:noWrap/>
                  <w:vAlign w:val="center"/>
                </w:tcPr>
                <w:p w14:paraId="721D703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可调直流电源</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927E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IT6302/0-30V 3A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0201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4</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11C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06B51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vMerge w:val="continue"/>
                  <w:tcBorders>
                    <w:left w:val="single" w:color="000000" w:sz="4" w:space="0"/>
                    <w:right w:val="single" w:color="000000" w:sz="4" w:space="0"/>
                  </w:tcBorders>
                  <w:shd w:val="clear" w:color="auto" w:fill="auto"/>
                  <w:noWrap/>
                  <w:vAlign w:val="center"/>
                </w:tcPr>
                <w:p w14:paraId="0358DF2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52AE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LPS 202A/0-32V 3A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51DC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3</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95FC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5A04D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6" w:type="dxa"/>
                <w:trHeight w:val="270" w:hRule="atLeast"/>
                <w:jc w:val="center"/>
              </w:trPr>
              <w:tc>
                <w:tcPr>
                  <w:tcW w:w="2668" w:type="dxa"/>
                  <w:gridSpan w:val="2"/>
                  <w:vMerge w:val="continue"/>
                  <w:tcBorders>
                    <w:left w:val="single" w:color="000000" w:sz="4" w:space="0"/>
                    <w:bottom w:val="single" w:color="000000" w:sz="4" w:space="0"/>
                    <w:right w:val="single" w:color="000000" w:sz="4" w:space="0"/>
                  </w:tcBorders>
                  <w:shd w:val="clear" w:color="auto" w:fill="auto"/>
                  <w:noWrap/>
                  <w:vAlign w:val="center"/>
                </w:tcPr>
                <w:p w14:paraId="2E6E963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FFD2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IT6723</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E29D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FDA6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3D175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5A72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标准校验仪</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0C42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CA500</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D935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5D47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0C977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8A67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电烙铁</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95A8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544B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300</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7349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eastAsia="Helvetica" w:cs="Times New Roman"/>
                      <w:i w:val="0"/>
                      <w:iCs w:val="0"/>
                      <w:caps w:val="0"/>
                      <w:color w:val="333333"/>
                      <w:spacing w:val="0"/>
                      <w:sz w:val="21"/>
                      <w:szCs w:val="21"/>
                      <w:shd w:val="clear" w:fill="FFFFFF"/>
                      <w:lang w:val="en-US" w:eastAsia="zh-CN"/>
                    </w:rPr>
                  </w:pPr>
                </w:p>
              </w:tc>
            </w:tr>
            <w:tr w14:paraId="07F9E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vMerge w:val="restart"/>
                  <w:tcBorders>
                    <w:top w:val="single" w:color="000000" w:sz="4" w:space="0"/>
                    <w:left w:val="single" w:color="000000" w:sz="4" w:space="0"/>
                    <w:right w:val="single" w:color="000000" w:sz="4" w:space="0"/>
                  </w:tcBorders>
                  <w:shd w:val="clear" w:color="auto" w:fill="auto"/>
                  <w:noWrap/>
                  <w:vAlign w:val="center"/>
                </w:tcPr>
                <w:p w14:paraId="3EE83B4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可编程高压直流电源</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5CB1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HSPY-1500V/3A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B5BB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2</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4C98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6BEFF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vMerge w:val="continue"/>
                  <w:tcBorders>
                    <w:left w:val="single" w:color="000000" w:sz="4" w:space="0"/>
                    <w:right w:val="single" w:color="000000" w:sz="4" w:space="0"/>
                  </w:tcBorders>
                  <w:shd w:val="clear" w:color="auto" w:fill="auto"/>
                  <w:noWrap/>
                  <w:vAlign w:val="center"/>
                </w:tcPr>
                <w:p w14:paraId="516C74F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F9F0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HSPY-1000V/1A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EA5C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2</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A276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31B9E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vMerge w:val="continue"/>
                  <w:tcBorders>
                    <w:left w:val="single" w:color="000000" w:sz="4" w:space="0"/>
                    <w:right w:val="single" w:color="000000" w:sz="4" w:space="0"/>
                  </w:tcBorders>
                  <w:shd w:val="clear" w:color="auto" w:fill="auto"/>
                  <w:noWrap/>
                  <w:vAlign w:val="center"/>
                </w:tcPr>
                <w:p w14:paraId="3769FD4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B5B0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PRD1506</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494E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3</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9493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63662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vMerge w:val="continue"/>
                  <w:tcBorders>
                    <w:left w:val="single" w:color="000000" w:sz="4" w:space="0"/>
                    <w:right w:val="single" w:color="000000" w:sz="4" w:space="0"/>
                  </w:tcBorders>
                  <w:shd w:val="clear" w:color="auto" w:fill="auto"/>
                  <w:noWrap/>
                  <w:vAlign w:val="center"/>
                </w:tcPr>
                <w:p w14:paraId="6A2615F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CCE8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MSP 6210</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3E069F0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00AF41D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0B65B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vMerge w:val="continue"/>
                  <w:tcBorders>
                    <w:left w:val="single" w:color="000000" w:sz="4" w:space="0"/>
                    <w:bottom w:val="single" w:color="000000" w:sz="4" w:space="0"/>
                    <w:right w:val="single" w:color="000000" w:sz="4" w:space="0"/>
                  </w:tcBorders>
                  <w:shd w:val="clear" w:color="auto" w:fill="auto"/>
                  <w:noWrap/>
                  <w:vAlign w:val="center"/>
                </w:tcPr>
                <w:p w14:paraId="0D0D1A0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9363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MSP 6275</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622533D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447A5A8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12C69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7C47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红外热成像仪</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0B3E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345+CR</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1A7F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23D0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31CC1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C88F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数据采集仪</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AE4A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DAQ970A+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0DF9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10</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0B29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4AF97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51E8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示波器</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502F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DS0X3014</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2A56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9</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8D3A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0841C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3C84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电流探头</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AB47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HCP8050/50A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2710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12</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A838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084E1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B915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万用表</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72C2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FLUKE 287C</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1BDD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7</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93A9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57A03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26B8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电子负载</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F409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3710A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1CBE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7</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8AAE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76880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F1C1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高压差分</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B4CD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VP5205A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06F5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20</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7261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7DB43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0FF9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柔性探头</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E144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CP9060S/600A</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EFAA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4</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1376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49A4B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29F8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柔性探头</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9C4A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SS-285A-H</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004F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2</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5E7E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73AFF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70" w:hRule="atLeast"/>
                <w:jc w:val="center"/>
              </w:trPr>
              <w:tc>
                <w:tcPr>
                  <w:tcW w:w="26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9E51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LCR电桥</w:t>
                  </w:r>
                </w:p>
              </w:tc>
              <w:tc>
                <w:tcPr>
                  <w:tcW w:w="2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5EAF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w:t>
                  </w:r>
                </w:p>
              </w:tc>
              <w:tc>
                <w:tcPr>
                  <w:tcW w:w="1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0602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10A2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2403B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2153B91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耐压仪</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0A89E83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HEX 304</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11CF0B2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4F5FF37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79ECB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0B9F67B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脉冲测试仪</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37FF65E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WVT 255LC</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2B58521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094EDB3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50CEC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0E8F4C6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3D打印机（DLP）</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57C21B6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Profession 250</w:t>
                  </w:r>
                </w:p>
              </w:tc>
              <w:tc>
                <w:tcPr>
                  <w:tcW w:w="1627" w:type="dxa"/>
                  <w:tcBorders>
                    <w:top w:val="single" w:color="1F2329" w:sz="4" w:space="0"/>
                    <w:left w:val="single" w:color="1F2329" w:sz="4" w:space="0"/>
                    <w:bottom w:val="single" w:color="1F2329" w:sz="4" w:space="0"/>
                    <w:right w:val="nil"/>
                  </w:tcBorders>
                  <w:shd w:val="clear" w:color="auto" w:fill="auto"/>
                  <w:noWrap/>
                  <w:vAlign w:val="center"/>
                </w:tcPr>
                <w:p w14:paraId="53EBED0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nil"/>
                  </w:tcBorders>
                  <w:shd w:val="clear" w:color="auto" w:fill="auto"/>
                  <w:noWrap/>
                  <w:vAlign w:val="center"/>
                </w:tcPr>
                <w:p w14:paraId="71935AA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7435B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637A796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3D打印机（FDM）</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56EDA9D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F340</w:t>
                  </w:r>
                </w:p>
              </w:tc>
              <w:tc>
                <w:tcPr>
                  <w:tcW w:w="1627" w:type="dxa"/>
                  <w:tcBorders>
                    <w:top w:val="single" w:color="1F2329" w:sz="4" w:space="0"/>
                    <w:left w:val="single" w:color="1F2329" w:sz="4" w:space="0"/>
                    <w:bottom w:val="single" w:color="1F2329" w:sz="4" w:space="0"/>
                    <w:right w:val="nil"/>
                  </w:tcBorders>
                  <w:shd w:val="clear" w:color="auto" w:fill="auto"/>
                  <w:noWrap/>
                  <w:vAlign w:val="center"/>
                </w:tcPr>
                <w:p w14:paraId="2ECB7AC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nil"/>
                  </w:tcBorders>
                  <w:shd w:val="clear" w:color="auto" w:fill="auto"/>
                  <w:noWrap/>
                  <w:vAlign w:val="center"/>
                </w:tcPr>
                <w:p w14:paraId="29B807D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21085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5D21B98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桌面式3D打印机（拓竹）</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3F7AD03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Bambu Lab X1</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07702F5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05C5CA7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412A6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4AA2FB1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超声波清洗仪</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571DF6B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F-360G</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4F4BA9D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55ADE11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2D451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03496E6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桌面式眼动仪</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5E36674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aSee Pro Plus</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08CE83B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6B007B6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61397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0344C06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眼镜式眼动仪</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363A0BF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Tobii Pro Glasses 3</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7FFBF9C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51D224B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1E7EC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3E8D8AA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固化箱</w:t>
                  </w:r>
                </w:p>
              </w:tc>
              <w:tc>
                <w:tcPr>
                  <w:tcW w:w="2418"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6E07FBE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UVHX100-300</w:t>
                  </w:r>
                </w:p>
              </w:tc>
              <w:tc>
                <w:tcPr>
                  <w:tcW w:w="1627" w:type="dxa"/>
                  <w:tcBorders>
                    <w:top w:val="single" w:color="1F2329" w:sz="4" w:space="0"/>
                    <w:left w:val="single" w:color="1F2329" w:sz="4" w:space="0"/>
                    <w:bottom w:val="single" w:color="1F2329" w:sz="4" w:space="0"/>
                    <w:right w:val="single" w:color="1F2329" w:sz="4" w:space="0"/>
                  </w:tcBorders>
                  <w:shd w:val="clear" w:color="auto" w:fill="auto"/>
                  <w:noWrap/>
                  <w:vAlign w:val="center"/>
                </w:tcPr>
                <w:p w14:paraId="4055301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1F2329" w:sz="4" w:space="0"/>
                    <w:right w:val="single" w:color="1F2329" w:sz="4" w:space="0"/>
                  </w:tcBorders>
                  <w:shd w:val="clear" w:color="auto" w:fill="auto"/>
                  <w:noWrap/>
                  <w:vAlign w:val="center"/>
                </w:tcPr>
                <w:p w14:paraId="18AA64E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56647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1F2329" w:sz="4" w:space="0"/>
                    <w:left w:val="single" w:color="1F2329" w:sz="4" w:space="0"/>
                    <w:bottom w:val="single" w:color="auto" w:sz="4" w:space="0"/>
                    <w:right w:val="single" w:color="1F2329" w:sz="4" w:space="0"/>
                  </w:tcBorders>
                  <w:shd w:val="clear" w:color="auto" w:fill="auto"/>
                  <w:noWrap/>
                  <w:vAlign w:val="center"/>
                </w:tcPr>
                <w:p w14:paraId="2319C23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光源箱</w:t>
                  </w:r>
                </w:p>
              </w:tc>
              <w:tc>
                <w:tcPr>
                  <w:tcW w:w="2418" w:type="dxa"/>
                  <w:tcBorders>
                    <w:top w:val="single" w:color="1F2329" w:sz="4" w:space="0"/>
                    <w:left w:val="single" w:color="1F2329" w:sz="4" w:space="0"/>
                    <w:bottom w:val="single" w:color="auto" w:sz="4" w:space="0"/>
                    <w:right w:val="single" w:color="1F2329" w:sz="4" w:space="0"/>
                  </w:tcBorders>
                  <w:shd w:val="clear" w:color="auto" w:fill="auto"/>
                  <w:noWrap/>
                  <w:vAlign w:val="center"/>
                </w:tcPr>
                <w:p w14:paraId="2778A17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FR-1909</w:t>
                  </w:r>
                </w:p>
              </w:tc>
              <w:tc>
                <w:tcPr>
                  <w:tcW w:w="1627" w:type="dxa"/>
                  <w:tcBorders>
                    <w:top w:val="single" w:color="1F2329" w:sz="4" w:space="0"/>
                    <w:left w:val="single" w:color="1F2329" w:sz="4" w:space="0"/>
                    <w:bottom w:val="single" w:color="auto" w:sz="4" w:space="0"/>
                    <w:right w:val="single" w:color="1F2329" w:sz="4" w:space="0"/>
                  </w:tcBorders>
                  <w:shd w:val="clear" w:color="auto" w:fill="auto"/>
                  <w:noWrap/>
                  <w:vAlign w:val="center"/>
                </w:tcPr>
                <w:p w14:paraId="6CDBBD6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1F2329" w:sz="4" w:space="0"/>
                    <w:left w:val="single" w:color="1F2329" w:sz="4" w:space="0"/>
                    <w:bottom w:val="single" w:color="auto" w:sz="4" w:space="0"/>
                    <w:right w:val="single" w:color="1F2329" w:sz="4" w:space="0"/>
                  </w:tcBorders>
                  <w:shd w:val="clear" w:color="auto" w:fill="auto"/>
                  <w:noWrap/>
                  <w:vAlign w:val="center"/>
                </w:tcPr>
                <w:p w14:paraId="1229349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6C96B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03785F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用户研究摄像头</w:t>
                  </w:r>
                </w:p>
              </w:tc>
              <w:tc>
                <w:tcPr>
                  <w:tcW w:w="2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4F2B1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Osmo Pocket 3</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44935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BEC68F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525D3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dxa"/>
                <w:trHeight w:val="255" w:hRule="atLeast"/>
                <w:jc w:val="center"/>
              </w:trPr>
              <w:tc>
                <w:tcPr>
                  <w:tcW w:w="266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B67742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VR设备</w:t>
                  </w:r>
                </w:p>
              </w:tc>
              <w:tc>
                <w:tcPr>
                  <w:tcW w:w="2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251CC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PICO 4 Ultra</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E55A1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95B181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693B6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E8285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手持式静电</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2C23EED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EDS 20H</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A387A4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BE995C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351E5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D3A3C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紧凑型抗扰度测试系统</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698083C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CCS 500</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9533F1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2</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5A6019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39332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A6460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耦合/去耦网络</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6EBC49F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405AF8   IJ-4050</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7CF01B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2</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DC0CB1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1A083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28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0D6B3CA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电容耦合夹</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3151083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CCC 100</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1E313F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96E86A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61B6A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630"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4C3BEF7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脉冲群模拟器</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7B0F233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EFT 500T</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2F4351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48F2E0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250BF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28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22FA5C6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噪声发生器</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69B10E6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INS-4040</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89E3F6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40ECE4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3F80A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28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1DF26C7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耦合夹</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7D48CDB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CA-805B</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D7AC4B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7AE4E8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0CA85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203996A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噪声发生器</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57A2EAA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INS-4040</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A6BF99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E1F754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3FD85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6378232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耦合/去耦网络 (3)</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6968C67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IJ-4050</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13F32C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5FF942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33E4D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0748DA7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电容耦合夹 (2)</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3F1E38A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Helvetica" w:cs="Times New Roman"/>
                      <w:i w:val="0"/>
                      <w:iCs w:val="0"/>
                      <w:caps w:val="0"/>
                      <w:color w:val="333333"/>
                      <w:spacing w:val="0"/>
                      <w:sz w:val="21"/>
                      <w:szCs w:val="21"/>
                      <w:shd w:val="clear" w:fill="FFFFFF"/>
                      <w:lang w:val="en-US" w:eastAsia="zh-CN"/>
                    </w:rPr>
                    <w:t>CA-805B</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635717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default" w:ascii="Times New Roman" w:hAnsi="Times New Roman"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D255E2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p>
              </w:tc>
            </w:tr>
            <w:tr w14:paraId="76411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4EEC562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环境试验箱</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5BF6A63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F905B1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929FDF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eastAsia="Helvetica" w:cs="Times New Roman"/>
                      <w:i w:val="0"/>
                      <w:iCs w:val="0"/>
                      <w:caps w:val="0"/>
                      <w:color w:val="333333"/>
                      <w:spacing w:val="0"/>
                      <w:sz w:val="21"/>
                      <w:szCs w:val="21"/>
                      <w:shd w:val="clear" w:fill="FFFFFF"/>
                      <w:lang w:val="en-US" w:eastAsia="zh-CN"/>
                    </w:rPr>
                  </w:pPr>
                </w:p>
              </w:tc>
            </w:tr>
            <w:tr w14:paraId="0CF13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44F9E1E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盐雾试验机</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4329545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2396F1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BC30E6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eastAsia="Helvetica" w:cs="Times New Roman"/>
                      <w:i w:val="0"/>
                      <w:iCs w:val="0"/>
                      <w:caps w:val="0"/>
                      <w:color w:val="333333"/>
                      <w:spacing w:val="0"/>
                      <w:sz w:val="21"/>
                      <w:szCs w:val="21"/>
                      <w:shd w:val="clear" w:fill="FFFFFF"/>
                      <w:lang w:val="en-US" w:eastAsia="zh-CN"/>
                    </w:rPr>
                  </w:pPr>
                </w:p>
              </w:tc>
            </w:tr>
            <w:tr w14:paraId="01EA3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4A7A88A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振动台</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72FA318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48904E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713347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eastAsia="Helvetica" w:cs="Times New Roman"/>
                      <w:i w:val="0"/>
                      <w:iCs w:val="0"/>
                      <w:caps w:val="0"/>
                      <w:color w:val="333333"/>
                      <w:spacing w:val="0"/>
                      <w:sz w:val="21"/>
                      <w:szCs w:val="21"/>
                      <w:shd w:val="clear" w:fill="FFFFFF"/>
                      <w:lang w:val="en-US" w:eastAsia="zh-CN"/>
                    </w:rPr>
                  </w:pPr>
                </w:p>
              </w:tc>
            </w:tr>
            <w:tr w14:paraId="4C912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710BC98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冲击碰撞试验台</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4C20C84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C9AACC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C97D63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eastAsia="Helvetica" w:cs="Times New Roman"/>
                      <w:i w:val="0"/>
                      <w:iCs w:val="0"/>
                      <w:caps w:val="0"/>
                      <w:color w:val="333333"/>
                      <w:spacing w:val="0"/>
                      <w:sz w:val="21"/>
                      <w:szCs w:val="21"/>
                      <w:shd w:val="clear" w:fill="FFFFFF"/>
                      <w:lang w:val="en-US" w:eastAsia="zh-CN"/>
                    </w:rPr>
                  </w:pPr>
                </w:p>
              </w:tc>
            </w:tr>
            <w:tr w14:paraId="72878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36"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27D8E50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包装箱压力机</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134CB0C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267DE7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B19C24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eastAsia="Helvetica" w:cs="Times New Roman"/>
                      <w:i w:val="0"/>
                      <w:iCs w:val="0"/>
                      <w:caps w:val="0"/>
                      <w:color w:val="333333"/>
                      <w:spacing w:val="0"/>
                      <w:sz w:val="21"/>
                      <w:szCs w:val="21"/>
                      <w:shd w:val="clear" w:fill="FFFFFF"/>
                      <w:lang w:val="en-US" w:eastAsia="zh-CN"/>
                    </w:rPr>
                  </w:pPr>
                </w:p>
              </w:tc>
            </w:tr>
            <w:tr w14:paraId="50B1C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460B38F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跌落机</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28090EB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52B36D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Helvetica" w:cs="Times New Roman"/>
                      <w:i w:val="0"/>
                      <w:iCs w:val="0"/>
                      <w:caps w:val="0"/>
                      <w:color w:val="333333"/>
                      <w:spacing w:val="0"/>
                      <w:sz w:val="21"/>
                      <w:szCs w:val="21"/>
                      <w:shd w:val="clear" w:fill="FFFFFF"/>
                      <w:lang w:val="en-US" w:eastAsia="zh-CN"/>
                    </w:rPr>
                  </w:pPr>
                  <w:r>
                    <w:rPr>
                      <w:rFonts w:hint="eastAsia" w:eastAsia="Helvetica" w:cs="Times New Roman"/>
                      <w:i w:val="0"/>
                      <w:iCs w:val="0"/>
                      <w:caps w:val="0"/>
                      <w:color w:val="333333"/>
                      <w:spacing w:val="0"/>
                      <w:sz w:val="21"/>
                      <w:szCs w:val="21"/>
                      <w:shd w:val="clear" w:fill="FFFFFF"/>
                      <w:lang w:val="en-US" w:eastAsia="zh-CN"/>
                    </w:rPr>
                    <w:t>1</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667359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eastAsia="Helvetica" w:cs="Times New Roman"/>
                      <w:i w:val="0"/>
                      <w:iCs w:val="0"/>
                      <w:caps w:val="0"/>
                      <w:color w:val="333333"/>
                      <w:spacing w:val="0"/>
                      <w:sz w:val="21"/>
                      <w:szCs w:val="21"/>
                      <w:shd w:val="clear" w:fill="FFFFFF"/>
                      <w:lang w:val="en-US" w:eastAsia="zh-CN"/>
                    </w:rPr>
                  </w:pPr>
                </w:p>
              </w:tc>
            </w:tr>
            <w:tr w14:paraId="748C8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00F835E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auto"/>
                      <w:spacing w:val="0"/>
                      <w:sz w:val="21"/>
                      <w:szCs w:val="21"/>
                      <w:shd w:val="clear" w:fill="FFFFFF"/>
                      <w:lang w:val="en-US" w:eastAsia="zh-CN"/>
                    </w:rPr>
                  </w:pPr>
                  <w:r>
                    <w:rPr>
                      <w:rFonts w:hint="eastAsia" w:eastAsia="Helvetica" w:cs="Times New Roman"/>
                      <w:i w:val="0"/>
                      <w:iCs w:val="0"/>
                      <w:caps w:val="0"/>
                      <w:color w:val="auto"/>
                      <w:spacing w:val="0"/>
                      <w:sz w:val="21"/>
                      <w:szCs w:val="21"/>
                      <w:shd w:val="clear" w:fill="FFFFFF"/>
                      <w:lang w:val="en-US" w:eastAsia="zh-CN"/>
                    </w:rPr>
                    <w:t>通风橱</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39DA1E5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eastAsia="Helvetica" w:cs="Times New Roman"/>
                      <w:i w:val="0"/>
                      <w:iCs w:val="0"/>
                      <w:caps w:val="0"/>
                      <w:color w:val="auto"/>
                      <w:spacing w:val="0"/>
                      <w:sz w:val="21"/>
                      <w:szCs w:val="21"/>
                      <w:shd w:val="clear" w:fill="FFFFFF"/>
                      <w:lang w:val="en-US" w:eastAsia="zh-CN"/>
                    </w:rPr>
                  </w:pPr>
                  <w:r>
                    <w:rPr>
                      <w:rFonts w:hint="eastAsia" w:ascii="Times New Roman" w:hAnsi="Times New Roman" w:eastAsia="宋体" w:cs="Times New Roman"/>
                      <w:color w:val="auto"/>
                      <w:spacing w:val="-11"/>
                      <w:sz w:val="21"/>
                      <w:szCs w:val="21"/>
                      <w:lang w:val="en-US" w:eastAsia="zh-CN"/>
                    </w:rPr>
                    <w:t>内置SDG酸性气体吸附剂</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3DC52D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auto"/>
                      <w:spacing w:val="0"/>
                      <w:sz w:val="21"/>
                      <w:szCs w:val="21"/>
                      <w:shd w:val="clear" w:fill="FFFFFF"/>
                      <w:lang w:val="en-US" w:eastAsia="zh-CN"/>
                    </w:rPr>
                  </w:pPr>
                  <w:r>
                    <w:rPr>
                      <w:rFonts w:hint="eastAsia" w:eastAsia="Helvetica" w:cs="Times New Roman"/>
                      <w:i w:val="0"/>
                      <w:iCs w:val="0"/>
                      <w:caps w:val="0"/>
                      <w:color w:val="auto"/>
                      <w:spacing w:val="0"/>
                      <w:sz w:val="21"/>
                      <w:szCs w:val="21"/>
                      <w:shd w:val="clear" w:fill="FFFFFF"/>
                      <w:lang w:val="en-US" w:eastAsia="zh-CN"/>
                    </w:rPr>
                    <w:t>5</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F79F7A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auto"/>
                      <w:spacing w:val="0"/>
                      <w:sz w:val="21"/>
                      <w:szCs w:val="21"/>
                      <w:shd w:val="clear" w:fill="FFFFFF"/>
                      <w:lang w:val="en-US" w:eastAsia="zh-CN"/>
                    </w:rPr>
                  </w:pPr>
                  <w:r>
                    <w:rPr>
                      <w:rFonts w:hint="eastAsia" w:eastAsia="Helvetica" w:cs="Times New Roman"/>
                      <w:i w:val="0"/>
                      <w:iCs w:val="0"/>
                      <w:caps w:val="0"/>
                      <w:color w:val="auto"/>
                      <w:spacing w:val="0"/>
                      <w:sz w:val="21"/>
                      <w:szCs w:val="21"/>
                      <w:shd w:val="clear" w:fill="FFFFFF"/>
                      <w:lang w:val="en-US" w:eastAsia="zh-CN"/>
                    </w:rPr>
                    <w:t>废气处理</w:t>
                  </w:r>
                </w:p>
              </w:tc>
            </w:tr>
            <w:tr w14:paraId="37B9E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5382BC8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auto"/>
                      <w:spacing w:val="0"/>
                      <w:sz w:val="21"/>
                      <w:szCs w:val="21"/>
                      <w:shd w:val="clear" w:fill="FFFFFF"/>
                      <w:lang w:val="en-US" w:eastAsia="zh-CN"/>
                    </w:rPr>
                  </w:pPr>
                  <w:r>
                    <w:rPr>
                      <w:rFonts w:hint="eastAsia" w:eastAsia="Helvetica" w:cs="Times New Roman"/>
                      <w:i w:val="0"/>
                      <w:iCs w:val="0"/>
                      <w:caps w:val="0"/>
                      <w:color w:val="auto"/>
                      <w:spacing w:val="0"/>
                      <w:sz w:val="21"/>
                      <w:szCs w:val="21"/>
                      <w:shd w:val="clear" w:fill="FFFFFF"/>
                      <w:lang w:val="en-US" w:eastAsia="zh-CN"/>
                    </w:rPr>
                    <w:t>两级活性炭装置</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71F81C6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8616B4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auto"/>
                      <w:spacing w:val="0"/>
                      <w:sz w:val="21"/>
                      <w:szCs w:val="21"/>
                      <w:shd w:val="clear" w:fill="FFFFFF"/>
                      <w:lang w:val="en-US" w:eastAsia="zh-CN"/>
                    </w:rPr>
                  </w:pPr>
                  <w:r>
                    <w:rPr>
                      <w:rFonts w:hint="eastAsia" w:eastAsia="Helvetica" w:cs="Times New Roman"/>
                      <w:i w:val="0"/>
                      <w:iCs w:val="0"/>
                      <w:caps w:val="0"/>
                      <w:color w:val="auto"/>
                      <w:spacing w:val="0"/>
                      <w:sz w:val="21"/>
                      <w:szCs w:val="21"/>
                      <w:shd w:val="clear" w:fill="FFFFFF"/>
                      <w:lang w:val="en-US" w:eastAsia="zh-CN"/>
                    </w:rPr>
                    <w:t>4</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49B16E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auto"/>
                      <w:spacing w:val="0"/>
                      <w:sz w:val="21"/>
                      <w:szCs w:val="21"/>
                      <w:shd w:val="clear" w:fill="FFFFFF"/>
                      <w:lang w:val="en-US" w:eastAsia="zh-CN"/>
                    </w:rPr>
                  </w:pPr>
                  <w:r>
                    <w:rPr>
                      <w:rFonts w:hint="eastAsia" w:eastAsia="Helvetica" w:cs="Times New Roman"/>
                      <w:i w:val="0"/>
                      <w:iCs w:val="0"/>
                      <w:caps w:val="0"/>
                      <w:color w:val="auto"/>
                      <w:spacing w:val="0"/>
                      <w:sz w:val="21"/>
                      <w:szCs w:val="21"/>
                      <w:shd w:val="clear" w:fill="FFFFFF"/>
                      <w:lang w:val="en-US" w:eastAsia="zh-CN"/>
                    </w:rPr>
                    <w:t>废气处理</w:t>
                  </w:r>
                </w:p>
              </w:tc>
            </w:tr>
            <w:tr w14:paraId="0226C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dxa"/>
                <w:trHeight w:val="345" w:hRule="atLeast"/>
                <w:jc w:val="center"/>
              </w:trPr>
              <w:tc>
                <w:tcPr>
                  <w:tcW w:w="2665" w:type="dxa"/>
                  <w:tcBorders>
                    <w:top w:val="single" w:color="auto" w:sz="4" w:space="0"/>
                    <w:left w:val="single" w:color="auto" w:sz="4" w:space="0"/>
                    <w:bottom w:val="single" w:color="auto" w:sz="4" w:space="0"/>
                    <w:right w:val="single" w:color="auto" w:sz="4" w:space="0"/>
                  </w:tcBorders>
                  <w:shd w:val="clear" w:color="auto" w:fill="auto"/>
                  <w:vAlign w:val="center"/>
                </w:tcPr>
                <w:p w14:paraId="622B8B3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auto"/>
                      <w:spacing w:val="0"/>
                      <w:sz w:val="21"/>
                      <w:szCs w:val="21"/>
                      <w:shd w:val="clear" w:fill="FFFFFF"/>
                      <w:lang w:val="en-US" w:eastAsia="zh-CN"/>
                    </w:rPr>
                  </w:pPr>
                  <w:r>
                    <w:rPr>
                      <w:rFonts w:hint="eastAsia" w:eastAsia="Helvetica" w:cs="Times New Roman"/>
                      <w:i w:val="0"/>
                      <w:iCs w:val="0"/>
                      <w:caps w:val="0"/>
                      <w:color w:val="auto"/>
                      <w:spacing w:val="0"/>
                      <w:sz w:val="21"/>
                      <w:szCs w:val="21"/>
                      <w:shd w:val="clear" w:fill="FFFFFF"/>
                      <w:lang w:val="en-US" w:eastAsia="zh-CN"/>
                    </w:rPr>
                    <w:t>中央空调设备</w:t>
                  </w:r>
                </w:p>
              </w:tc>
              <w:tc>
                <w:tcPr>
                  <w:tcW w:w="2418" w:type="dxa"/>
                  <w:tcBorders>
                    <w:top w:val="single" w:color="auto" w:sz="4" w:space="0"/>
                    <w:left w:val="single" w:color="auto" w:sz="4" w:space="0"/>
                    <w:bottom w:val="single" w:color="auto" w:sz="4" w:space="0"/>
                    <w:right w:val="single" w:color="auto" w:sz="4" w:space="0"/>
                  </w:tcBorders>
                  <w:shd w:val="clear" w:color="auto" w:fill="auto"/>
                  <w:vAlign w:val="center"/>
                </w:tcPr>
                <w:p w14:paraId="61D5F67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16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25D103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auto"/>
                      <w:spacing w:val="0"/>
                      <w:sz w:val="21"/>
                      <w:szCs w:val="21"/>
                      <w:shd w:val="clear" w:fill="FFFFFF"/>
                      <w:lang w:val="en-US" w:eastAsia="zh-CN"/>
                    </w:rPr>
                  </w:pPr>
                  <w:r>
                    <w:rPr>
                      <w:rFonts w:hint="eastAsia" w:eastAsia="Helvetica" w:cs="Times New Roman"/>
                      <w:i w:val="0"/>
                      <w:iCs w:val="0"/>
                      <w:caps w:val="0"/>
                      <w:color w:val="auto"/>
                      <w:spacing w:val="0"/>
                      <w:sz w:val="21"/>
                      <w:szCs w:val="21"/>
                      <w:shd w:val="clear" w:fill="FFFFFF"/>
                      <w:lang w:val="en-US" w:eastAsia="zh-CN"/>
                    </w:rPr>
                    <w:t>1套</w:t>
                  </w:r>
                </w:p>
              </w:tc>
              <w:tc>
                <w:tcPr>
                  <w:tcW w:w="13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6DA117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eastAsia="Helvetica" w:cs="Times New Roman"/>
                      <w:i w:val="0"/>
                      <w:iCs w:val="0"/>
                      <w:caps w:val="0"/>
                      <w:color w:val="auto"/>
                      <w:spacing w:val="0"/>
                      <w:sz w:val="21"/>
                      <w:szCs w:val="21"/>
                      <w:shd w:val="clear" w:fill="FFFFFF"/>
                      <w:lang w:val="en-US" w:eastAsia="zh-CN"/>
                    </w:rPr>
                  </w:pPr>
                  <w:r>
                    <w:rPr>
                      <w:rFonts w:hint="eastAsia" w:eastAsia="Helvetica" w:cs="Times New Roman"/>
                      <w:i w:val="0"/>
                      <w:iCs w:val="0"/>
                      <w:caps w:val="0"/>
                      <w:color w:val="auto"/>
                      <w:spacing w:val="0"/>
                      <w:sz w:val="21"/>
                      <w:szCs w:val="21"/>
                      <w:shd w:val="clear" w:fill="FFFFFF"/>
                      <w:lang w:val="en-US" w:eastAsia="zh-CN"/>
                    </w:rPr>
                    <w:t>制冷、采暖</w:t>
                  </w:r>
                </w:p>
              </w:tc>
            </w:tr>
          </w:tbl>
          <w:p w14:paraId="1D047DBC">
            <w:pPr>
              <w:ind w:firstLine="482"/>
              <w:rPr>
                <w:b/>
                <w:bCs/>
                <w:color w:val="auto"/>
                <w:kern w:val="0"/>
              </w:rPr>
            </w:pPr>
            <w:r>
              <w:rPr>
                <w:b/>
                <w:bCs/>
                <w:color w:val="auto"/>
                <w:kern w:val="0"/>
              </w:rPr>
              <w:t>5、劳动定员及工作制度</w:t>
            </w:r>
          </w:p>
          <w:p w14:paraId="544AF148">
            <w:pPr>
              <w:rPr>
                <w:rFonts w:hint="default" w:eastAsia="宋体"/>
                <w:color w:val="auto"/>
                <w:lang w:val="en-US" w:eastAsia="zh-CN"/>
              </w:rPr>
            </w:pPr>
            <w:r>
              <w:rPr>
                <w:color w:val="auto"/>
              </w:rPr>
              <w:t>项目</w:t>
            </w:r>
            <w:r>
              <w:rPr>
                <w:color w:val="auto"/>
                <w:kern w:val="0"/>
              </w:rPr>
              <w:t>劳动定员</w:t>
            </w:r>
            <w:r>
              <w:rPr>
                <w:color w:val="auto"/>
              </w:rPr>
              <w:t>总计</w:t>
            </w:r>
            <w:r>
              <w:rPr>
                <w:rFonts w:hint="eastAsia"/>
                <w:color w:val="auto"/>
                <w:lang w:val="en-US" w:eastAsia="zh-CN"/>
              </w:rPr>
              <w:t>2400</w:t>
            </w:r>
            <w:r>
              <w:rPr>
                <w:color w:val="auto"/>
              </w:rPr>
              <w:t>人，年工作</w:t>
            </w:r>
            <w:r>
              <w:rPr>
                <w:rFonts w:hint="eastAsia"/>
                <w:color w:val="auto"/>
                <w:lang w:val="en-US" w:eastAsia="zh-CN"/>
              </w:rPr>
              <w:t>251d</w:t>
            </w:r>
            <w:r>
              <w:rPr>
                <w:color w:val="auto"/>
              </w:rPr>
              <w:t>，</w:t>
            </w:r>
            <w:r>
              <w:rPr>
                <w:rFonts w:hint="eastAsia"/>
                <w:color w:val="auto"/>
                <w:lang w:val="en-US" w:eastAsia="zh-CN"/>
              </w:rPr>
              <w:t>1</w:t>
            </w:r>
            <w:r>
              <w:rPr>
                <w:color w:val="auto"/>
              </w:rPr>
              <w:t>班</w:t>
            </w:r>
            <w:r>
              <w:rPr>
                <w:rFonts w:hint="eastAsia"/>
                <w:color w:val="auto"/>
                <w:lang w:val="en-US" w:eastAsia="zh-CN"/>
              </w:rPr>
              <w:t>8h</w:t>
            </w:r>
            <w:r>
              <w:rPr>
                <w:color w:val="auto"/>
              </w:rPr>
              <w:t>工作制</w:t>
            </w:r>
            <w:r>
              <w:rPr>
                <w:rFonts w:hint="eastAsia"/>
                <w:color w:val="auto"/>
                <w:lang w:val="en-US" w:eastAsia="zh-CN"/>
              </w:rPr>
              <w:t>，</w:t>
            </w:r>
            <w:r>
              <w:rPr>
                <w:rFonts w:hint="eastAsia"/>
                <w:color w:val="auto"/>
              </w:rPr>
              <w:t>工作时间：8:00---17:00</w:t>
            </w:r>
            <w:r>
              <w:rPr>
                <w:color w:val="auto"/>
              </w:rPr>
              <w:t>。</w:t>
            </w:r>
          </w:p>
          <w:p w14:paraId="0818995B">
            <w:pPr>
              <w:ind w:firstLine="482"/>
              <w:rPr>
                <w:rFonts w:hint="eastAsia" w:eastAsia="宋体"/>
                <w:b/>
                <w:bCs/>
                <w:color w:val="auto"/>
                <w:kern w:val="0"/>
                <w:lang w:eastAsia="zh-CN"/>
              </w:rPr>
            </w:pPr>
            <w:r>
              <w:rPr>
                <w:b/>
                <w:bCs/>
                <w:color w:val="auto"/>
                <w:kern w:val="0"/>
              </w:rPr>
              <w:t>6、项目</w:t>
            </w:r>
            <w:r>
              <w:rPr>
                <w:rFonts w:hint="eastAsia"/>
                <w:b/>
                <w:bCs/>
                <w:color w:val="auto"/>
                <w:kern w:val="0"/>
                <w:lang w:eastAsia="zh-CN"/>
              </w:rPr>
              <w:t>给、排水</w:t>
            </w:r>
          </w:p>
          <w:p w14:paraId="40ACA3A5">
            <w:pPr>
              <w:rPr>
                <w:rFonts w:ascii="Times New Roman" w:hAnsi="Times New Roman" w:eastAsia="宋体" w:cs="Times New Roman"/>
                <w:color w:val="auto"/>
              </w:rPr>
            </w:pPr>
            <w:r>
              <w:rPr>
                <w:rFonts w:ascii="Times New Roman" w:hAnsi="Times New Roman" w:eastAsia="宋体" w:cs="Times New Roman"/>
                <w:color w:val="auto"/>
              </w:rPr>
              <w:t>项目用水由市政给水管网统一供给，可</w:t>
            </w:r>
            <w:r>
              <w:rPr>
                <w:rFonts w:hint="eastAsia" w:ascii="Times New Roman" w:hAnsi="Times New Roman" w:eastAsia="宋体" w:cs="Times New Roman"/>
                <w:color w:val="auto"/>
              </w:rPr>
              <w:t>满足</w:t>
            </w:r>
            <w:r>
              <w:rPr>
                <w:rFonts w:ascii="Times New Roman" w:hAnsi="Times New Roman" w:eastAsia="宋体" w:cs="Times New Roman"/>
                <w:color w:val="auto"/>
              </w:rPr>
              <w:t>项目用水需求。根据建设单位提供资料，项目用水主要</w:t>
            </w:r>
            <w:r>
              <w:rPr>
                <w:rFonts w:hint="eastAsia" w:ascii="Times New Roman" w:hAnsi="Times New Roman" w:eastAsia="宋体" w:cs="Times New Roman"/>
                <w:color w:val="auto"/>
                <w:lang w:eastAsia="zh-CN"/>
              </w:rPr>
              <w:t>为</w:t>
            </w:r>
            <w:r>
              <w:rPr>
                <w:rFonts w:hint="eastAsia" w:ascii="Times New Roman" w:hAnsi="Times New Roman" w:eastAsia="宋体" w:cs="Times New Roman"/>
                <w:color w:val="auto"/>
                <w:lang w:val="en-US" w:eastAsia="zh-CN"/>
              </w:rPr>
              <w:t>生活用水</w:t>
            </w:r>
            <w:r>
              <w:rPr>
                <w:rFonts w:ascii="Times New Roman" w:hAnsi="Times New Roman" w:eastAsia="宋体" w:cs="Times New Roman"/>
                <w:color w:val="auto"/>
              </w:rPr>
              <w:t>。</w:t>
            </w:r>
          </w:p>
          <w:p w14:paraId="3A58BDDA">
            <w:pPr>
              <w:numPr>
                <w:ilvl w:val="0"/>
                <w:numId w:val="4"/>
              </w:numPr>
              <w:rPr>
                <w:highlight w:val="none"/>
                <w:lang w:eastAsia="zh-CN"/>
              </w:rPr>
            </w:pPr>
            <w:r>
              <w:rPr>
                <w:rFonts w:hint="eastAsia" w:ascii="Times New Roman" w:hAnsi="Times New Roman" w:eastAsia="宋体" w:cs="Times New Roman"/>
                <w:color w:val="auto"/>
                <w:highlight w:val="none"/>
              </w:rPr>
              <w:t>生活用水：项目定员</w:t>
            </w:r>
            <w:r>
              <w:rPr>
                <w:rFonts w:hint="eastAsia" w:cs="Times New Roman"/>
                <w:color w:val="auto"/>
                <w:highlight w:val="none"/>
                <w:lang w:val="en-US" w:eastAsia="zh-CN"/>
              </w:rPr>
              <w:t>2400</w:t>
            </w:r>
            <w:r>
              <w:rPr>
                <w:rFonts w:hint="eastAsia" w:ascii="Times New Roman" w:hAnsi="Times New Roman" w:eastAsia="宋体" w:cs="Times New Roman"/>
                <w:color w:val="auto"/>
                <w:highlight w:val="none"/>
              </w:rPr>
              <w:t>人，参照《陕西省行业用水定额》（DB61/T943-2020）</w:t>
            </w:r>
            <w:r>
              <w:rPr>
                <w:rFonts w:hint="eastAsia"/>
                <w:bCs/>
                <w:sz w:val="24"/>
                <w:highlight w:val="none"/>
              </w:rPr>
              <w:t>，规定，“行政办公及科研院所”生活用水定额为：</w:t>
            </w:r>
            <w:r>
              <w:rPr>
                <w:rFonts w:hint="eastAsia"/>
                <w:bCs/>
                <w:sz w:val="24"/>
                <w:highlight w:val="none"/>
                <w:lang w:val="en-US" w:eastAsia="zh-CN"/>
              </w:rPr>
              <w:t>10</w:t>
            </w:r>
            <w:r>
              <w:rPr>
                <w:rFonts w:hint="eastAsia"/>
                <w:bCs/>
                <w:sz w:val="24"/>
                <w:highlight w:val="none"/>
              </w:rPr>
              <w:t>m</w:t>
            </w:r>
            <w:r>
              <w:rPr>
                <w:rFonts w:hint="eastAsia"/>
                <w:bCs/>
                <w:sz w:val="24"/>
                <w:highlight w:val="none"/>
                <w:vertAlign w:val="superscript"/>
              </w:rPr>
              <w:t>3</w:t>
            </w:r>
            <w:r>
              <w:rPr>
                <w:rFonts w:hint="eastAsia"/>
                <w:bCs/>
                <w:sz w:val="24"/>
                <w:highlight w:val="none"/>
              </w:rPr>
              <w:t>/（人·a）规定，根据建设单位提供用水资料，生活用水量约为</w:t>
            </w:r>
            <w:r>
              <w:rPr>
                <w:rFonts w:hint="eastAsia"/>
                <w:bCs/>
                <w:sz w:val="24"/>
                <w:highlight w:val="none"/>
                <w:lang w:val="en-US" w:eastAsia="zh-CN"/>
              </w:rPr>
              <w:t>95.6</w:t>
            </w:r>
            <w:r>
              <w:rPr>
                <w:rFonts w:hint="eastAsia"/>
                <w:bCs/>
                <w:sz w:val="24"/>
                <w:highlight w:val="none"/>
              </w:rPr>
              <w:t>m</w:t>
            </w:r>
            <w:r>
              <w:rPr>
                <w:rFonts w:hint="eastAsia"/>
                <w:bCs/>
                <w:sz w:val="24"/>
                <w:highlight w:val="none"/>
                <w:vertAlign w:val="superscript"/>
              </w:rPr>
              <w:t>3</w:t>
            </w:r>
            <w:r>
              <w:rPr>
                <w:rFonts w:hint="eastAsia"/>
                <w:bCs/>
                <w:sz w:val="24"/>
                <w:highlight w:val="none"/>
              </w:rPr>
              <w:t>/d（</w:t>
            </w:r>
            <w:r>
              <w:rPr>
                <w:rFonts w:hint="eastAsia"/>
                <w:bCs/>
                <w:sz w:val="24"/>
                <w:highlight w:val="none"/>
                <w:lang w:val="en-US" w:eastAsia="zh-CN"/>
              </w:rPr>
              <w:t>24000</w:t>
            </w:r>
            <w:r>
              <w:rPr>
                <w:rFonts w:hint="eastAsia"/>
                <w:bCs/>
                <w:sz w:val="24"/>
                <w:highlight w:val="none"/>
              </w:rPr>
              <w:t>m</w:t>
            </w:r>
            <w:r>
              <w:rPr>
                <w:rFonts w:hint="eastAsia"/>
                <w:bCs/>
                <w:sz w:val="24"/>
                <w:highlight w:val="none"/>
                <w:vertAlign w:val="superscript"/>
              </w:rPr>
              <w:t>3</w:t>
            </w:r>
            <w:r>
              <w:rPr>
                <w:rFonts w:hint="eastAsia"/>
                <w:bCs/>
                <w:sz w:val="24"/>
                <w:highlight w:val="none"/>
              </w:rPr>
              <w:t>/a）。</w:t>
            </w:r>
            <w:r>
              <w:rPr>
                <w:spacing w:val="4"/>
                <w:sz w:val="24"/>
                <w:highlight w:val="none"/>
              </w:rPr>
              <w:t>废水产生量按用水量的80%计，则生活污水产生量约为</w:t>
            </w:r>
            <w:r>
              <w:rPr>
                <w:rFonts w:hint="eastAsia"/>
                <w:spacing w:val="4"/>
                <w:sz w:val="24"/>
                <w:highlight w:val="none"/>
                <w:lang w:val="en-US" w:eastAsia="zh-CN"/>
              </w:rPr>
              <w:t>76.5</w:t>
            </w:r>
            <w:r>
              <w:rPr>
                <w:spacing w:val="4"/>
                <w:sz w:val="24"/>
                <w:highlight w:val="none"/>
              </w:rPr>
              <w:t>m</w:t>
            </w:r>
            <w:r>
              <w:rPr>
                <w:spacing w:val="4"/>
                <w:sz w:val="24"/>
                <w:highlight w:val="none"/>
                <w:vertAlign w:val="superscript"/>
              </w:rPr>
              <w:t>3</w:t>
            </w:r>
            <w:r>
              <w:rPr>
                <w:spacing w:val="4"/>
                <w:sz w:val="24"/>
                <w:highlight w:val="none"/>
              </w:rPr>
              <w:t>/d，合计约</w:t>
            </w:r>
            <w:r>
              <w:rPr>
                <w:rFonts w:hint="eastAsia"/>
                <w:spacing w:val="4"/>
                <w:sz w:val="24"/>
                <w:highlight w:val="none"/>
                <w:lang w:val="en-US" w:eastAsia="zh-CN"/>
              </w:rPr>
              <w:t>19200</w:t>
            </w:r>
            <w:r>
              <w:rPr>
                <w:spacing w:val="4"/>
                <w:sz w:val="24"/>
                <w:highlight w:val="none"/>
              </w:rPr>
              <w:t>m</w:t>
            </w:r>
            <w:r>
              <w:rPr>
                <w:spacing w:val="4"/>
                <w:sz w:val="24"/>
                <w:highlight w:val="none"/>
                <w:vertAlign w:val="superscript"/>
              </w:rPr>
              <w:t>3</w:t>
            </w:r>
            <w:r>
              <w:rPr>
                <w:spacing w:val="4"/>
                <w:sz w:val="24"/>
                <w:highlight w:val="none"/>
              </w:rPr>
              <w:t>/a。</w:t>
            </w:r>
          </w:p>
          <w:p w14:paraId="5BBF05B4">
            <w:pPr>
              <w:ind w:firstLine="480"/>
              <w:rPr>
                <w:highlight w:val="yellow"/>
                <w:lang w:eastAsia="zh-CN"/>
              </w:rPr>
            </w:pPr>
            <w:r>
              <w:rPr>
                <w:rFonts w:hint="eastAsia"/>
                <w:bCs/>
                <w:color w:val="auto"/>
                <w:lang w:val="en-US" w:eastAsia="zh-CN"/>
              </w:rPr>
              <w:t>2</w:t>
            </w:r>
            <w:r>
              <w:rPr>
                <w:rFonts w:hint="eastAsia"/>
                <w:bCs/>
                <w:color w:val="auto"/>
                <w:lang w:eastAsia="zh-CN"/>
              </w:rPr>
              <w:t>）</w:t>
            </w:r>
            <w:r>
              <w:rPr>
                <w:rFonts w:hint="eastAsia"/>
                <w:bCs/>
                <w:color w:val="auto"/>
                <w:lang w:val="en-US" w:eastAsia="zh-CN"/>
              </w:rPr>
              <w:t>餐厅用水：</w:t>
            </w:r>
            <w:r>
              <w:rPr>
                <w:lang w:eastAsia="zh-CN"/>
              </w:rPr>
              <w:t>本项目设</w:t>
            </w:r>
            <w:r>
              <w:rPr>
                <w:rFonts w:hint="eastAsia"/>
                <w:lang w:eastAsia="zh-CN"/>
              </w:rPr>
              <w:t>餐厅</w:t>
            </w:r>
            <w:r>
              <w:rPr>
                <w:lang w:eastAsia="zh-CN"/>
              </w:rPr>
              <w:t>供职工就餐，就餐人数约为</w:t>
            </w:r>
            <w:r>
              <w:rPr>
                <w:rFonts w:hint="eastAsia"/>
                <w:lang w:val="en-US" w:eastAsia="zh-CN"/>
              </w:rPr>
              <w:t>2400</w:t>
            </w:r>
            <w:r>
              <w:rPr>
                <w:lang w:eastAsia="zh-CN"/>
              </w:rPr>
              <w:t>人，</w:t>
            </w:r>
            <w:r>
              <w:rPr>
                <w:rFonts w:hint="eastAsia"/>
                <w:lang w:val="en-US" w:eastAsia="zh-CN"/>
              </w:rPr>
              <w:t>设置</w:t>
            </w:r>
            <w:r>
              <w:rPr>
                <w:rFonts w:hint="eastAsia"/>
                <w:highlight w:val="none"/>
                <w:lang w:val="en-US" w:eastAsia="zh-CN"/>
              </w:rPr>
              <w:t>3294m</w:t>
            </w:r>
            <w:r>
              <w:rPr>
                <w:rFonts w:hint="eastAsia"/>
                <w:vertAlign w:val="superscript"/>
                <w:lang w:val="en-US" w:eastAsia="zh-CN"/>
              </w:rPr>
              <w:t>2</w:t>
            </w:r>
            <w:r>
              <w:rPr>
                <w:rFonts w:hint="eastAsia"/>
                <w:vertAlign w:val="baseline"/>
                <w:lang w:val="en-US" w:eastAsia="zh-CN"/>
              </w:rPr>
              <w:t>餐厅就餐</w:t>
            </w:r>
            <w:r>
              <w:rPr>
                <w:lang w:eastAsia="zh-CN"/>
              </w:rPr>
              <w:t>，根据</w:t>
            </w:r>
            <w:r>
              <w:t>《陕西省行业用水定额》</w:t>
            </w:r>
            <w:r>
              <w:rPr>
                <w:highlight w:val="none"/>
              </w:rPr>
              <w:t>（DB61/T943-2020），</w:t>
            </w:r>
            <w:r>
              <w:rPr>
                <w:highlight w:val="none"/>
                <w:lang w:eastAsia="zh-CN"/>
              </w:rPr>
              <w:t>非营业性</w:t>
            </w:r>
            <w:r>
              <w:rPr>
                <w:rFonts w:hint="eastAsia"/>
                <w:highlight w:val="none"/>
                <w:lang w:eastAsia="zh-CN"/>
              </w:rPr>
              <w:t>餐厅</w:t>
            </w:r>
            <w:r>
              <w:rPr>
                <w:highlight w:val="none"/>
              </w:rPr>
              <w:t>用水为</w:t>
            </w:r>
            <w:r>
              <w:rPr>
                <w:rFonts w:hint="eastAsia"/>
                <w:highlight w:val="none"/>
                <w:lang w:val="en-US" w:eastAsia="zh-CN"/>
              </w:rPr>
              <w:t>7m</w:t>
            </w:r>
            <w:r>
              <w:rPr>
                <w:rFonts w:hint="eastAsia"/>
                <w:highlight w:val="none"/>
                <w:vertAlign w:val="superscript"/>
                <w:lang w:val="en-US" w:eastAsia="zh-CN"/>
              </w:rPr>
              <w:t>3</w:t>
            </w:r>
            <w:r>
              <w:rPr>
                <w:highlight w:val="none"/>
              </w:rPr>
              <w:t>/</w:t>
            </w:r>
            <w:r>
              <w:rPr>
                <w:rFonts w:hint="eastAsia"/>
                <w:highlight w:val="none"/>
                <w:lang w:eastAsia="zh-CN"/>
              </w:rPr>
              <w:t>（</w:t>
            </w:r>
            <w:r>
              <w:rPr>
                <w:rFonts w:hint="eastAsia"/>
                <w:highlight w:val="none"/>
                <w:lang w:val="en-US" w:eastAsia="zh-CN"/>
              </w:rPr>
              <w:t>m</w:t>
            </w:r>
            <w:r>
              <w:rPr>
                <w:rFonts w:hint="eastAsia"/>
                <w:highlight w:val="none"/>
                <w:vertAlign w:val="superscript"/>
                <w:lang w:val="en-US" w:eastAsia="zh-CN"/>
              </w:rPr>
              <w:t>2</w:t>
            </w:r>
            <w:r>
              <w:rPr>
                <w:highlight w:val="none"/>
              </w:rPr>
              <w:t>·</w:t>
            </w:r>
            <w:r>
              <w:rPr>
                <w:rFonts w:hint="eastAsia"/>
                <w:highlight w:val="none"/>
                <w:lang w:val="en-US" w:eastAsia="zh-CN"/>
              </w:rPr>
              <w:t>a</w:t>
            </w:r>
            <w:r>
              <w:rPr>
                <w:rFonts w:hint="eastAsia"/>
                <w:highlight w:val="none"/>
                <w:lang w:eastAsia="zh-CN"/>
              </w:rPr>
              <w:t>）</w:t>
            </w:r>
            <w:r>
              <w:rPr>
                <w:highlight w:val="none"/>
              </w:rPr>
              <w:t>，则</w:t>
            </w:r>
            <w:r>
              <w:rPr>
                <w:highlight w:val="none"/>
                <w:lang w:eastAsia="zh-CN"/>
              </w:rPr>
              <w:t>餐饮</w:t>
            </w:r>
            <w:r>
              <w:rPr>
                <w:highlight w:val="none"/>
              </w:rPr>
              <w:t>用水</w:t>
            </w:r>
            <w:r>
              <w:rPr>
                <w:color w:val="auto"/>
                <w:highlight w:val="none"/>
              </w:rPr>
              <w:t>量为</w:t>
            </w:r>
            <w:r>
              <w:rPr>
                <w:rFonts w:hint="eastAsia"/>
                <w:color w:val="auto"/>
                <w:highlight w:val="none"/>
                <w:lang w:val="en-US" w:eastAsia="zh-CN"/>
              </w:rPr>
              <w:t>91.9</w:t>
            </w:r>
            <w:r>
              <w:rPr>
                <w:color w:val="auto"/>
                <w:highlight w:val="none"/>
              </w:rPr>
              <w:t>m³/d，即</w:t>
            </w:r>
            <w:r>
              <w:rPr>
                <w:rFonts w:hint="eastAsia"/>
                <w:color w:val="auto"/>
                <w:highlight w:val="none"/>
                <w:lang w:val="en-US" w:eastAsia="zh-CN"/>
              </w:rPr>
              <w:t>23058</w:t>
            </w:r>
            <w:r>
              <w:rPr>
                <w:color w:val="auto"/>
                <w:highlight w:val="none"/>
              </w:rPr>
              <w:t>m³/a。</w:t>
            </w:r>
            <w:r>
              <w:rPr>
                <w:color w:val="auto"/>
                <w:highlight w:val="none"/>
                <w:lang w:val="zh-CN"/>
              </w:rPr>
              <w:t>餐饮废水</w:t>
            </w:r>
            <w:r>
              <w:rPr>
                <w:rFonts w:hint="eastAsia"/>
                <w:color w:val="auto"/>
                <w:highlight w:val="none"/>
                <w:lang w:val="zh-CN"/>
              </w:rPr>
              <w:t>排水量按用水量的80%计</w:t>
            </w:r>
            <w:r>
              <w:rPr>
                <w:color w:val="auto"/>
                <w:highlight w:val="none"/>
                <w:lang w:eastAsia="zh-CN"/>
              </w:rPr>
              <w:t>，则餐饮废水产生量为</w:t>
            </w:r>
            <w:r>
              <w:rPr>
                <w:rFonts w:hint="eastAsia"/>
                <w:color w:val="auto"/>
                <w:highlight w:val="none"/>
                <w:lang w:val="en-US" w:eastAsia="zh-CN"/>
              </w:rPr>
              <w:t>73.5</w:t>
            </w:r>
            <w:r>
              <w:rPr>
                <w:color w:val="auto"/>
                <w:highlight w:val="none"/>
                <w:lang w:val="zh-CN"/>
              </w:rPr>
              <w:t>m³/d，即</w:t>
            </w:r>
            <w:r>
              <w:rPr>
                <w:rFonts w:hint="eastAsia"/>
                <w:color w:val="auto"/>
                <w:highlight w:val="none"/>
                <w:lang w:val="en-US" w:eastAsia="zh-CN"/>
              </w:rPr>
              <w:t>18446.4</w:t>
            </w:r>
            <w:r>
              <w:rPr>
                <w:color w:val="auto"/>
                <w:highlight w:val="none"/>
                <w:lang w:val="zh-CN"/>
              </w:rPr>
              <w:t>m³/a。</w:t>
            </w:r>
          </w:p>
          <w:p w14:paraId="63CDFB7B">
            <w:pPr>
              <w:numPr>
                <w:ilvl w:val="0"/>
                <w:numId w:val="0"/>
              </w:numPr>
              <w:spacing w:line="500" w:lineRule="exact"/>
              <w:ind w:firstLine="480" w:firstLineChars="200"/>
              <w:rPr>
                <w:rFonts w:hint="eastAsia"/>
                <w:color w:val="auto"/>
                <w:highlight w:val="none"/>
                <w:lang w:val="en-US" w:eastAsia="zh-CN"/>
              </w:rPr>
            </w:pPr>
            <w:r>
              <w:rPr>
                <w:rFonts w:hint="eastAsia" w:cs="Times New Roman"/>
                <w:color w:val="auto"/>
                <w:kern w:val="2"/>
                <w:sz w:val="24"/>
                <w:szCs w:val="24"/>
                <w:lang w:val="en-US" w:eastAsia="zh-CN" w:bidi="ar-SA"/>
              </w:rPr>
              <w:t>3</w:t>
            </w:r>
            <w:r>
              <w:rPr>
                <w:rFonts w:hint="eastAsia" w:ascii="Times New Roman" w:hAnsi="Times New Roman" w:eastAsia="宋体" w:cs="Times New Roman"/>
                <w:color w:val="auto"/>
                <w:kern w:val="2"/>
                <w:sz w:val="24"/>
                <w:szCs w:val="24"/>
                <w:lang w:val="en-US" w:eastAsia="zh-CN" w:bidi="ar-SA"/>
              </w:rPr>
              <w:t>）</w:t>
            </w:r>
            <w:r>
              <w:rPr>
                <w:rFonts w:hint="eastAsia"/>
                <w:color w:val="auto"/>
                <w:highlight w:val="none"/>
                <w:lang w:val="en-US" w:eastAsia="zh-CN"/>
              </w:rPr>
              <w:t>实验综合用水</w:t>
            </w:r>
          </w:p>
          <w:p w14:paraId="1A5D3840">
            <w:pPr>
              <w:keepNext w:val="0"/>
              <w:keepLines w:val="0"/>
              <w:widowControl/>
              <w:suppressLineNumbers w:val="0"/>
              <w:spacing w:line="500" w:lineRule="exact"/>
              <w:ind w:firstLine="480"/>
              <w:jc w:val="left"/>
              <w:rPr>
                <w:rFonts w:hint="default" w:eastAsia="宋体"/>
                <w:color w:val="auto"/>
                <w:highlight w:val="none"/>
                <w:lang w:val="en-US" w:eastAsia="zh-CN"/>
              </w:rPr>
            </w:pPr>
            <w:r>
              <w:rPr>
                <w:rFonts w:hint="eastAsia" w:ascii="宋体" w:hAnsi="宋体" w:eastAsia="宋体" w:cs="宋体"/>
                <w:color w:val="auto"/>
                <w:kern w:val="0"/>
                <w:sz w:val="24"/>
                <w:szCs w:val="24"/>
                <w:lang w:val="en-US" w:eastAsia="zh-CN" w:bidi="ar"/>
              </w:rPr>
              <w:t>实</w:t>
            </w:r>
            <w:r>
              <w:rPr>
                <w:rFonts w:hint="default" w:ascii="Times New Roman" w:hAnsi="Times New Roman" w:eastAsia="宋体" w:cs="Times New Roman"/>
                <w:color w:val="auto"/>
                <w:kern w:val="2"/>
                <w:sz w:val="24"/>
                <w:szCs w:val="24"/>
                <w:highlight w:val="none"/>
                <w:lang w:val="en-US" w:eastAsia="zh-CN" w:bidi="ar"/>
              </w:rPr>
              <w:t>验综合</w:t>
            </w:r>
            <w:r>
              <w:rPr>
                <w:rFonts w:hint="eastAsia" w:cs="Times New Roman"/>
                <w:color w:val="auto"/>
                <w:kern w:val="2"/>
                <w:sz w:val="24"/>
                <w:szCs w:val="24"/>
                <w:highlight w:val="none"/>
                <w:lang w:val="en-US" w:eastAsia="zh-CN" w:bidi="ar"/>
              </w:rPr>
              <w:t>用</w:t>
            </w:r>
            <w:r>
              <w:rPr>
                <w:rFonts w:hint="default" w:ascii="Times New Roman" w:hAnsi="Times New Roman" w:eastAsia="宋体" w:cs="Times New Roman"/>
                <w:color w:val="auto"/>
                <w:kern w:val="2"/>
                <w:sz w:val="24"/>
                <w:szCs w:val="24"/>
                <w:highlight w:val="none"/>
                <w:lang w:val="en-US" w:eastAsia="zh-CN" w:bidi="ar"/>
              </w:rPr>
              <w:t>水</w:t>
            </w:r>
            <w:r>
              <w:rPr>
                <w:rFonts w:hint="eastAsia" w:cs="Times New Roman"/>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超声波清洗</w:t>
            </w:r>
            <w:r>
              <w:rPr>
                <w:rFonts w:hint="eastAsia" w:cs="Times New Roman"/>
                <w:color w:val="auto"/>
                <w:kern w:val="2"/>
                <w:sz w:val="24"/>
                <w:szCs w:val="24"/>
                <w:highlight w:val="none"/>
                <w:lang w:val="en-US" w:eastAsia="zh-CN" w:bidi="ar"/>
              </w:rPr>
              <w:t>用</w:t>
            </w:r>
            <w:r>
              <w:rPr>
                <w:rFonts w:hint="default" w:ascii="Times New Roman" w:hAnsi="Times New Roman" w:eastAsia="宋体" w:cs="Times New Roman"/>
                <w:color w:val="auto"/>
                <w:kern w:val="2"/>
                <w:sz w:val="24"/>
                <w:szCs w:val="24"/>
                <w:highlight w:val="none"/>
                <w:lang w:val="en-US" w:eastAsia="zh-CN" w:bidi="ar"/>
              </w:rPr>
              <w:t>水</w:t>
            </w:r>
            <w:r>
              <w:rPr>
                <w:rFonts w:hint="eastAsia" w:cs="Times New Roman"/>
                <w:color w:val="auto"/>
                <w:kern w:val="2"/>
                <w:sz w:val="24"/>
                <w:szCs w:val="24"/>
                <w:highlight w:val="none"/>
                <w:lang w:val="en-US" w:eastAsia="zh-CN" w:bidi="ar"/>
              </w:rPr>
              <w:t>、盐雾测试用水和环境测试用水</w:t>
            </w:r>
            <w:r>
              <w:rPr>
                <w:rFonts w:hint="default" w:ascii="Times New Roman" w:hAnsi="Times New Roman" w:eastAsia="宋体" w:cs="Times New Roman"/>
                <w:color w:val="auto"/>
                <w:kern w:val="2"/>
                <w:sz w:val="24"/>
                <w:szCs w:val="24"/>
                <w:highlight w:val="none"/>
                <w:lang w:val="en-US" w:eastAsia="zh-CN" w:bidi="ar"/>
              </w:rPr>
              <w:t>）为</w:t>
            </w:r>
            <w:r>
              <w:rPr>
                <w:rFonts w:hint="eastAsia" w:cs="Times New Roman"/>
                <w:color w:val="auto"/>
                <w:kern w:val="2"/>
                <w:sz w:val="24"/>
                <w:szCs w:val="24"/>
                <w:highlight w:val="none"/>
                <w:lang w:val="en-US" w:eastAsia="zh-CN" w:bidi="ar"/>
              </w:rPr>
              <w:t>2</w:t>
            </w:r>
            <w:r>
              <w:rPr>
                <w:rFonts w:hint="default" w:ascii="Times New Roman" w:hAnsi="Times New Roman" w:eastAsia="宋体" w:cs="Times New Roman"/>
                <w:color w:val="auto"/>
                <w:kern w:val="2"/>
                <w:sz w:val="24"/>
                <w:szCs w:val="24"/>
                <w:highlight w:val="none"/>
                <w:lang w:val="en-US" w:eastAsia="zh-CN" w:bidi="ar"/>
              </w:rPr>
              <w:t>m</w:t>
            </w:r>
            <w:r>
              <w:rPr>
                <w:rFonts w:hint="default" w:ascii="Times New Roman" w:hAnsi="Times New Roman" w:eastAsia="宋体" w:cs="Times New Roman"/>
                <w:color w:val="auto"/>
                <w:kern w:val="2"/>
                <w:sz w:val="24"/>
                <w:szCs w:val="24"/>
                <w:highlight w:val="none"/>
                <w:vertAlign w:val="superscript"/>
                <w:lang w:val="en-US" w:eastAsia="zh-CN" w:bidi="ar"/>
              </w:rPr>
              <w:t>3</w:t>
            </w:r>
            <w:r>
              <w:rPr>
                <w:rFonts w:hint="default" w:ascii="Times New Roman" w:hAnsi="Times New Roman" w:eastAsia="宋体" w:cs="Times New Roman"/>
                <w:color w:val="auto"/>
                <w:kern w:val="2"/>
                <w:sz w:val="24"/>
                <w:szCs w:val="24"/>
                <w:highlight w:val="none"/>
                <w:lang w:val="en-US" w:eastAsia="zh-CN" w:bidi="ar"/>
              </w:rPr>
              <w:t>/</w:t>
            </w:r>
            <w:r>
              <w:rPr>
                <w:rFonts w:hint="eastAsia" w:cs="Times New Roman"/>
                <w:color w:val="auto"/>
                <w:kern w:val="2"/>
                <w:sz w:val="24"/>
                <w:szCs w:val="24"/>
                <w:highlight w:val="none"/>
                <w:lang w:val="en-US" w:eastAsia="zh-CN" w:bidi="ar"/>
              </w:rPr>
              <w:t>d，376.5</w:t>
            </w:r>
            <w:r>
              <w:rPr>
                <w:rFonts w:hint="default" w:ascii="Times New Roman" w:hAnsi="Times New Roman" w:eastAsia="宋体" w:cs="Times New Roman"/>
                <w:color w:val="auto"/>
                <w:kern w:val="2"/>
                <w:sz w:val="24"/>
                <w:szCs w:val="24"/>
                <w:highlight w:val="none"/>
                <w:lang w:val="en-US" w:eastAsia="zh-CN" w:bidi="ar"/>
              </w:rPr>
              <w:t>m</w:t>
            </w:r>
            <w:r>
              <w:rPr>
                <w:rFonts w:hint="default" w:ascii="Times New Roman" w:hAnsi="Times New Roman" w:eastAsia="宋体" w:cs="Times New Roman"/>
                <w:color w:val="auto"/>
                <w:kern w:val="2"/>
                <w:sz w:val="24"/>
                <w:szCs w:val="24"/>
                <w:highlight w:val="none"/>
                <w:vertAlign w:val="superscript"/>
                <w:lang w:val="en-US" w:eastAsia="zh-CN" w:bidi="ar"/>
              </w:rPr>
              <w:t>3</w:t>
            </w:r>
            <w:r>
              <w:rPr>
                <w:rFonts w:hint="default" w:ascii="Times New Roman" w:hAnsi="Times New Roman" w:eastAsia="宋体" w:cs="Times New Roman"/>
                <w:color w:val="auto"/>
                <w:kern w:val="2"/>
                <w:sz w:val="24"/>
                <w:szCs w:val="24"/>
                <w:highlight w:val="none"/>
                <w:lang w:val="en-US" w:eastAsia="zh-CN" w:bidi="ar"/>
              </w:rPr>
              <w:t>/</w:t>
            </w:r>
            <w:r>
              <w:rPr>
                <w:rFonts w:hint="eastAsia" w:cs="Times New Roman"/>
                <w:color w:val="auto"/>
                <w:kern w:val="2"/>
                <w:sz w:val="24"/>
                <w:szCs w:val="24"/>
                <w:highlight w:val="none"/>
                <w:lang w:val="en-US" w:eastAsia="zh-CN" w:bidi="ar"/>
              </w:rPr>
              <w:t>a</w:t>
            </w:r>
            <w:r>
              <w:rPr>
                <w:rFonts w:hint="default" w:ascii="Times New Roman" w:hAnsi="Times New Roman" w:eastAsia="宋体" w:cs="Times New Roman"/>
                <w:color w:val="auto"/>
                <w:kern w:val="2"/>
                <w:sz w:val="24"/>
                <w:szCs w:val="24"/>
                <w:highlight w:val="none"/>
                <w:lang w:val="en-US" w:eastAsia="zh-CN" w:bidi="ar"/>
              </w:rPr>
              <w:t>。</w:t>
            </w:r>
            <w:r>
              <w:rPr>
                <w:rFonts w:hint="eastAsia"/>
                <w:color w:val="auto"/>
                <w:highlight w:val="none"/>
                <w:lang w:val="zh-CN"/>
              </w:rPr>
              <w:t>排水量按用水量的80%计，</w:t>
            </w:r>
            <w:r>
              <w:rPr>
                <w:rFonts w:hint="eastAsia"/>
                <w:color w:val="auto"/>
                <w:highlight w:val="none"/>
                <w:lang w:val="en-US" w:eastAsia="zh-CN"/>
              </w:rPr>
              <w:t>实验综合废水产生量为1.6</w:t>
            </w:r>
            <w:r>
              <w:rPr>
                <w:rFonts w:hint="default" w:ascii="Times New Roman" w:hAnsi="Times New Roman" w:eastAsia="宋体" w:cs="Times New Roman"/>
                <w:color w:val="auto"/>
                <w:kern w:val="2"/>
                <w:sz w:val="24"/>
                <w:szCs w:val="24"/>
                <w:highlight w:val="none"/>
                <w:lang w:val="en-US" w:eastAsia="zh-CN" w:bidi="ar"/>
              </w:rPr>
              <w:t>m</w:t>
            </w:r>
            <w:r>
              <w:rPr>
                <w:rFonts w:hint="default" w:ascii="Times New Roman" w:hAnsi="Times New Roman" w:eastAsia="宋体" w:cs="Times New Roman"/>
                <w:color w:val="auto"/>
                <w:kern w:val="2"/>
                <w:sz w:val="24"/>
                <w:szCs w:val="24"/>
                <w:highlight w:val="none"/>
                <w:vertAlign w:val="superscript"/>
                <w:lang w:val="en-US" w:eastAsia="zh-CN" w:bidi="ar"/>
              </w:rPr>
              <w:t>3</w:t>
            </w:r>
            <w:r>
              <w:rPr>
                <w:rFonts w:hint="default" w:ascii="Times New Roman" w:hAnsi="Times New Roman" w:eastAsia="宋体" w:cs="Times New Roman"/>
                <w:color w:val="auto"/>
                <w:kern w:val="2"/>
                <w:sz w:val="24"/>
                <w:szCs w:val="24"/>
                <w:highlight w:val="none"/>
                <w:lang w:val="en-US" w:eastAsia="zh-CN" w:bidi="ar"/>
              </w:rPr>
              <w:t>/</w:t>
            </w:r>
            <w:r>
              <w:rPr>
                <w:rFonts w:hint="eastAsia" w:cs="Times New Roman"/>
                <w:color w:val="auto"/>
                <w:kern w:val="2"/>
                <w:sz w:val="24"/>
                <w:szCs w:val="24"/>
                <w:highlight w:val="none"/>
                <w:lang w:val="en-US" w:eastAsia="zh-CN" w:bidi="ar"/>
              </w:rPr>
              <w:t>d，301.2</w:t>
            </w:r>
            <w:r>
              <w:rPr>
                <w:rFonts w:hint="default" w:ascii="Times New Roman" w:hAnsi="Times New Roman" w:eastAsia="宋体" w:cs="Times New Roman"/>
                <w:color w:val="auto"/>
                <w:kern w:val="2"/>
                <w:sz w:val="24"/>
                <w:szCs w:val="24"/>
                <w:highlight w:val="none"/>
                <w:lang w:val="en-US" w:eastAsia="zh-CN" w:bidi="ar"/>
              </w:rPr>
              <w:t>m</w:t>
            </w:r>
            <w:r>
              <w:rPr>
                <w:rFonts w:hint="default" w:ascii="Times New Roman" w:hAnsi="Times New Roman" w:eastAsia="宋体" w:cs="Times New Roman"/>
                <w:color w:val="auto"/>
                <w:kern w:val="2"/>
                <w:sz w:val="24"/>
                <w:szCs w:val="24"/>
                <w:highlight w:val="none"/>
                <w:vertAlign w:val="superscript"/>
                <w:lang w:val="en-US" w:eastAsia="zh-CN" w:bidi="ar"/>
              </w:rPr>
              <w:t>3</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cs="Times New Roman"/>
                <w:color w:val="auto"/>
                <w:kern w:val="2"/>
                <w:sz w:val="24"/>
                <w:szCs w:val="24"/>
                <w:highlight w:val="none"/>
                <w:lang w:val="en-US" w:eastAsia="zh-CN" w:bidi="ar"/>
              </w:rPr>
              <w:t>a。实验室用水主要为整机的性能测试，产生的废水进入化粪池。</w:t>
            </w:r>
          </w:p>
          <w:p w14:paraId="6B6CD347">
            <w:pPr>
              <w:rPr>
                <w:color w:val="auto"/>
              </w:rPr>
            </w:pPr>
            <w:r>
              <w:rPr>
                <w:bCs/>
                <w:color w:val="auto"/>
              </w:rPr>
              <w:t>项目水平衡表见</w:t>
            </w:r>
            <w:r>
              <w:rPr>
                <w:color w:val="auto"/>
              </w:rPr>
              <w:t>表</w:t>
            </w:r>
            <w:r>
              <w:rPr>
                <w:rFonts w:hint="eastAsia"/>
                <w:color w:val="auto"/>
              </w:rPr>
              <w:t>2-</w:t>
            </w:r>
            <w:r>
              <w:rPr>
                <w:rFonts w:hint="eastAsia"/>
                <w:color w:val="auto"/>
                <w:lang w:val="en-US" w:eastAsia="zh-CN"/>
              </w:rPr>
              <w:t>6</w:t>
            </w:r>
            <w:r>
              <w:rPr>
                <w:color w:val="auto"/>
              </w:rPr>
              <w:t>。项目水平衡图见图</w:t>
            </w:r>
            <w:r>
              <w:rPr>
                <w:rFonts w:hint="eastAsia"/>
                <w:color w:val="auto"/>
              </w:rPr>
              <w:t>2-</w:t>
            </w:r>
            <w:r>
              <w:rPr>
                <w:color w:val="auto"/>
              </w:rPr>
              <w:t>1。</w:t>
            </w:r>
          </w:p>
          <w:p w14:paraId="3963A8B8">
            <w:pPr>
              <w:pStyle w:val="24"/>
              <w:keepNext w:val="0"/>
              <w:keepLines w:val="0"/>
              <w:pageBreakBefore w:val="0"/>
              <w:widowControl w:val="0"/>
              <w:kinsoku/>
              <w:wordWrap/>
              <w:overflowPunct/>
              <w:topLinePunct w:val="0"/>
              <w:autoSpaceDE/>
              <w:autoSpaceDN/>
              <w:bidi w:val="0"/>
              <w:adjustRightInd/>
              <w:snapToGrid/>
              <w:spacing w:line="240" w:lineRule="auto"/>
              <w:textAlignment w:val="auto"/>
              <w:rPr>
                <w:color w:val="auto"/>
                <w:sz w:val="24"/>
                <w:szCs w:val="24"/>
              </w:rPr>
            </w:pPr>
            <w:r>
              <w:rPr>
                <w:rFonts w:hint="eastAsia"/>
                <w:color w:val="auto"/>
                <w:sz w:val="24"/>
                <w:szCs w:val="24"/>
              </w:rPr>
              <w:t>表2</w:t>
            </w:r>
            <w:r>
              <w:rPr>
                <w:rFonts w:hint="eastAsia"/>
                <w:color w:val="auto"/>
                <w:sz w:val="24"/>
                <w:szCs w:val="24"/>
                <w:lang w:val="en-US" w:eastAsia="zh-CN"/>
              </w:rPr>
              <w:t xml:space="preserve">-6 </w:t>
            </w:r>
            <w:r>
              <w:rPr>
                <w:rFonts w:hint="eastAsia"/>
                <w:color w:val="auto"/>
                <w:sz w:val="24"/>
                <w:szCs w:val="24"/>
              </w:rPr>
              <w:t xml:space="preserve"> 项目水平衡表  单位：</w:t>
            </w:r>
            <w:r>
              <w:rPr>
                <w:color w:val="auto"/>
                <w:sz w:val="24"/>
                <w:szCs w:val="24"/>
              </w:rPr>
              <w:t>m</w:t>
            </w:r>
            <w:r>
              <w:rPr>
                <w:color w:val="auto"/>
                <w:sz w:val="24"/>
                <w:szCs w:val="24"/>
                <w:vertAlign w:val="superscript"/>
              </w:rPr>
              <w:t>3</w:t>
            </w:r>
            <w:r>
              <w:rPr>
                <w:color w:val="auto"/>
                <w:sz w:val="24"/>
                <w:szCs w:val="24"/>
              </w:rPr>
              <w:t>/d</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91"/>
              <w:gridCol w:w="917"/>
              <w:gridCol w:w="845"/>
              <w:gridCol w:w="1013"/>
              <w:gridCol w:w="863"/>
              <w:gridCol w:w="2862"/>
            </w:tblGrid>
            <w:tr w14:paraId="22939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4" w:hRule="atLeast"/>
                <w:jc w:val="center"/>
              </w:trPr>
              <w:tc>
                <w:tcPr>
                  <w:tcW w:w="983"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58AB19B">
                  <w:pPr>
                    <w:widowControl/>
                    <w:spacing w:line="240" w:lineRule="auto"/>
                    <w:ind w:firstLine="0" w:firstLineChars="0"/>
                    <w:jc w:val="center"/>
                    <w:textAlignment w:val="center"/>
                    <w:rPr>
                      <w:b/>
                      <w:bCs/>
                      <w:sz w:val="21"/>
                      <w:szCs w:val="21"/>
                    </w:rPr>
                  </w:pPr>
                  <w:r>
                    <w:rPr>
                      <w:b/>
                      <w:bCs/>
                      <w:kern w:val="0"/>
                      <w:sz w:val="21"/>
                      <w:szCs w:val="21"/>
                      <w:lang w:eastAsia="zh-CN" w:bidi="ar"/>
                    </w:rPr>
                    <w:t>类别</w:t>
                  </w:r>
                </w:p>
              </w:tc>
              <w:tc>
                <w:tcPr>
                  <w:tcW w:w="566"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02F83013">
                  <w:pPr>
                    <w:widowControl/>
                    <w:spacing w:line="240" w:lineRule="auto"/>
                    <w:ind w:firstLine="0" w:firstLineChars="0"/>
                    <w:jc w:val="center"/>
                    <w:textAlignment w:val="center"/>
                    <w:rPr>
                      <w:b/>
                      <w:bCs/>
                      <w:sz w:val="21"/>
                      <w:szCs w:val="21"/>
                    </w:rPr>
                  </w:pPr>
                  <w:r>
                    <w:rPr>
                      <w:b/>
                      <w:bCs/>
                      <w:kern w:val="0"/>
                      <w:sz w:val="21"/>
                      <w:szCs w:val="21"/>
                      <w:lang w:eastAsia="zh-CN" w:bidi="ar"/>
                    </w:rPr>
                    <w:t>用水量（m</w:t>
                  </w:r>
                  <w:r>
                    <w:rPr>
                      <w:b/>
                      <w:bCs/>
                      <w:kern w:val="0"/>
                      <w:sz w:val="21"/>
                      <w:szCs w:val="21"/>
                      <w:vertAlign w:val="superscript"/>
                      <w:lang w:eastAsia="zh-CN" w:bidi="ar"/>
                    </w:rPr>
                    <w:t>3</w:t>
                  </w:r>
                  <w:r>
                    <w:rPr>
                      <w:b/>
                      <w:bCs/>
                      <w:kern w:val="0"/>
                      <w:sz w:val="21"/>
                      <w:szCs w:val="21"/>
                      <w:lang w:eastAsia="zh-CN" w:bidi="ar"/>
                    </w:rPr>
                    <w:t>/d）</w:t>
                  </w:r>
                </w:p>
              </w:tc>
              <w:tc>
                <w:tcPr>
                  <w:tcW w:w="522"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D10C960">
                  <w:pPr>
                    <w:widowControl/>
                    <w:spacing w:line="240" w:lineRule="auto"/>
                    <w:ind w:firstLine="0" w:firstLineChars="0"/>
                    <w:jc w:val="center"/>
                    <w:textAlignment w:val="center"/>
                    <w:rPr>
                      <w:b/>
                      <w:bCs/>
                      <w:sz w:val="21"/>
                      <w:szCs w:val="21"/>
                    </w:rPr>
                  </w:pPr>
                  <w:r>
                    <w:rPr>
                      <w:b/>
                      <w:bCs/>
                      <w:kern w:val="0"/>
                      <w:sz w:val="21"/>
                      <w:szCs w:val="21"/>
                      <w:lang w:eastAsia="zh-CN" w:bidi="ar"/>
                    </w:rPr>
                    <w:t>耗水量（m</w:t>
                  </w:r>
                  <w:r>
                    <w:rPr>
                      <w:b/>
                      <w:bCs/>
                      <w:kern w:val="0"/>
                      <w:sz w:val="21"/>
                      <w:szCs w:val="21"/>
                      <w:vertAlign w:val="superscript"/>
                      <w:lang w:eastAsia="zh-CN" w:bidi="ar"/>
                    </w:rPr>
                    <w:t>3</w:t>
                  </w:r>
                  <w:r>
                    <w:rPr>
                      <w:b/>
                      <w:bCs/>
                      <w:kern w:val="0"/>
                      <w:sz w:val="21"/>
                      <w:szCs w:val="21"/>
                      <w:lang w:eastAsia="zh-CN" w:bidi="ar"/>
                    </w:rPr>
                    <w:t>/d）</w:t>
                  </w:r>
                </w:p>
              </w:tc>
              <w:tc>
                <w:tcPr>
                  <w:tcW w:w="626" w:type="pct"/>
                  <w:tcBorders>
                    <w:top w:val="single" w:color="000000" w:sz="4" w:space="0"/>
                    <w:left w:val="single" w:color="000000" w:sz="4" w:space="0"/>
                    <w:bottom w:val="single" w:color="000000" w:sz="4" w:space="0"/>
                    <w:right w:val="single" w:color="000000" w:sz="4" w:space="0"/>
                  </w:tcBorders>
                  <w:vAlign w:val="center"/>
                </w:tcPr>
                <w:p w14:paraId="5B01900E">
                  <w:pPr>
                    <w:widowControl/>
                    <w:spacing w:line="240" w:lineRule="auto"/>
                    <w:ind w:firstLine="0" w:firstLineChars="0"/>
                    <w:jc w:val="center"/>
                    <w:textAlignment w:val="center"/>
                    <w:rPr>
                      <w:b/>
                      <w:bCs/>
                      <w:kern w:val="0"/>
                      <w:sz w:val="21"/>
                      <w:szCs w:val="21"/>
                      <w:lang w:eastAsia="zh-CN" w:bidi="ar"/>
                    </w:rPr>
                  </w:pPr>
                  <w:r>
                    <w:rPr>
                      <w:b/>
                      <w:bCs/>
                      <w:kern w:val="0"/>
                      <w:sz w:val="21"/>
                      <w:szCs w:val="21"/>
                      <w:lang w:eastAsia="zh-CN" w:bidi="ar"/>
                    </w:rPr>
                    <w:t>回用量（m</w:t>
                  </w:r>
                  <w:r>
                    <w:rPr>
                      <w:b/>
                      <w:bCs/>
                      <w:kern w:val="0"/>
                      <w:sz w:val="21"/>
                      <w:szCs w:val="21"/>
                      <w:vertAlign w:val="superscript"/>
                      <w:lang w:eastAsia="zh-CN" w:bidi="ar"/>
                    </w:rPr>
                    <w:t>3</w:t>
                  </w:r>
                  <w:r>
                    <w:rPr>
                      <w:b/>
                      <w:bCs/>
                      <w:kern w:val="0"/>
                      <w:sz w:val="21"/>
                      <w:szCs w:val="21"/>
                      <w:lang w:eastAsia="zh-CN" w:bidi="ar"/>
                    </w:rPr>
                    <w:t>/d）</w:t>
                  </w:r>
                </w:p>
              </w:tc>
              <w:tc>
                <w:tcPr>
                  <w:tcW w:w="533"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60B032EE">
                  <w:pPr>
                    <w:widowControl/>
                    <w:spacing w:line="240" w:lineRule="auto"/>
                    <w:ind w:firstLine="0" w:firstLineChars="0"/>
                    <w:jc w:val="center"/>
                    <w:textAlignment w:val="center"/>
                    <w:rPr>
                      <w:b/>
                      <w:bCs/>
                      <w:sz w:val="21"/>
                      <w:szCs w:val="21"/>
                    </w:rPr>
                  </w:pPr>
                  <w:r>
                    <w:rPr>
                      <w:b/>
                      <w:bCs/>
                      <w:kern w:val="0"/>
                      <w:sz w:val="21"/>
                      <w:szCs w:val="21"/>
                      <w:lang w:eastAsia="zh-CN" w:bidi="ar"/>
                    </w:rPr>
                    <w:t>排水量（m</w:t>
                  </w:r>
                  <w:r>
                    <w:rPr>
                      <w:b/>
                      <w:bCs/>
                      <w:kern w:val="0"/>
                      <w:sz w:val="21"/>
                      <w:szCs w:val="21"/>
                      <w:vertAlign w:val="superscript"/>
                      <w:lang w:eastAsia="zh-CN" w:bidi="ar"/>
                    </w:rPr>
                    <w:t>3</w:t>
                  </w:r>
                  <w:r>
                    <w:rPr>
                      <w:b/>
                      <w:bCs/>
                      <w:kern w:val="0"/>
                      <w:sz w:val="21"/>
                      <w:szCs w:val="21"/>
                      <w:lang w:eastAsia="zh-CN" w:bidi="ar"/>
                    </w:rPr>
                    <w:t>/d）</w:t>
                  </w:r>
                </w:p>
              </w:tc>
              <w:tc>
                <w:tcPr>
                  <w:tcW w:w="1768"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43DA94DC">
                  <w:pPr>
                    <w:widowControl/>
                    <w:spacing w:line="240" w:lineRule="auto"/>
                    <w:ind w:firstLine="0" w:firstLineChars="0"/>
                    <w:jc w:val="center"/>
                    <w:textAlignment w:val="center"/>
                    <w:rPr>
                      <w:b/>
                      <w:bCs/>
                      <w:sz w:val="21"/>
                      <w:szCs w:val="21"/>
                    </w:rPr>
                  </w:pPr>
                  <w:r>
                    <w:rPr>
                      <w:b/>
                      <w:bCs/>
                      <w:kern w:val="0"/>
                      <w:sz w:val="21"/>
                      <w:szCs w:val="21"/>
                      <w:lang w:eastAsia="zh-CN" w:bidi="ar"/>
                    </w:rPr>
                    <w:t>拟排放去向</w:t>
                  </w:r>
                </w:p>
              </w:tc>
            </w:tr>
            <w:tr w14:paraId="227C3E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983" w:type="pct"/>
                  <w:tcBorders>
                    <w:top w:val="single" w:color="000000" w:sz="4" w:space="0"/>
                    <w:left w:val="single" w:color="000000" w:sz="4" w:space="0"/>
                    <w:right w:val="single" w:color="000000" w:sz="4" w:space="0"/>
                  </w:tcBorders>
                  <w:tcMar>
                    <w:top w:w="15" w:type="dxa"/>
                    <w:left w:w="15" w:type="dxa"/>
                    <w:bottom w:w="15" w:type="dxa"/>
                    <w:right w:w="15" w:type="dxa"/>
                  </w:tcMar>
                  <w:vAlign w:val="center"/>
                </w:tcPr>
                <w:p w14:paraId="4F64C2C2">
                  <w:pPr>
                    <w:widowControl/>
                    <w:spacing w:line="240" w:lineRule="auto"/>
                    <w:ind w:firstLine="0" w:firstLineChars="0"/>
                    <w:jc w:val="center"/>
                    <w:textAlignment w:val="center"/>
                    <w:rPr>
                      <w:color w:val="auto"/>
                      <w:sz w:val="21"/>
                      <w:szCs w:val="21"/>
                    </w:rPr>
                  </w:pPr>
                  <w:r>
                    <w:rPr>
                      <w:rFonts w:hint="eastAsia" w:ascii="Times New Roman" w:hAnsi="Times New Roman" w:eastAsia="宋体" w:cs="Times New Roman"/>
                      <w:color w:val="auto"/>
                      <w:kern w:val="0"/>
                      <w:sz w:val="21"/>
                      <w:szCs w:val="21"/>
                      <w:lang w:eastAsia="zh-CN" w:bidi="ar"/>
                    </w:rPr>
                    <w:t>生活用水</w:t>
                  </w:r>
                </w:p>
              </w:tc>
              <w:tc>
                <w:tcPr>
                  <w:tcW w:w="566" w:type="pct"/>
                  <w:tcBorders>
                    <w:top w:val="single" w:color="000000" w:sz="4" w:space="0"/>
                    <w:left w:val="single" w:color="000000" w:sz="4" w:space="0"/>
                    <w:right w:val="single" w:color="000000" w:sz="4" w:space="0"/>
                  </w:tcBorders>
                  <w:tcMar>
                    <w:top w:w="15" w:type="dxa"/>
                    <w:left w:w="15" w:type="dxa"/>
                    <w:bottom w:w="15" w:type="dxa"/>
                    <w:right w:w="15" w:type="dxa"/>
                  </w:tcMar>
                  <w:vAlign w:val="center"/>
                </w:tcPr>
                <w:p w14:paraId="13600A24">
                  <w:pPr>
                    <w:widowControl/>
                    <w:spacing w:line="240" w:lineRule="auto"/>
                    <w:ind w:firstLine="0" w:firstLineChars="0"/>
                    <w:jc w:val="center"/>
                    <w:textAlignment w:val="center"/>
                    <w:rPr>
                      <w:rFonts w:hint="default"/>
                      <w:color w:val="auto"/>
                      <w:kern w:val="0"/>
                      <w:sz w:val="21"/>
                      <w:szCs w:val="21"/>
                      <w:lang w:val="en-US" w:eastAsia="zh-CN" w:bidi="ar"/>
                    </w:rPr>
                  </w:pPr>
                  <w:r>
                    <w:rPr>
                      <w:rFonts w:hint="eastAsia"/>
                      <w:color w:val="auto"/>
                      <w:kern w:val="0"/>
                      <w:sz w:val="21"/>
                      <w:szCs w:val="21"/>
                      <w:lang w:val="en-US" w:eastAsia="zh-CN" w:bidi="ar"/>
                    </w:rPr>
                    <w:t>95.6</w:t>
                  </w:r>
                </w:p>
              </w:tc>
              <w:tc>
                <w:tcPr>
                  <w:tcW w:w="522" w:type="pct"/>
                  <w:tcBorders>
                    <w:top w:val="single" w:color="000000" w:sz="4" w:space="0"/>
                    <w:left w:val="single" w:color="000000" w:sz="4" w:space="0"/>
                    <w:right w:val="single" w:color="000000" w:sz="4" w:space="0"/>
                  </w:tcBorders>
                  <w:tcMar>
                    <w:top w:w="15" w:type="dxa"/>
                    <w:left w:w="15" w:type="dxa"/>
                    <w:bottom w:w="15" w:type="dxa"/>
                    <w:right w:w="15" w:type="dxa"/>
                  </w:tcMar>
                  <w:vAlign w:val="center"/>
                </w:tcPr>
                <w:p w14:paraId="78318524">
                  <w:pPr>
                    <w:widowControl/>
                    <w:spacing w:line="240" w:lineRule="auto"/>
                    <w:ind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19.1</w:t>
                  </w:r>
                </w:p>
              </w:tc>
              <w:tc>
                <w:tcPr>
                  <w:tcW w:w="626" w:type="pct"/>
                  <w:tcBorders>
                    <w:top w:val="single" w:color="000000" w:sz="4" w:space="0"/>
                    <w:left w:val="single" w:color="000000" w:sz="4" w:space="0"/>
                    <w:bottom w:val="single" w:color="000000" w:sz="4" w:space="0"/>
                    <w:right w:val="single" w:color="000000" w:sz="4" w:space="0"/>
                  </w:tcBorders>
                  <w:vAlign w:val="center"/>
                </w:tcPr>
                <w:p w14:paraId="7AAF1BAE">
                  <w:pPr>
                    <w:widowControl/>
                    <w:spacing w:line="240" w:lineRule="auto"/>
                    <w:ind w:firstLine="0" w:firstLineChars="0"/>
                    <w:jc w:val="center"/>
                    <w:textAlignment w:val="center"/>
                    <w:rPr>
                      <w:color w:val="auto"/>
                      <w:sz w:val="21"/>
                      <w:szCs w:val="21"/>
                      <w:lang w:eastAsia="zh-CN"/>
                    </w:rPr>
                  </w:pPr>
                  <w:r>
                    <w:rPr>
                      <w:color w:val="auto"/>
                      <w:sz w:val="21"/>
                      <w:szCs w:val="21"/>
                      <w:lang w:eastAsia="zh-CN"/>
                    </w:rPr>
                    <w:t>/</w:t>
                  </w:r>
                </w:p>
              </w:tc>
              <w:tc>
                <w:tcPr>
                  <w:tcW w:w="533" w:type="pct"/>
                  <w:tcBorders>
                    <w:top w:val="single" w:color="000000" w:sz="4" w:space="0"/>
                    <w:left w:val="single" w:color="000000" w:sz="4" w:space="0"/>
                    <w:right w:val="single" w:color="000000" w:sz="4" w:space="0"/>
                  </w:tcBorders>
                  <w:tcMar>
                    <w:top w:w="15" w:type="dxa"/>
                    <w:left w:w="15" w:type="dxa"/>
                    <w:bottom w:w="15" w:type="dxa"/>
                    <w:right w:w="15" w:type="dxa"/>
                  </w:tcMar>
                  <w:vAlign w:val="center"/>
                </w:tcPr>
                <w:p w14:paraId="000B21D8">
                  <w:pPr>
                    <w:widowControl/>
                    <w:spacing w:line="240" w:lineRule="auto"/>
                    <w:ind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76.5</w:t>
                  </w:r>
                </w:p>
              </w:tc>
              <w:tc>
                <w:tcPr>
                  <w:tcW w:w="1768" w:type="pct"/>
                  <w:tcBorders>
                    <w:top w:val="single" w:color="000000" w:sz="4" w:space="0"/>
                    <w:left w:val="single" w:color="000000" w:sz="4" w:space="0"/>
                    <w:right w:val="single" w:color="000000" w:sz="4" w:space="0"/>
                  </w:tcBorders>
                  <w:tcMar>
                    <w:top w:w="15" w:type="dxa"/>
                    <w:left w:w="15" w:type="dxa"/>
                    <w:bottom w:w="15" w:type="dxa"/>
                    <w:right w:w="15" w:type="dxa"/>
                  </w:tcMar>
                  <w:vAlign w:val="center"/>
                </w:tcPr>
                <w:p w14:paraId="7C4497BA">
                  <w:pPr>
                    <w:widowControl/>
                    <w:spacing w:line="240" w:lineRule="auto"/>
                    <w:ind w:firstLine="0" w:firstLineChars="0"/>
                    <w:jc w:val="center"/>
                    <w:textAlignment w:val="center"/>
                    <w:rPr>
                      <w:color w:val="auto"/>
                      <w:sz w:val="21"/>
                      <w:szCs w:val="21"/>
                      <w:lang w:eastAsia="zh-CN"/>
                    </w:rPr>
                  </w:pPr>
                  <w:r>
                    <w:rPr>
                      <w:rFonts w:hint="eastAsia"/>
                      <w:color w:val="auto"/>
                      <w:sz w:val="21"/>
                      <w:szCs w:val="21"/>
                      <w:lang w:eastAsia="zh-CN"/>
                    </w:rPr>
                    <w:t>化粪池→</w:t>
                  </w:r>
                  <w:r>
                    <w:rPr>
                      <w:rFonts w:hint="eastAsia" w:ascii="Times New Roman" w:hAnsi="Times New Roman" w:eastAsia="宋体" w:cs="Times New Roman"/>
                      <w:color w:val="auto"/>
                      <w:sz w:val="21"/>
                      <w:szCs w:val="21"/>
                      <w:lang w:val="en-US" w:eastAsia="zh-CN"/>
                    </w:rPr>
                    <w:t>西咸新区沣东南污水处理厂</w:t>
                  </w:r>
                </w:p>
              </w:tc>
            </w:tr>
            <w:tr w14:paraId="31BF03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jc w:val="center"/>
              </w:trPr>
              <w:tc>
                <w:tcPr>
                  <w:tcW w:w="983"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D4C9654">
                  <w:pPr>
                    <w:widowControl/>
                    <w:spacing w:line="240" w:lineRule="auto"/>
                    <w:ind w:firstLine="0" w:firstLineChars="0"/>
                    <w:jc w:val="center"/>
                    <w:textAlignment w:val="center"/>
                    <w:rPr>
                      <w:rFonts w:hint="default"/>
                      <w:color w:val="auto"/>
                      <w:sz w:val="21"/>
                      <w:szCs w:val="21"/>
                      <w:lang w:val="en-US"/>
                    </w:rPr>
                  </w:pPr>
                  <w:r>
                    <w:rPr>
                      <w:color w:val="auto"/>
                      <w:kern w:val="0"/>
                      <w:sz w:val="21"/>
                      <w:szCs w:val="21"/>
                      <w:lang w:eastAsia="zh-CN" w:bidi="ar"/>
                    </w:rPr>
                    <w:t>餐饮</w:t>
                  </w:r>
                  <w:r>
                    <w:rPr>
                      <w:rFonts w:hint="eastAsia"/>
                      <w:color w:val="auto"/>
                      <w:kern w:val="0"/>
                      <w:sz w:val="21"/>
                      <w:szCs w:val="21"/>
                      <w:lang w:val="en-US" w:eastAsia="zh-CN" w:bidi="ar"/>
                    </w:rPr>
                    <w:t>用水</w:t>
                  </w:r>
                </w:p>
              </w:tc>
              <w:tc>
                <w:tcPr>
                  <w:tcW w:w="566"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624C89AE">
                  <w:pPr>
                    <w:widowControl/>
                    <w:spacing w:line="240" w:lineRule="auto"/>
                    <w:ind w:firstLine="0" w:firstLineChars="0"/>
                    <w:jc w:val="center"/>
                    <w:textAlignment w:val="center"/>
                    <w:rPr>
                      <w:rFonts w:hint="default"/>
                      <w:color w:val="auto"/>
                      <w:kern w:val="0"/>
                      <w:sz w:val="21"/>
                      <w:szCs w:val="21"/>
                      <w:lang w:val="en-US" w:eastAsia="zh-CN" w:bidi="ar"/>
                    </w:rPr>
                  </w:pPr>
                  <w:r>
                    <w:rPr>
                      <w:rFonts w:hint="eastAsia"/>
                      <w:color w:val="auto"/>
                      <w:kern w:val="0"/>
                      <w:sz w:val="21"/>
                      <w:szCs w:val="21"/>
                      <w:lang w:val="en-US" w:eastAsia="zh-CN" w:bidi="ar"/>
                    </w:rPr>
                    <w:t>91.9</w:t>
                  </w:r>
                </w:p>
              </w:tc>
              <w:tc>
                <w:tcPr>
                  <w:tcW w:w="522"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1895F42">
                  <w:pPr>
                    <w:widowControl/>
                    <w:spacing w:line="240" w:lineRule="auto"/>
                    <w:ind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18.4</w:t>
                  </w:r>
                </w:p>
              </w:tc>
              <w:tc>
                <w:tcPr>
                  <w:tcW w:w="626" w:type="pct"/>
                  <w:tcBorders>
                    <w:top w:val="single" w:color="000000" w:sz="4" w:space="0"/>
                    <w:left w:val="single" w:color="000000" w:sz="4" w:space="0"/>
                    <w:bottom w:val="single" w:color="000000" w:sz="4" w:space="0"/>
                    <w:right w:val="single" w:color="000000" w:sz="4" w:space="0"/>
                  </w:tcBorders>
                  <w:vAlign w:val="center"/>
                </w:tcPr>
                <w:p w14:paraId="4F5B9FE4">
                  <w:pPr>
                    <w:widowControl/>
                    <w:spacing w:line="240" w:lineRule="auto"/>
                    <w:ind w:firstLine="0" w:firstLineChars="0"/>
                    <w:jc w:val="center"/>
                    <w:textAlignment w:val="center"/>
                    <w:rPr>
                      <w:color w:val="auto"/>
                      <w:sz w:val="21"/>
                      <w:szCs w:val="21"/>
                      <w:lang w:eastAsia="zh-CN"/>
                    </w:rPr>
                  </w:pPr>
                  <w:r>
                    <w:rPr>
                      <w:color w:val="auto"/>
                      <w:sz w:val="21"/>
                      <w:szCs w:val="21"/>
                      <w:lang w:eastAsia="zh-CN"/>
                    </w:rPr>
                    <w:t>/</w:t>
                  </w:r>
                </w:p>
              </w:tc>
              <w:tc>
                <w:tcPr>
                  <w:tcW w:w="533"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E8F35E0">
                  <w:pPr>
                    <w:widowControl/>
                    <w:spacing w:line="240" w:lineRule="auto"/>
                    <w:ind w:firstLine="0" w:firstLineChars="0"/>
                    <w:jc w:val="center"/>
                    <w:textAlignment w:val="center"/>
                    <w:rPr>
                      <w:rFonts w:hint="default"/>
                      <w:color w:val="auto"/>
                      <w:sz w:val="21"/>
                      <w:szCs w:val="21"/>
                      <w:lang w:val="en-US"/>
                    </w:rPr>
                  </w:pPr>
                  <w:r>
                    <w:rPr>
                      <w:rFonts w:hint="eastAsia"/>
                      <w:color w:val="auto"/>
                      <w:sz w:val="21"/>
                      <w:szCs w:val="21"/>
                      <w:lang w:val="en-US" w:eastAsia="zh-CN"/>
                    </w:rPr>
                    <w:t>73.5</w:t>
                  </w:r>
                </w:p>
              </w:tc>
              <w:tc>
                <w:tcPr>
                  <w:tcW w:w="1768" w:type="pct"/>
                  <w:tcBorders>
                    <w:top w:val="single" w:color="000000" w:sz="4" w:space="0"/>
                    <w:left w:val="single" w:color="000000" w:sz="4" w:space="0"/>
                    <w:bottom w:val="single" w:color="auto" w:sz="4" w:space="0"/>
                    <w:right w:val="single" w:color="000000" w:sz="4" w:space="0"/>
                  </w:tcBorders>
                  <w:vAlign w:val="center"/>
                </w:tcPr>
                <w:p w14:paraId="5DA0347F">
                  <w:pPr>
                    <w:widowControl/>
                    <w:spacing w:line="240" w:lineRule="auto"/>
                    <w:ind w:firstLine="0" w:firstLineChars="0"/>
                    <w:jc w:val="center"/>
                    <w:rPr>
                      <w:color w:val="auto"/>
                      <w:sz w:val="21"/>
                      <w:szCs w:val="21"/>
                      <w:lang w:eastAsia="zh-CN"/>
                    </w:rPr>
                  </w:pPr>
                  <w:r>
                    <w:rPr>
                      <w:rFonts w:hint="eastAsia"/>
                      <w:color w:val="auto"/>
                      <w:sz w:val="21"/>
                      <w:szCs w:val="21"/>
                      <w:lang w:val="en-US" w:eastAsia="zh-CN"/>
                    </w:rPr>
                    <w:t>油水分离器</w:t>
                  </w:r>
                  <w:r>
                    <w:rPr>
                      <w:rFonts w:hint="eastAsia"/>
                      <w:color w:val="auto"/>
                      <w:sz w:val="21"/>
                      <w:szCs w:val="21"/>
                      <w:lang w:eastAsia="zh-CN"/>
                    </w:rPr>
                    <w:t>→化粪池→</w:t>
                  </w:r>
                  <w:r>
                    <w:rPr>
                      <w:rFonts w:hint="eastAsia" w:ascii="Times New Roman" w:hAnsi="Times New Roman" w:eastAsia="宋体" w:cs="Times New Roman"/>
                      <w:color w:val="auto"/>
                      <w:sz w:val="21"/>
                      <w:szCs w:val="21"/>
                      <w:lang w:val="en-US" w:eastAsia="zh-CN"/>
                    </w:rPr>
                    <w:t>西咸新区沣东南污水处理厂</w:t>
                  </w:r>
                </w:p>
              </w:tc>
            </w:tr>
            <w:tr w14:paraId="5C9C50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jc w:val="center"/>
              </w:trPr>
              <w:tc>
                <w:tcPr>
                  <w:tcW w:w="983"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62EB26F2">
                  <w:pPr>
                    <w:numPr>
                      <w:ilvl w:val="-1"/>
                      <w:numId w:val="0"/>
                    </w:numPr>
                    <w:spacing w:line="500" w:lineRule="exact"/>
                    <w:ind w:firstLine="0" w:firstLineChars="0"/>
                    <w:jc w:val="center"/>
                    <w:rPr>
                      <w:rFonts w:hint="eastAsia"/>
                      <w:color w:val="auto"/>
                      <w:sz w:val="21"/>
                      <w:szCs w:val="21"/>
                      <w:highlight w:val="none"/>
                      <w:lang w:val="en-US" w:eastAsia="zh-CN"/>
                    </w:rPr>
                  </w:pPr>
                  <w:r>
                    <w:rPr>
                      <w:rFonts w:hint="eastAsia"/>
                      <w:color w:val="auto"/>
                      <w:sz w:val="21"/>
                      <w:szCs w:val="21"/>
                      <w:highlight w:val="none"/>
                      <w:lang w:val="en-US" w:eastAsia="zh-CN"/>
                    </w:rPr>
                    <w:t>实验综合用水</w:t>
                  </w:r>
                </w:p>
                <w:p w14:paraId="52406F83">
                  <w:pPr>
                    <w:widowControl/>
                    <w:spacing w:line="240" w:lineRule="auto"/>
                    <w:ind w:firstLine="0" w:firstLineChars="0"/>
                    <w:jc w:val="center"/>
                    <w:textAlignment w:val="center"/>
                    <w:rPr>
                      <w:color w:val="auto"/>
                      <w:sz w:val="21"/>
                      <w:szCs w:val="21"/>
                    </w:rPr>
                  </w:pPr>
                </w:p>
              </w:tc>
              <w:tc>
                <w:tcPr>
                  <w:tcW w:w="566"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6364E502">
                  <w:pPr>
                    <w:widowControl/>
                    <w:spacing w:line="240" w:lineRule="auto"/>
                    <w:ind w:firstLine="0" w:firstLineChars="0"/>
                    <w:jc w:val="center"/>
                    <w:textAlignment w:val="center"/>
                    <w:rPr>
                      <w:rFonts w:hint="default"/>
                      <w:color w:val="auto"/>
                      <w:kern w:val="0"/>
                      <w:sz w:val="21"/>
                      <w:szCs w:val="21"/>
                      <w:lang w:val="en-US" w:eastAsia="zh-CN" w:bidi="ar"/>
                    </w:rPr>
                  </w:pPr>
                  <w:r>
                    <w:rPr>
                      <w:rFonts w:hint="eastAsia"/>
                      <w:color w:val="auto"/>
                      <w:kern w:val="0"/>
                      <w:sz w:val="21"/>
                      <w:szCs w:val="21"/>
                      <w:lang w:val="en-US" w:eastAsia="zh-CN" w:bidi="ar"/>
                    </w:rPr>
                    <w:t>2</w:t>
                  </w:r>
                </w:p>
              </w:tc>
              <w:tc>
                <w:tcPr>
                  <w:tcW w:w="522"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6587534D">
                  <w:pPr>
                    <w:widowControl/>
                    <w:spacing w:line="240" w:lineRule="auto"/>
                    <w:ind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0.4</w:t>
                  </w:r>
                </w:p>
              </w:tc>
              <w:tc>
                <w:tcPr>
                  <w:tcW w:w="626" w:type="pct"/>
                  <w:tcBorders>
                    <w:top w:val="single" w:color="000000" w:sz="4" w:space="0"/>
                    <w:left w:val="single" w:color="000000" w:sz="4" w:space="0"/>
                    <w:bottom w:val="single" w:color="000000" w:sz="4" w:space="0"/>
                    <w:right w:val="single" w:color="000000" w:sz="4" w:space="0"/>
                  </w:tcBorders>
                  <w:vAlign w:val="center"/>
                </w:tcPr>
                <w:p w14:paraId="00C6D9D6">
                  <w:pPr>
                    <w:widowControl/>
                    <w:spacing w:line="240" w:lineRule="auto"/>
                    <w:ind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w:t>
                  </w:r>
                </w:p>
              </w:tc>
              <w:tc>
                <w:tcPr>
                  <w:tcW w:w="533"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501F805A">
                  <w:pPr>
                    <w:widowControl/>
                    <w:spacing w:line="240" w:lineRule="auto"/>
                    <w:ind w:firstLine="0" w:firstLineChars="0"/>
                    <w:jc w:val="center"/>
                    <w:textAlignment w:val="center"/>
                    <w:rPr>
                      <w:color w:val="auto"/>
                      <w:sz w:val="21"/>
                      <w:szCs w:val="21"/>
                      <w:lang w:eastAsia="zh-CN"/>
                    </w:rPr>
                  </w:pPr>
                  <w:r>
                    <w:rPr>
                      <w:rFonts w:hint="eastAsia"/>
                      <w:color w:val="auto"/>
                      <w:sz w:val="21"/>
                      <w:szCs w:val="21"/>
                      <w:lang w:val="en-US" w:eastAsia="zh-CN"/>
                    </w:rPr>
                    <w:t>1.6</w:t>
                  </w:r>
                </w:p>
              </w:tc>
              <w:tc>
                <w:tcPr>
                  <w:tcW w:w="1768" w:type="pct"/>
                  <w:tcBorders>
                    <w:top w:val="single" w:color="000000" w:sz="4" w:space="0"/>
                    <w:left w:val="single" w:color="000000" w:sz="4" w:space="0"/>
                    <w:bottom w:val="single" w:color="auto" w:sz="4" w:space="0"/>
                    <w:right w:val="single" w:color="000000" w:sz="4" w:space="0"/>
                  </w:tcBorders>
                  <w:shd w:val="clear" w:color="auto" w:fill="auto"/>
                  <w:vAlign w:val="center"/>
                </w:tcPr>
                <w:p w14:paraId="127DF4E9">
                  <w:pPr>
                    <w:widowControl/>
                    <w:spacing w:line="240" w:lineRule="auto"/>
                    <w:ind w:firstLine="0" w:firstLineChars="0"/>
                    <w:jc w:val="center"/>
                    <w:rPr>
                      <w:color w:val="auto"/>
                      <w:sz w:val="21"/>
                      <w:szCs w:val="21"/>
                      <w:lang w:eastAsia="zh-CN"/>
                    </w:rPr>
                  </w:pPr>
                  <w:r>
                    <w:rPr>
                      <w:rFonts w:hint="eastAsia"/>
                      <w:color w:val="auto"/>
                      <w:sz w:val="21"/>
                      <w:szCs w:val="21"/>
                      <w:lang w:eastAsia="zh-CN"/>
                    </w:rPr>
                    <w:t>化粪池→</w:t>
                  </w:r>
                  <w:r>
                    <w:rPr>
                      <w:rFonts w:hint="eastAsia" w:ascii="Times New Roman" w:hAnsi="Times New Roman" w:eastAsia="宋体" w:cs="Times New Roman"/>
                      <w:color w:val="auto"/>
                      <w:sz w:val="21"/>
                      <w:szCs w:val="21"/>
                      <w:lang w:val="en-US" w:eastAsia="zh-CN"/>
                    </w:rPr>
                    <w:t>西咸新区沣东南污水处理厂</w:t>
                  </w:r>
                </w:p>
              </w:tc>
            </w:tr>
            <w:tr w14:paraId="2E76E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 w:hRule="atLeast"/>
                <w:jc w:val="center"/>
              </w:trPr>
              <w:tc>
                <w:tcPr>
                  <w:tcW w:w="983"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07312B88">
                  <w:pPr>
                    <w:widowControl/>
                    <w:spacing w:line="240" w:lineRule="auto"/>
                    <w:ind w:firstLine="0" w:firstLineChars="0"/>
                    <w:jc w:val="center"/>
                    <w:textAlignment w:val="center"/>
                    <w:rPr>
                      <w:color w:val="auto"/>
                      <w:sz w:val="21"/>
                      <w:szCs w:val="21"/>
                    </w:rPr>
                  </w:pPr>
                  <w:r>
                    <w:rPr>
                      <w:color w:val="auto"/>
                      <w:kern w:val="0"/>
                      <w:sz w:val="21"/>
                      <w:szCs w:val="21"/>
                      <w:lang w:eastAsia="zh-CN" w:bidi="ar"/>
                    </w:rPr>
                    <w:t>合计</w:t>
                  </w:r>
                </w:p>
              </w:tc>
              <w:tc>
                <w:tcPr>
                  <w:tcW w:w="566"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713E6D2">
                  <w:pPr>
                    <w:widowControl/>
                    <w:spacing w:line="240" w:lineRule="auto"/>
                    <w:ind w:firstLine="0" w:firstLineChars="0"/>
                    <w:jc w:val="center"/>
                    <w:textAlignment w:val="center"/>
                    <w:rPr>
                      <w:rFonts w:hint="default"/>
                      <w:color w:val="auto"/>
                      <w:kern w:val="0"/>
                      <w:sz w:val="21"/>
                      <w:szCs w:val="21"/>
                      <w:lang w:val="en-US" w:eastAsia="zh-CN" w:bidi="ar"/>
                    </w:rPr>
                  </w:pPr>
                  <w:r>
                    <w:rPr>
                      <w:rFonts w:hint="eastAsia"/>
                      <w:color w:val="auto"/>
                      <w:kern w:val="0"/>
                      <w:sz w:val="21"/>
                      <w:szCs w:val="21"/>
                      <w:lang w:val="en-US" w:eastAsia="zh-CN" w:bidi="ar"/>
                    </w:rPr>
                    <w:t>189.5</w:t>
                  </w:r>
                </w:p>
              </w:tc>
              <w:tc>
                <w:tcPr>
                  <w:tcW w:w="522"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0B66FDE6">
                  <w:pPr>
                    <w:widowControl/>
                    <w:spacing w:line="240" w:lineRule="auto"/>
                    <w:ind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37.9</w:t>
                  </w:r>
                </w:p>
              </w:tc>
              <w:tc>
                <w:tcPr>
                  <w:tcW w:w="626" w:type="pct"/>
                  <w:tcBorders>
                    <w:top w:val="single" w:color="000000" w:sz="4" w:space="0"/>
                    <w:left w:val="single" w:color="000000" w:sz="4" w:space="0"/>
                    <w:bottom w:val="single" w:color="000000" w:sz="4" w:space="0"/>
                    <w:right w:val="single" w:color="000000" w:sz="4" w:space="0"/>
                  </w:tcBorders>
                  <w:vAlign w:val="center"/>
                </w:tcPr>
                <w:p w14:paraId="31CD50FE">
                  <w:pPr>
                    <w:widowControl/>
                    <w:spacing w:line="240" w:lineRule="auto"/>
                    <w:ind w:firstLine="0" w:firstLineChars="0"/>
                    <w:jc w:val="center"/>
                    <w:textAlignment w:val="center"/>
                    <w:rPr>
                      <w:color w:val="auto"/>
                      <w:sz w:val="21"/>
                      <w:szCs w:val="21"/>
                      <w:lang w:eastAsia="zh-CN"/>
                    </w:rPr>
                  </w:pPr>
                  <w:r>
                    <w:rPr>
                      <w:rFonts w:hint="eastAsia"/>
                      <w:color w:val="auto"/>
                      <w:sz w:val="21"/>
                      <w:szCs w:val="21"/>
                      <w:lang w:val="en-US" w:eastAsia="zh-CN"/>
                    </w:rPr>
                    <w:t>/</w:t>
                  </w:r>
                </w:p>
              </w:tc>
              <w:tc>
                <w:tcPr>
                  <w:tcW w:w="533"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0EA0C355">
                  <w:pPr>
                    <w:widowControl/>
                    <w:spacing w:line="240" w:lineRule="auto"/>
                    <w:ind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151.6</w:t>
                  </w:r>
                </w:p>
              </w:tc>
              <w:tc>
                <w:tcPr>
                  <w:tcW w:w="1768" w:type="pct"/>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17040646">
                  <w:pPr>
                    <w:widowControl/>
                    <w:spacing w:line="240" w:lineRule="auto"/>
                    <w:ind w:firstLine="0" w:firstLineChars="0"/>
                    <w:jc w:val="center"/>
                    <w:textAlignment w:val="center"/>
                    <w:rPr>
                      <w:color w:val="auto"/>
                      <w:sz w:val="21"/>
                      <w:szCs w:val="21"/>
                    </w:rPr>
                  </w:pPr>
                  <w:r>
                    <w:rPr>
                      <w:color w:val="auto"/>
                      <w:kern w:val="0"/>
                      <w:sz w:val="21"/>
                      <w:szCs w:val="21"/>
                      <w:lang w:eastAsia="zh-CN" w:bidi="ar"/>
                    </w:rPr>
                    <w:t>/</w:t>
                  </w:r>
                </w:p>
              </w:tc>
            </w:tr>
          </w:tbl>
          <w:p w14:paraId="0C389B6D">
            <w:pPr>
              <w:pStyle w:val="24"/>
              <w:bidi w:val="0"/>
              <w:rPr>
                <w:color w:val="auto"/>
                <w:sz w:val="24"/>
                <w:szCs w:val="24"/>
              </w:rPr>
            </w:pPr>
            <w:r>
              <w:pict>
                <v:shape id="_x0000_s1027" o:spid="_x0000_s1027" o:spt="75" type="#_x0000_t75" style="position:absolute;left:0pt;margin-left:-3.35pt;margin-top:3.35pt;height:174.65pt;width:406.15pt;mso-wrap-distance-bottom:0pt;mso-wrap-distance-top:0pt;z-index:251662336;mso-width-relative:page;mso-height-relative:page;" o:ole="t" filled="f" o:preferrelative="t" stroked="f" coordsize="21600,21600">
                  <v:path/>
                  <v:fill on="f" focussize="0,0"/>
                  <v:stroke on="f"/>
                  <v:imagedata r:id="rId17" o:title=""/>
                  <o:lock v:ext="edit" aspectratio="t"/>
                  <w10:wrap type="topAndBottom"/>
                </v:shape>
                <o:OLEObject Type="Embed" ProgID="Visio.Drawing.11" ShapeID="_x0000_s1027" DrawAspect="Content" ObjectID="_1468075725" r:id="rId16">
                  <o:LockedField>false</o:LockedField>
                </o:OLEObject>
              </w:pict>
            </w:r>
            <w:r>
              <w:rPr>
                <w:rStyle w:val="27"/>
                <w:rFonts w:hint="eastAsia"/>
                <w:b/>
                <w:color w:val="auto"/>
                <w:sz w:val="24"/>
                <w:szCs w:val="24"/>
              </w:rPr>
              <w:t>图2-1  项目水平衡图（单位：m</w:t>
            </w:r>
            <w:r>
              <w:rPr>
                <w:rStyle w:val="27"/>
                <w:rFonts w:hint="eastAsia"/>
                <w:b/>
                <w:color w:val="auto"/>
                <w:sz w:val="24"/>
                <w:szCs w:val="24"/>
                <w:vertAlign w:val="superscript"/>
              </w:rPr>
              <w:t>3</w:t>
            </w:r>
            <w:r>
              <w:rPr>
                <w:rStyle w:val="27"/>
                <w:rFonts w:hint="eastAsia"/>
                <w:b/>
                <w:color w:val="auto"/>
                <w:sz w:val="24"/>
                <w:szCs w:val="24"/>
              </w:rPr>
              <w:t>/d）</w:t>
            </w:r>
          </w:p>
          <w:p w14:paraId="7FBE75E9">
            <w:pPr>
              <w:rPr>
                <w:b/>
                <w:bCs/>
                <w:color w:val="auto"/>
                <w:kern w:val="0"/>
              </w:rPr>
            </w:pPr>
            <w:r>
              <w:rPr>
                <w:rFonts w:hint="eastAsia"/>
                <w:b/>
                <w:bCs/>
                <w:color w:val="auto"/>
                <w:kern w:val="0"/>
                <w:lang w:val="en-US" w:eastAsia="zh-CN"/>
              </w:rPr>
              <w:t>7、</w:t>
            </w:r>
            <w:r>
              <w:rPr>
                <w:b/>
                <w:bCs/>
                <w:color w:val="auto"/>
                <w:kern w:val="0"/>
              </w:rPr>
              <w:t>项目区平面布置</w:t>
            </w:r>
          </w:p>
          <w:p w14:paraId="32C14B6D">
            <w:pPr>
              <w:widowControl/>
              <w:tabs>
                <w:tab w:val="left" w:pos="867"/>
                <w:tab w:val="left" w:pos="2965"/>
                <w:tab w:val="left" w:pos="4741"/>
                <w:tab w:val="left" w:pos="5245"/>
                <w:tab w:val="left" w:pos="6864"/>
                <w:tab w:val="left" w:pos="8987"/>
              </w:tabs>
              <w:spacing w:line="600" w:lineRule="exact"/>
              <w:ind w:firstLine="424" w:firstLineChars="177"/>
              <w:jc w:val="left"/>
              <w:rPr>
                <w:rFonts w:ascii="Times New Roman" w:hAnsi="Times New Roman" w:eastAsia="宋体" w:cs="Times New Roman"/>
                <w:color w:val="auto"/>
                <w:kern w:val="0"/>
              </w:rPr>
            </w:pPr>
            <w:r>
              <w:rPr>
                <w:color w:val="auto"/>
                <w:kern w:val="0"/>
              </w:rPr>
              <w:t>项</w:t>
            </w:r>
            <w:r>
              <w:rPr>
                <w:color w:val="auto"/>
              </w:rPr>
              <w:t>目</w:t>
            </w:r>
            <w:r>
              <w:rPr>
                <w:rFonts w:hint="eastAsia"/>
                <w:color w:val="auto"/>
                <w:lang w:val="en-US" w:eastAsia="zh-CN"/>
              </w:rPr>
              <w:t>1#楼</w:t>
            </w:r>
            <w:r>
              <w:rPr>
                <w:rFonts w:hint="eastAsia" w:ascii="Times New Roman" w:hAnsi="Times New Roman" w:eastAsia="宋体" w:cs="Times New Roman"/>
                <w:color w:val="auto"/>
                <w:kern w:val="0"/>
              </w:rPr>
              <w:t>1F</w:t>
            </w:r>
            <w:r>
              <w:rPr>
                <w:rFonts w:hint="eastAsia" w:ascii="Times New Roman" w:hAnsi="Times New Roman" w:eastAsia="宋体" w:cs="Times New Roman"/>
                <w:color w:val="auto"/>
                <w:kern w:val="0"/>
                <w:lang w:val="en-US" w:eastAsia="zh-CN"/>
              </w:rPr>
              <w:t>设置</w:t>
            </w:r>
            <w:r>
              <w:rPr>
                <w:rFonts w:hint="eastAsia" w:ascii="Times New Roman" w:hAnsi="Times New Roman" w:eastAsia="宋体" w:cs="Times New Roman"/>
                <w:color w:val="auto"/>
                <w:kern w:val="0"/>
              </w:rPr>
              <w:t>办公、餐厅厨房、行政库房、实验室</w:t>
            </w:r>
            <w:r>
              <w:rPr>
                <w:rFonts w:hint="eastAsia" w:ascii="Times New Roman" w:hAnsi="Times New Roman" w:eastAsia="宋体" w:cs="Times New Roman"/>
                <w:color w:val="auto"/>
                <w:kern w:val="0"/>
                <w:lang w:eastAsia="zh-CN"/>
              </w:rPr>
              <w:t>；</w:t>
            </w:r>
            <w:r>
              <w:rPr>
                <w:rFonts w:hint="eastAsia" w:ascii="Times New Roman" w:hAnsi="Times New Roman" w:eastAsia="宋体" w:cs="Times New Roman"/>
                <w:color w:val="auto"/>
                <w:kern w:val="0"/>
              </w:rPr>
              <w:t>2F</w:t>
            </w:r>
            <w:r>
              <w:rPr>
                <w:rFonts w:hint="eastAsia" w:ascii="Times New Roman" w:hAnsi="Times New Roman" w:eastAsia="宋体" w:cs="Times New Roman"/>
                <w:color w:val="auto"/>
                <w:kern w:val="0"/>
                <w:lang w:val="en-US" w:eastAsia="zh-CN"/>
              </w:rPr>
              <w:t>设置</w:t>
            </w:r>
            <w:r>
              <w:rPr>
                <w:rFonts w:hint="eastAsia" w:ascii="Times New Roman" w:hAnsi="Times New Roman" w:eastAsia="宋体" w:cs="Times New Roman"/>
                <w:color w:val="auto"/>
                <w:kern w:val="0"/>
              </w:rPr>
              <w:t>办公</w:t>
            </w:r>
            <w:r>
              <w:rPr>
                <w:rFonts w:hint="eastAsia" w:cs="Times New Roman"/>
                <w:color w:val="auto"/>
                <w:kern w:val="0"/>
                <w:lang w:val="en-US" w:eastAsia="zh-CN"/>
              </w:rPr>
              <w:t>区</w:t>
            </w:r>
            <w:r>
              <w:rPr>
                <w:rFonts w:hint="eastAsia" w:ascii="Times New Roman" w:hAnsi="Times New Roman" w:eastAsia="宋体" w:cs="Times New Roman"/>
                <w:color w:val="auto"/>
                <w:kern w:val="0"/>
              </w:rPr>
              <w:t>、实验室、洽谈室</w:t>
            </w:r>
            <w:r>
              <w:rPr>
                <w:rFonts w:hint="eastAsia" w:ascii="Times New Roman" w:hAnsi="Times New Roman" w:eastAsia="宋体" w:cs="Times New Roman"/>
                <w:color w:val="auto"/>
                <w:kern w:val="0"/>
                <w:lang w:eastAsia="zh-CN"/>
              </w:rPr>
              <w:t>；</w:t>
            </w:r>
            <w:r>
              <w:rPr>
                <w:rFonts w:hint="eastAsia" w:ascii="Times New Roman" w:hAnsi="Times New Roman" w:eastAsia="宋体" w:cs="Times New Roman"/>
                <w:color w:val="auto"/>
                <w:kern w:val="0"/>
              </w:rPr>
              <w:t>3F</w:t>
            </w:r>
            <w:r>
              <w:rPr>
                <w:rFonts w:hint="eastAsia" w:ascii="Times New Roman" w:hAnsi="Times New Roman" w:eastAsia="宋体" w:cs="Times New Roman"/>
                <w:color w:val="auto"/>
                <w:kern w:val="0"/>
                <w:lang w:val="en-US" w:eastAsia="zh-CN"/>
              </w:rPr>
              <w:t>设置</w:t>
            </w:r>
            <w:r>
              <w:rPr>
                <w:rFonts w:hint="eastAsia" w:ascii="Times New Roman" w:hAnsi="Times New Roman" w:eastAsia="宋体" w:cs="Times New Roman"/>
                <w:color w:val="auto"/>
                <w:kern w:val="0"/>
              </w:rPr>
              <w:t>健身娱乐、会</w:t>
            </w:r>
            <w:r>
              <w:rPr>
                <w:rFonts w:hint="eastAsia" w:cs="Times New Roman"/>
                <w:color w:val="auto"/>
                <w:kern w:val="0"/>
                <w:lang w:eastAsia="zh-CN"/>
              </w:rPr>
              <w:t>议室</w:t>
            </w:r>
            <w:r>
              <w:rPr>
                <w:rFonts w:hint="eastAsia" w:ascii="Times New Roman" w:hAnsi="Times New Roman" w:eastAsia="宋体" w:cs="Times New Roman"/>
                <w:color w:val="auto"/>
                <w:kern w:val="0"/>
                <w:lang w:eastAsia="zh-CN"/>
              </w:rPr>
              <w:t>；</w:t>
            </w:r>
            <w:r>
              <w:rPr>
                <w:rFonts w:hint="eastAsia" w:ascii="Times New Roman" w:hAnsi="Times New Roman" w:eastAsia="宋体" w:cs="Times New Roman"/>
                <w:color w:val="auto"/>
                <w:kern w:val="0"/>
              </w:rPr>
              <w:t>4~13F</w:t>
            </w:r>
            <w:r>
              <w:rPr>
                <w:rFonts w:hint="eastAsia" w:ascii="Times New Roman" w:hAnsi="Times New Roman" w:eastAsia="宋体" w:cs="Times New Roman"/>
                <w:color w:val="auto"/>
                <w:kern w:val="0"/>
                <w:lang w:val="en-US" w:eastAsia="zh-CN"/>
              </w:rPr>
              <w:t>设置</w:t>
            </w:r>
            <w:r>
              <w:rPr>
                <w:rFonts w:hint="eastAsia" w:ascii="Times New Roman" w:hAnsi="Times New Roman" w:eastAsia="宋体" w:cs="Times New Roman"/>
                <w:color w:val="auto"/>
                <w:kern w:val="0"/>
              </w:rPr>
              <w:t>办公</w:t>
            </w:r>
            <w:r>
              <w:rPr>
                <w:rFonts w:hint="eastAsia" w:cs="Times New Roman"/>
                <w:color w:val="auto"/>
                <w:kern w:val="0"/>
                <w:lang w:val="en-US" w:eastAsia="zh-CN"/>
              </w:rPr>
              <w:t>区</w:t>
            </w:r>
            <w:r>
              <w:rPr>
                <w:rFonts w:hint="eastAsia" w:ascii="Times New Roman" w:hAnsi="Times New Roman" w:eastAsia="宋体" w:cs="Times New Roman"/>
                <w:color w:val="auto"/>
                <w:kern w:val="0"/>
              </w:rPr>
              <w:t>、实验室</w:t>
            </w:r>
            <w:r>
              <w:rPr>
                <w:rFonts w:hint="eastAsia" w:ascii="Times New Roman" w:hAnsi="Times New Roman" w:eastAsia="宋体" w:cs="Times New Roman"/>
                <w:color w:val="auto"/>
                <w:kern w:val="0"/>
                <w:lang w:eastAsia="zh-CN"/>
              </w:rPr>
              <w:t>。</w:t>
            </w:r>
            <w:r>
              <w:rPr>
                <w:rFonts w:hint="eastAsia" w:ascii="Times New Roman" w:hAnsi="Times New Roman" w:eastAsia="宋体" w:cs="Times New Roman"/>
                <w:color w:val="auto"/>
                <w:kern w:val="0"/>
              </w:rPr>
              <w:t>2#楼1F</w:t>
            </w:r>
            <w:r>
              <w:rPr>
                <w:rFonts w:hint="eastAsia" w:ascii="Times New Roman" w:hAnsi="Times New Roman" w:eastAsia="宋体" w:cs="Times New Roman"/>
                <w:color w:val="auto"/>
                <w:kern w:val="0"/>
                <w:lang w:val="en-US" w:eastAsia="zh-CN"/>
              </w:rPr>
              <w:t>设置</w:t>
            </w:r>
            <w:r>
              <w:rPr>
                <w:rFonts w:hint="eastAsia" w:ascii="Times New Roman" w:hAnsi="Times New Roman" w:eastAsia="宋体" w:cs="Times New Roman"/>
                <w:color w:val="auto"/>
                <w:kern w:val="0"/>
              </w:rPr>
              <w:t>实验室、电动自行车停车库</w:t>
            </w:r>
            <w:r>
              <w:rPr>
                <w:rFonts w:hint="eastAsia" w:ascii="Times New Roman" w:hAnsi="Times New Roman" w:eastAsia="宋体" w:cs="Times New Roman"/>
                <w:color w:val="auto"/>
                <w:kern w:val="0"/>
                <w:lang w:eastAsia="zh-CN"/>
              </w:rPr>
              <w:t>，</w:t>
            </w:r>
            <w:r>
              <w:rPr>
                <w:rFonts w:hint="eastAsia" w:ascii="Times New Roman" w:hAnsi="Times New Roman" w:eastAsia="宋体" w:cs="Times New Roman"/>
                <w:color w:val="auto"/>
                <w:kern w:val="0"/>
              </w:rPr>
              <w:t>2F</w:t>
            </w:r>
            <w:r>
              <w:rPr>
                <w:rFonts w:hint="eastAsia" w:ascii="Times New Roman" w:hAnsi="Times New Roman" w:eastAsia="宋体" w:cs="Times New Roman"/>
                <w:color w:val="auto"/>
                <w:kern w:val="0"/>
                <w:lang w:val="en-US" w:eastAsia="zh-CN"/>
              </w:rPr>
              <w:t>设置</w:t>
            </w:r>
            <w:r>
              <w:rPr>
                <w:rFonts w:hint="eastAsia" w:ascii="Times New Roman" w:hAnsi="Times New Roman" w:eastAsia="宋体" w:cs="Times New Roman"/>
                <w:color w:val="auto"/>
                <w:kern w:val="0"/>
              </w:rPr>
              <w:t>自行车停车库</w:t>
            </w:r>
            <w:r>
              <w:rPr>
                <w:rFonts w:hint="eastAsia" w:ascii="Times New Roman" w:hAnsi="Times New Roman" w:eastAsia="宋体" w:cs="Times New Roman"/>
                <w:color w:val="auto"/>
                <w:kern w:val="0"/>
                <w:lang w:eastAsia="zh-CN"/>
              </w:rPr>
              <w:t>，</w:t>
            </w:r>
            <w:r>
              <w:rPr>
                <w:rFonts w:hint="eastAsia" w:ascii="Times New Roman" w:hAnsi="Times New Roman" w:eastAsia="宋体" w:cs="Times New Roman"/>
                <w:color w:val="auto"/>
                <w:kern w:val="0"/>
              </w:rPr>
              <w:t>2~6F</w:t>
            </w:r>
            <w:r>
              <w:rPr>
                <w:rFonts w:hint="eastAsia" w:ascii="Times New Roman" w:hAnsi="Times New Roman" w:eastAsia="宋体" w:cs="Times New Roman"/>
                <w:color w:val="auto"/>
                <w:kern w:val="0"/>
                <w:lang w:val="en-US" w:eastAsia="zh-CN"/>
              </w:rPr>
              <w:t>均为</w:t>
            </w:r>
            <w:r>
              <w:rPr>
                <w:rFonts w:hint="eastAsia" w:ascii="Times New Roman" w:hAnsi="Times New Roman" w:eastAsia="宋体" w:cs="Times New Roman"/>
                <w:color w:val="auto"/>
                <w:kern w:val="0"/>
              </w:rPr>
              <w:t>机动车停车库</w:t>
            </w:r>
            <w:r>
              <w:rPr>
                <w:rFonts w:hint="eastAsia" w:ascii="Times New Roman" w:hAnsi="Times New Roman" w:eastAsia="宋体" w:cs="Times New Roman"/>
                <w:color w:val="auto"/>
                <w:kern w:val="0"/>
                <w:lang w:eastAsia="zh-CN"/>
              </w:rPr>
              <w:t>。</w:t>
            </w:r>
            <w:r>
              <w:rPr>
                <w:rFonts w:hint="eastAsia" w:ascii="Times New Roman" w:hAnsi="Times New Roman" w:eastAsia="宋体" w:cs="Times New Roman"/>
                <w:color w:val="auto"/>
                <w:kern w:val="0"/>
              </w:rPr>
              <w:t>3#</w:t>
            </w:r>
            <w:r>
              <w:rPr>
                <w:rFonts w:hint="eastAsia" w:ascii="Times New Roman" w:hAnsi="Times New Roman" w:eastAsia="宋体" w:cs="Times New Roman"/>
                <w:color w:val="auto"/>
                <w:kern w:val="0"/>
                <w:lang w:eastAsia="zh-CN"/>
              </w:rPr>
              <w:t>、</w:t>
            </w:r>
            <w:r>
              <w:rPr>
                <w:rFonts w:hint="eastAsia" w:ascii="Times New Roman" w:hAnsi="Times New Roman" w:eastAsia="宋体" w:cs="Times New Roman"/>
                <w:color w:val="auto"/>
                <w:kern w:val="0"/>
              </w:rPr>
              <w:t>4#楼</w:t>
            </w:r>
            <w:r>
              <w:rPr>
                <w:rFonts w:hint="eastAsia" w:ascii="Times New Roman" w:hAnsi="Times New Roman" w:eastAsia="宋体" w:cs="Times New Roman"/>
                <w:color w:val="auto"/>
                <w:kern w:val="0"/>
                <w:lang w:val="en-US" w:eastAsia="zh-CN"/>
              </w:rPr>
              <w:t>均为</w:t>
            </w:r>
            <w:r>
              <w:rPr>
                <w:rFonts w:hint="eastAsia" w:ascii="Times New Roman" w:hAnsi="Times New Roman" w:eastAsia="宋体" w:cs="Times New Roman"/>
                <w:color w:val="auto"/>
                <w:kern w:val="0"/>
              </w:rPr>
              <w:t>门卫室</w:t>
            </w:r>
            <w:r>
              <w:rPr>
                <w:rFonts w:hint="eastAsia" w:ascii="Times New Roman" w:hAnsi="Times New Roman" w:eastAsia="宋体" w:cs="Times New Roman"/>
                <w:color w:val="auto"/>
                <w:kern w:val="0"/>
                <w:lang w:eastAsia="zh-CN"/>
              </w:rPr>
              <w:t>。</w:t>
            </w:r>
          </w:p>
          <w:p w14:paraId="486AFB9D">
            <w:pPr>
              <w:widowControl/>
              <w:tabs>
                <w:tab w:val="left" w:pos="867"/>
                <w:tab w:val="left" w:pos="2965"/>
                <w:tab w:val="left" w:pos="4741"/>
                <w:tab w:val="left" w:pos="5245"/>
                <w:tab w:val="left" w:pos="6864"/>
                <w:tab w:val="left" w:pos="8987"/>
              </w:tabs>
              <w:spacing w:line="600" w:lineRule="exact"/>
              <w:ind w:firstLine="424" w:firstLineChars="177"/>
              <w:jc w:val="left"/>
              <w:rPr>
                <w:color w:val="auto"/>
              </w:rPr>
            </w:pPr>
            <w:r>
              <w:rPr>
                <w:rFonts w:ascii="Times New Roman" w:hAnsi="Times New Roman" w:eastAsia="宋体" w:cs="Times New Roman"/>
                <w:color w:val="auto"/>
                <w:kern w:val="0"/>
              </w:rPr>
              <w:t>综上，项目总图布置功能区清楚，各功能区衔接适当，物流顺畅。因此，项目区平面布置基本合理，</w:t>
            </w:r>
            <w:r>
              <w:rPr>
                <w:rFonts w:hint="eastAsia" w:ascii="Times New Roman" w:hAnsi="Times New Roman" w:eastAsia="宋体" w:cs="Times New Roman"/>
                <w:color w:val="auto"/>
                <w:kern w:val="0"/>
                <w:lang w:eastAsia="zh-CN"/>
              </w:rPr>
              <w:t>详</w:t>
            </w:r>
            <w:r>
              <w:rPr>
                <w:rFonts w:ascii="Times New Roman" w:hAnsi="Times New Roman" w:eastAsia="宋体" w:cs="Times New Roman"/>
                <w:color w:val="auto"/>
                <w:kern w:val="0"/>
              </w:rPr>
              <w:t>见</w:t>
            </w:r>
            <w:r>
              <w:rPr>
                <w:rFonts w:hint="eastAsia" w:ascii="Times New Roman" w:hAnsi="Times New Roman" w:eastAsia="宋体" w:cs="Times New Roman"/>
                <w:color w:val="auto"/>
                <w:kern w:val="0"/>
                <w:lang w:val="en-US" w:eastAsia="zh-CN"/>
              </w:rPr>
              <w:t>附图3</w:t>
            </w:r>
            <w:r>
              <w:rPr>
                <w:rFonts w:ascii="Times New Roman" w:hAnsi="Times New Roman" w:eastAsia="宋体" w:cs="Times New Roman"/>
                <w:color w:val="auto"/>
                <w:kern w:val="0"/>
              </w:rPr>
              <w:t>。</w:t>
            </w:r>
          </w:p>
        </w:tc>
      </w:tr>
      <w:tr w14:paraId="565D23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9" w:hRule="atLeast"/>
          <w:jc w:val="center"/>
        </w:trPr>
        <w:tc>
          <w:tcPr>
            <w:tcW w:w="410" w:type="pct"/>
            <w:noWrap w:val="0"/>
            <w:vAlign w:val="center"/>
          </w:tcPr>
          <w:p w14:paraId="02F74BA7">
            <w:pPr>
              <w:pStyle w:val="14"/>
              <w:spacing w:before="0" w:beforeAutospacing="0" w:after="0" w:afterAutospacing="0" w:line="360" w:lineRule="atLeast"/>
              <w:ind w:firstLine="0" w:firstLineChars="0"/>
              <w:jc w:val="center"/>
              <w:rPr>
                <w:color w:val="auto"/>
              </w:rPr>
            </w:pPr>
            <w:r>
              <w:rPr>
                <w:color w:val="auto"/>
              </w:rPr>
              <w:t>工艺流程和产排污环节</w:t>
            </w:r>
          </w:p>
        </w:tc>
        <w:tc>
          <w:tcPr>
            <w:tcW w:w="4589" w:type="pct"/>
            <w:noWrap w:val="0"/>
            <w:vAlign w:val="top"/>
          </w:tcPr>
          <w:p w14:paraId="102E2DBD">
            <w:pPr>
              <w:bidi w:val="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1</w:t>
            </w:r>
            <w:r>
              <w:rPr>
                <w:rFonts w:hint="default" w:ascii="Times New Roman" w:hAnsi="Times New Roman" w:cs="Times New Roman"/>
                <w:b/>
                <w:bCs/>
                <w:color w:val="auto"/>
              </w:rPr>
              <w:t>、施工期工艺流程</w:t>
            </w:r>
            <w:r>
              <w:rPr>
                <w:rFonts w:hint="default" w:ascii="Times New Roman" w:hAnsi="Times New Roman" w:cs="Times New Roman"/>
                <w:b/>
                <w:bCs/>
                <w:color w:val="auto"/>
                <w:lang w:val="en-US" w:eastAsia="zh-CN"/>
              </w:rPr>
              <w:t>及产污环节</w:t>
            </w:r>
          </w:p>
          <w:p w14:paraId="4DD926E2">
            <w:pPr>
              <w:widowControl/>
              <w:numPr>
                <w:ilvl w:val="0"/>
                <w:numId w:val="0"/>
              </w:numPr>
              <w:tabs>
                <w:tab w:val="left" w:pos="867"/>
                <w:tab w:val="left" w:pos="2965"/>
                <w:tab w:val="left" w:pos="4741"/>
                <w:tab w:val="left" w:pos="5245"/>
                <w:tab w:val="left" w:pos="6864"/>
                <w:tab w:val="left" w:pos="8987"/>
              </w:tabs>
              <w:spacing w:line="600" w:lineRule="exact"/>
              <w:ind w:firstLine="480" w:firstLineChars="200"/>
              <w:jc w:val="left"/>
              <w:rPr>
                <w:rFonts w:eastAsia="MS Mincho"/>
                <w:color w:val="auto"/>
              </w:rPr>
            </w:pPr>
            <w:r>
              <w:rPr>
                <w:rFonts w:hint="eastAsia"/>
                <w:color w:val="auto"/>
                <w:lang w:eastAsia="zh-CN"/>
              </w:rPr>
              <w:t>本项目为新建</w:t>
            </w:r>
            <w:r>
              <w:rPr>
                <w:color w:val="auto"/>
                <w:lang w:eastAsia="zh-CN"/>
              </w:rPr>
              <w:t>项目</w:t>
            </w:r>
            <w:r>
              <w:rPr>
                <w:rFonts w:hint="eastAsia"/>
                <w:color w:val="auto"/>
                <w:lang w:eastAsia="zh-CN"/>
              </w:rPr>
              <w:t>，</w:t>
            </w:r>
            <w:r>
              <w:rPr>
                <w:color w:val="auto"/>
                <w:lang w:eastAsia="zh-CN"/>
              </w:rPr>
              <w:t>总占地</w:t>
            </w:r>
            <w:r>
              <w:rPr>
                <w:rFonts w:hint="eastAsia"/>
                <w:color w:val="auto"/>
                <w:lang w:eastAsia="zh-CN"/>
              </w:rPr>
              <w:t>面积</w:t>
            </w:r>
            <w:r>
              <w:rPr>
                <w:color w:val="auto"/>
                <w:lang w:eastAsia="zh-CN"/>
              </w:rPr>
              <w:t>约</w:t>
            </w:r>
            <w:r>
              <w:rPr>
                <w:rFonts w:hint="eastAsia"/>
                <w:color w:val="auto"/>
                <w:lang w:val="en-US" w:eastAsia="zh-CN"/>
              </w:rPr>
              <w:t>31</w:t>
            </w:r>
            <w:r>
              <w:rPr>
                <w:color w:val="auto"/>
                <w:lang w:eastAsia="zh-CN"/>
              </w:rPr>
              <w:t>亩，</w:t>
            </w:r>
            <w:r>
              <w:rPr>
                <w:rFonts w:hint="default" w:ascii="Times New Roman" w:hAnsi="Times New Roman" w:cs="Times New Roman"/>
                <w:color w:val="auto"/>
                <w:lang w:eastAsia="zh-CN"/>
              </w:rPr>
              <w:t>总建筑面积</w:t>
            </w:r>
            <w:r>
              <w:rPr>
                <w:rFonts w:hint="eastAsia" w:cs="Times New Roman"/>
                <w:color w:val="auto"/>
                <w:kern w:val="0"/>
                <w:szCs w:val="28"/>
                <w:lang w:val="en-US" w:eastAsia="zh-CN"/>
              </w:rPr>
              <w:t>67695</w:t>
            </w:r>
            <w:r>
              <w:rPr>
                <w:rFonts w:hint="default" w:ascii="Times New Roman" w:hAnsi="Times New Roman" w:cs="Times New Roman"/>
                <w:color w:val="auto"/>
                <w:lang w:eastAsia="zh-CN"/>
              </w:rPr>
              <w:t>m</w:t>
            </w:r>
            <w:r>
              <w:rPr>
                <w:rFonts w:hint="default" w:ascii="Times New Roman" w:hAnsi="Times New Roman" w:cs="Times New Roman"/>
                <w:color w:val="auto"/>
                <w:vertAlign w:val="superscript"/>
                <w:lang w:eastAsia="zh-CN"/>
              </w:rPr>
              <w:t>2</w:t>
            </w:r>
            <w:r>
              <w:rPr>
                <w:rFonts w:hint="default" w:ascii="Times New Roman" w:hAnsi="Times New Roman" w:cs="Times New Roman"/>
                <w:color w:val="auto"/>
                <w:lang w:eastAsia="zh-CN"/>
              </w:rPr>
              <w:t>，</w:t>
            </w:r>
            <w:r>
              <w:rPr>
                <w:rFonts w:hint="default" w:ascii="Times New Roman" w:hAnsi="Times New Roman" w:cs="Times New Roman"/>
                <w:color w:val="auto"/>
                <w:kern w:val="0"/>
                <w:szCs w:val="28"/>
              </w:rPr>
              <w:t>1层地下室15</w:t>
            </w:r>
            <w:r>
              <w:rPr>
                <w:rFonts w:hint="eastAsia" w:cs="Times New Roman"/>
                <w:color w:val="auto"/>
                <w:kern w:val="0"/>
                <w:szCs w:val="28"/>
                <w:lang w:val="en-US" w:eastAsia="zh-CN"/>
              </w:rPr>
              <w:t>255.71</w:t>
            </w:r>
            <w:r>
              <w:rPr>
                <w:rFonts w:hint="default" w:ascii="Times New Roman" w:hAnsi="Times New Roman" w:cs="Times New Roman"/>
                <w:color w:val="auto"/>
                <w:kern w:val="0"/>
                <w:szCs w:val="28"/>
              </w:rPr>
              <w:t>平方米，综合楼1栋34</w:t>
            </w:r>
            <w:r>
              <w:rPr>
                <w:rFonts w:hint="eastAsia" w:cs="Times New Roman"/>
                <w:color w:val="auto"/>
                <w:kern w:val="0"/>
                <w:szCs w:val="28"/>
                <w:lang w:val="en-US" w:eastAsia="zh-CN"/>
              </w:rPr>
              <w:t>272.91</w:t>
            </w:r>
            <w:r>
              <w:rPr>
                <w:rFonts w:hint="default" w:ascii="Times New Roman" w:hAnsi="Times New Roman" w:cs="Times New Roman"/>
                <w:color w:val="auto"/>
                <w:kern w:val="0"/>
                <w:szCs w:val="28"/>
              </w:rPr>
              <w:t>平方米，停车楼1栋</w:t>
            </w:r>
            <w:r>
              <w:rPr>
                <w:rFonts w:hint="eastAsia" w:cs="Times New Roman"/>
                <w:color w:val="auto"/>
                <w:kern w:val="0"/>
                <w:szCs w:val="28"/>
                <w:lang w:val="en-US" w:eastAsia="zh-CN"/>
              </w:rPr>
              <w:t>18038.51</w:t>
            </w:r>
            <w:r>
              <w:rPr>
                <w:rFonts w:hint="default" w:ascii="Times New Roman" w:hAnsi="Times New Roman" w:cs="Times New Roman"/>
                <w:color w:val="auto"/>
                <w:kern w:val="0"/>
                <w:szCs w:val="28"/>
              </w:rPr>
              <w:t>平方米</w:t>
            </w:r>
            <w:r>
              <w:rPr>
                <w:rFonts w:hint="default" w:ascii="Times New Roman" w:hAnsi="Times New Roman" w:cs="Times New Roman"/>
                <w:color w:val="auto"/>
                <w:lang w:eastAsia="zh-CN"/>
              </w:rPr>
              <w:t>。</w:t>
            </w:r>
            <w:r>
              <w:rPr>
                <w:rFonts w:hint="eastAsia"/>
                <w:color w:val="auto"/>
                <w:lang w:eastAsia="zh-CN"/>
              </w:rPr>
              <w:t>施工期</w:t>
            </w:r>
            <w:r>
              <w:rPr>
                <w:color w:val="auto"/>
                <w:lang w:eastAsia="zh-CN"/>
              </w:rPr>
              <w:t>建设内容包括</w:t>
            </w:r>
            <w:r>
              <w:rPr>
                <w:rFonts w:hint="eastAsia"/>
                <w:color w:val="auto"/>
                <w:lang w:val="en-US" w:eastAsia="zh-CN"/>
              </w:rPr>
              <w:t>1#综合楼</w:t>
            </w:r>
            <w:r>
              <w:rPr>
                <w:color w:val="auto"/>
                <w:lang w:eastAsia="zh-CN"/>
              </w:rPr>
              <w:t>、</w:t>
            </w:r>
            <w:r>
              <w:rPr>
                <w:rFonts w:hint="eastAsia"/>
                <w:color w:val="auto"/>
                <w:lang w:val="en-US" w:eastAsia="zh-CN"/>
              </w:rPr>
              <w:t>2#停车楼、3#主门楼、4#次门楼、</w:t>
            </w:r>
            <w:r>
              <w:rPr>
                <w:color w:val="auto"/>
                <w:lang w:eastAsia="zh-CN"/>
              </w:rPr>
              <w:t>地下工程及室外配套工程等。</w:t>
            </w:r>
          </w:p>
          <w:p w14:paraId="1374C147">
            <w:pPr>
              <w:spacing w:line="353" w:lineRule="auto"/>
              <w:ind w:firstLine="482"/>
              <w:rPr>
                <w:color w:val="auto"/>
                <w:highlight w:val="none"/>
              </w:rPr>
            </w:pPr>
            <w:r>
              <w:rPr>
                <w:color w:val="auto"/>
                <w:highlight w:val="none"/>
              </w:rPr>
              <w:object>
                <v:shape id="_x0000_i1025" o:spt="75" type="#_x0000_t75" style="height:138.25pt;width:360.1pt;" o:ole="t" filled="f" o:preferrelative="t" stroked="f" coordsize="21600,21600">
                  <v:path/>
                  <v:fill on="f" focussize="0,0"/>
                  <v:stroke on="f"/>
                  <v:imagedata r:id="rId19" o:title=""/>
                  <o:lock v:ext="edit" aspectratio="f"/>
                  <w10:wrap type="none"/>
                  <w10:anchorlock/>
                </v:shape>
                <o:OLEObject Type="Embed" ProgID="Visio.Drawing.11" ShapeID="_x0000_i1025" DrawAspect="Content" ObjectID="_1468075726" r:id="rId18">
                  <o:LockedField>false</o:LockedField>
                </o:OLEObject>
              </w:object>
            </w:r>
          </w:p>
          <w:p w14:paraId="72B9D993">
            <w:pPr>
              <w:spacing w:line="353" w:lineRule="auto"/>
              <w:ind w:firstLine="482"/>
              <w:jc w:val="center"/>
              <w:rPr>
                <w:b/>
                <w:color w:val="auto"/>
                <w:szCs w:val="21"/>
                <w:highlight w:val="none"/>
              </w:rPr>
            </w:pPr>
            <w:r>
              <w:rPr>
                <w:rFonts w:hint="eastAsia"/>
                <w:b/>
                <w:color w:val="auto"/>
                <w:szCs w:val="21"/>
                <w:highlight w:val="none"/>
              </w:rPr>
              <w:t>图</w:t>
            </w:r>
            <w:r>
              <w:rPr>
                <w:rFonts w:hint="eastAsia"/>
                <w:b/>
                <w:color w:val="auto"/>
                <w:szCs w:val="21"/>
                <w:highlight w:val="none"/>
                <w:lang w:val="en-US" w:eastAsia="zh-CN"/>
              </w:rPr>
              <w:t>2-</w:t>
            </w:r>
            <w:r>
              <w:rPr>
                <w:rFonts w:hint="eastAsia"/>
                <w:b/>
                <w:color w:val="auto"/>
                <w:szCs w:val="21"/>
                <w:highlight w:val="none"/>
              </w:rPr>
              <w:t>2  项目施工期主要流程及产污环节</w:t>
            </w:r>
          </w:p>
          <w:p w14:paraId="44BF1992">
            <w:pPr>
              <w:spacing w:line="353" w:lineRule="auto"/>
              <w:ind w:firstLine="482"/>
              <w:rPr>
                <w:b/>
                <w:color w:val="auto"/>
                <w:sz w:val="24"/>
                <w:highlight w:val="none"/>
              </w:rPr>
            </w:pPr>
            <w:r>
              <w:rPr>
                <w:rFonts w:hint="eastAsia"/>
                <w:b/>
                <w:color w:val="auto"/>
                <w:sz w:val="24"/>
                <w:highlight w:val="none"/>
              </w:rPr>
              <w:t>项目施工期工艺流程简述：</w:t>
            </w:r>
          </w:p>
          <w:p w14:paraId="00CC0EEC">
            <w:pPr>
              <w:spacing w:line="353" w:lineRule="auto"/>
              <w:ind w:firstLine="482"/>
              <w:rPr>
                <w:color w:val="auto"/>
                <w:sz w:val="24"/>
                <w:highlight w:val="none"/>
              </w:rPr>
            </w:pPr>
            <w:r>
              <w:rPr>
                <w:rFonts w:hint="eastAsia"/>
                <w:color w:val="auto"/>
                <w:sz w:val="24"/>
                <w:highlight w:val="none"/>
              </w:rPr>
              <w:t>①</w:t>
            </w:r>
            <w:r>
              <w:rPr>
                <w:color w:val="auto"/>
                <w:sz w:val="24"/>
                <w:highlight w:val="none"/>
              </w:rPr>
              <w:t>基础</w:t>
            </w:r>
            <w:r>
              <w:rPr>
                <w:rFonts w:hint="eastAsia"/>
                <w:color w:val="auto"/>
                <w:sz w:val="24"/>
                <w:highlight w:val="none"/>
              </w:rPr>
              <w:t>工程</w:t>
            </w:r>
            <w:r>
              <w:rPr>
                <w:color w:val="auto"/>
                <w:sz w:val="24"/>
                <w:highlight w:val="none"/>
              </w:rPr>
              <w:t>施工阶段</w:t>
            </w:r>
          </w:p>
          <w:p w14:paraId="0679B73A">
            <w:pPr>
              <w:spacing w:line="353" w:lineRule="auto"/>
              <w:ind w:firstLine="482"/>
              <w:rPr>
                <w:color w:val="auto"/>
                <w:sz w:val="24"/>
                <w:highlight w:val="none"/>
              </w:rPr>
            </w:pPr>
            <w:r>
              <w:rPr>
                <w:rFonts w:hint="eastAsia"/>
                <w:color w:val="auto"/>
                <w:sz w:val="24"/>
                <w:highlight w:val="none"/>
              </w:rPr>
              <w:t>场区</w:t>
            </w:r>
            <w:r>
              <w:rPr>
                <w:color w:val="auto"/>
                <w:sz w:val="24"/>
                <w:highlight w:val="none"/>
              </w:rPr>
              <w:t>内各</w:t>
            </w:r>
            <w:r>
              <w:rPr>
                <w:rFonts w:hint="eastAsia"/>
                <w:color w:val="auto"/>
                <w:sz w:val="24"/>
                <w:highlight w:val="none"/>
              </w:rPr>
              <w:t>建筑单体基础开挖等</w:t>
            </w:r>
            <w:r>
              <w:rPr>
                <w:color w:val="auto"/>
                <w:sz w:val="24"/>
                <w:highlight w:val="none"/>
              </w:rPr>
              <w:t>施工。此过程的产生的主要污染物为扬尘</w:t>
            </w:r>
            <w:r>
              <w:rPr>
                <w:rFonts w:hint="eastAsia"/>
                <w:color w:val="auto"/>
                <w:sz w:val="24"/>
                <w:highlight w:val="none"/>
              </w:rPr>
              <w:t>、施工废水</w:t>
            </w:r>
            <w:r>
              <w:rPr>
                <w:color w:val="auto"/>
                <w:sz w:val="24"/>
                <w:highlight w:val="none"/>
              </w:rPr>
              <w:t>、噪声</w:t>
            </w:r>
            <w:r>
              <w:rPr>
                <w:rFonts w:hint="eastAsia"/>
                <w:color w:val="auto"/>
                <w:sz w:val="24"/>
                <w:highlight w:val="none"/>
              </w:rPr>
              <w:t>、弃土</w:t>
            </w:r>
            <w:r>
              <w:rPr>
                <w:color w:val="auto"/>
                <w:sz w:val="24"/>
                <w:highlight w:val="none"/>
              </w:rPr>
              <w:t>。</w:t>
            </w:r>
          </w:p>
          <w:p w14:paraId="3044DC10">
            <w:pPr>
              <w:spacing w:line="353" w:lineRule="auto"/>
              <w:ind w:firstLine="482"/>
              <w:rPr>
                <w:color w:val="auto"/>
                <w:sz w:val="24"/>
                <w:highlight w:val="none"/>
              </w:rPr>
            </w:pPr>
            <w:r>
              <w:rPr>
                <w:rFonts w:hint="eastAsia" w:ascii="宋体" w:hAnsi="宋体" w:cs="宋体"/>
                <w:color w:val="auto"/>
                <w:sz w:val="24"/>
                <w:highlight w:val="none"/>
              </w:rPr>
              <w:t>②</w:t>
            </w:r>
            <w:r>
              <w:rPr>
                <w:color w:val="auto"/>
                <w:sz w:val="24"/>
                <w:highlight w:val="none"/>
              </w:rPr>
              <w:t>主体工程建设</w:t>
            </w:r>
            <w:r>
              <w:rPr>
                <w:rFonts w:hint="eastAsia"/>
                <w:color w:val="auto"/>
                <w:sz w:val="24"/>
                <w:highlight w:val="none"/>
              </w:rPr>
              <w:t>阶段</w:t>
            </w:r>
          </w:p>
          <w:p w14:paraId="5D28BCF5">
            <w:pPr>
              <w:spacing w:line="353" w:lineRule="auto"/>
              <w:ind w:firstLine="482"/>
              <w:rPr>
                <w:color w:val="auto"/>
                <w:sz w:val="24"/>
                <w:highlight w:val="none"/>
              </w:rPr>
            </w:pPr>
            <w:r>
              <w:rPr>
                <w:color w:val="auto"/>
                <w:sz w:val="24"/>
                <w:highlight w:val="none"/>
              </w:rPr>
              <w:t>按照工程设计方案，</w:t>
            </w:r>
            <w:r>
              <w:rPr>
                <w:rFonts w:hint="eastAsia"/>
                <w:color w:val="auto"/>
                <w:sz w:val="24"/>
                <w:highlight w:val="none"/>
              </w:rPr>
              <w:t>场区</w:t>
            </w:r>
            <w:r>
              <w:rPr>
                <w:color w:val="auto"/>
                <w:sz w:val="24"/>
                <w:highlight w:val="none"/>
              </w:rPr>
              <w:t>内各</w:t>
            </w:r>
            <w:r>
              <w:rPr>
                <w:rFonts w:hint="eastAsia"/>
                <w:color w:val="auto"/>
                <w:sz w:val="24"/>
                <w:highlight w:val="none"/>
              </w:rPr>
              <w:t>建筑单体</w:t>
            </w:r>
            <w:r>
              <w:rPr>
                <w:color w:val="auto"/>
                <w:sz w:val="24"/>
                <w:highlight w:val="none"/>
              </w:rPr>
              <w:t>主体结构施工。完成各</w:t>
            </w:r>
            <w:r>
              <w:rPr>
                <w:rFonts w:hint="eastAsia"/>
                <w:color w:val="auto"/>
                <w:sz w:val="24"/>
                <w:highlight w:val="none"/>
              </w:rPr>
              <w:t>建筑单体</w:t>
            </w:r>
            <w:r>
              <w:rPr>
                <w:color w:val="auto"/>
                <w:sz w:val="24"/>
                <w:highlight w:val="none"/>
              </w:rPr>
              <w:t>的建设。此过程产生的主要污染物为扬尘</w:t>
            </w:r>
            <w:r>
              <w:rPr>
                <w:rFonts w:hint="eastAsia"/>
                <w:color w:val="auto"/>
                <w:sz w:val="24"/>
                <w:highlight w:val="none"/>
              </w:rPr>
              <w:t>、施工废水</w:t>
            </w:r>
            <w:r>
              <w:rPr>
                <w:color w:val="auto"/>
                <w:sz w:val="24"/>
                <w:highlight w:val="none"/>
              </w:rPr>
              <w:t>、噪声、</w:t>
            </w:r>
            <w:r>
              <w:rPr>
                <w:rFonts w:hint="eastAsia"/>
                <w:color w:val="auto"/>
                <w:sz w:val="24"/>
                <w:highlight w:val="none"/>
              </w:rPr>
              <w:t>建筑垃圾</w:t>
            </w:r>
            <w:r>
              <w:rPr>
                <w:color w:val="auto"/>
                <w:sz w:val="24"/>
                <w:highlight w:val="none"/>
              </w:rPr>
              <w:t>。</w:t>
            </w:r>
          </w:p>
          <w:p w14:paraId="13484FBB">
            <w:pPr>
              <w:spacing w:line="353" w:lineRule="auto"/>
              <w:ind w:firstLine="482"/>
              <w:rPr>
                <w:color w:val="auto"/>
                <w:sz w:val="24"/>
                <w:highlight w:val="none"/>
              </w:rPr>
            </w:pPr>
            <w:r>
              <w:rPr>
                <w:rFonts w:hint="eastAsia" w:ascii="宋体" w:hAnsi="宋体" w:cs="宋体"/>
                <w:color w:val="auto"/>
                <w:sz w:val="24"/>
                <w:highlight w:val="none"/>
              </w:rPr>
              <w:t>③</w:t>
            </w:r>
            <w:r>
              <w:rPr>
                <w:color w:val="auto"/>
                <w:sz w:val="24"/>
                <w:highlight w:val="none"/>
              </w:rPr>
              <w:t>装饰工程实施阶段</w:t>
            </w:r>
          </w:p>
          <w:p w14:paraId="1B9AB984">
            <w:pPr>
              <w:spacing w:line="353" w:lineRule="auto"/>
              <w:ind w:firstLine="482"/>
              <w:rPr>
                <w:color w:val="auto"/>
                <w:sz w:val="24"/>
                <w:highlight w:val="none"/>
              </w:rPr>
            </w:pPr>
            <w:r>
              <w:rPr>
                <w:rFonts w:hint="eastAsia"/>
                <w:color w:val="auto"/>
                <w:sz w:val="24"/>
                <w:highlight w:val="none"/>
              </w:rPr>
              <w:t>装饰工程包含室内外抹灰工程、饰面安装工程及水、电等安装工程</w:t>
            </w:r>
            <w:r>
              <w:rPr>
                <w:color w:val="auto"/>
                <w:sz w:val="24"/>
                <w:highlight w:val="none"/>
              </w:rPr>
              <w:t>。</w:t>
            </w:r>
            <w:r>
              <w:rPr>
                <w:rFonts w:hint="eastAsia"/>
                <w:color w:val="auto"/>
                <w:sz w:val="24"/>
                <w:highlight w:val="none"/>
              </w:rPr>
              <w:t>此过程产生的主要污染物为装修废气、废包装材料。</w:t>
            </w:r>
          </w:p>
          <w:p w14:paraId="2C949C2B">
            <w:pPr>
              <w:spacing w:line="353" w:lineRule="auto"/>
              <w:ind w:firstLine="482"/>
              <w:rPr>
                <w:color w:val="auto"/>
                <w:sz w:val="24"/>
                <w:highlight w:val="none"/>
              </w:rPr>
            </w:pPr>
            <w:r>
              <w:rPr>
                <w:rFonts w:hint="eastAsia" w:ascii="宋体" w:hAnsi="宋体" w:cs="宋体"/>
                <w:color w:val="auto"/>
                <w:sz w:val="24"/>
                <w:highlight w:val="none"/>
              </w:rPr>
              <w:t>④</w:t>
            </w:r>
            <w:r>
              <w:rPr>
                <w:color w:val="auto"/>
                <w:sz w:val="24"/>
                <w:highlight w:val="none"/>
              </w:rPr>
              <w:t>设备安装阶段</w:t>
            </w:r>
          </w:p>
          <w:p w14:paraId="641A422B">
            <w:pPr>
              <w:spacing w:line="353" w:lineRule="auto"/>
              <w:ind w:firstLine="482"/>
              <w:rPr>
                <w:color w:val="auto"/>
                <w:sz w:val="24"/>
                <w:highlight w:val="none"/>
              </w:rPr>
            </w:pPr>
            <w:r>
              <w:rPr>
                <w:color w:val="auto"/>
                <w:sz w:val="24"/>
                <w:highlight w:val="none"/>
              </w:rPr>
              <w:t>根据</w:t>
            </w:r>
            <w:r>
              <w:rPr>
                <w:rFonts w:hint="eastAsia"/>
                <w:color w:val="auto"/>
                <w:sz w:val="24"/>
                <w:highlight w:val="none"/>
              </w:rPr>
              <w:t>项目运营需求</w:t>
            </w:r>
            <w:r>
              <w:rPr>
                <w:color w:val="auto"/>
                <w:sz w:val="24"/>
                <w:highlight w:val="none"/>
              </w:rPr>
              <w:t>，采购相应设备，进行设备安装。</w:t>
            </w:r>
          </w:p>
          <w:p w14:paraId="3710DFAD">
            <w:pPr>
              <w:spacing w:line="353" w:lineRule="auto"/>
              <w:ind w:firstLine="482"/>
              <w:rPr>
                <w:color w:val="auto"/>
                <w:sz w:val="24"/>
                <w:highlight w:val="none"/>
              </w:rPr>
            </w:pPr>
            <w:r>
              <w:rPr>
                <w:rFonts w:hint="eastAsia" w:ascii="宋体" w:hAnsi="宋体" w:cs="宋体"/>
                <w:color w:val="auto"/>
                <w:sz w:val="24"/>
                <w:highlight w:val="none"/>
              </w:rPr>
              <w:t>⑤</w:t>
            </w:r>
            <w:r>
              <w:rPr>
                <w:color w:val="auto"/>
                <w:sz w:val="24"/>
                <w:highlight w:val="none"/>
              </w:rPr>
              <w:t>工程验收阶段</w:t>
            </w:r>
          </w:p>
          <w:p w14:paraId="59A05017">
            <w:pPr>
              <w:spacing w:line="353" w:lineRule="auto"/>
              <w:ind w:firstLine="482"/>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rPr>
              <w:t>项目主体工程、设备安装工程等完成后，即进入工程验收阶段</w:t>
            </w:r>
            <w:r>
              <w:rPr>
                <w:rFonts w:hint="eastAsia" w:ascii="Times New Roman" w:hAnsi="Times New Roman" w:eastAsia="宋体" w:cs="Times New Roman"/>
                <w:color w:val="auto"/>
                <w:sz w:val="24"/>
                <w:highlight w:val="none"/>
                <w:lang w:eastAsia="zh-CN"/>
              </w:rPr>
              <w:t>。</w:t>
            </w:r>
          </w:p>
          <w:p w14:paraId="0C736AC7">
            <w:pPr>
              <w:spacing w:line="353" w:lineRule="auto"/>
              <w:ind w:firstLine="482"/>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（2）施工期污染源源强分析</w:t>
            </w:r>
          </w:p>
          <w:p w14:paraId="70BCE149">
            <w:pPr>
              <w:ind w:firstLine="480"/>
              <w:rPr>
                <w:rFonts w:hint="eastAsia"/>
                <w:b/>
                <w:bCs/>
                <w:color w:val="000000" w:themeColor="text1"/>
                <w:lang w:eastAsia="zh-CN"/>
                <w14:textFill>
                  <w14:solidFill>
                    <w14:schemeClr w14:val="tx1"/>
                  </w14:solidFill>
                </w14:textFill>
              </w:rPr>
            </w:pPr>
            <w:r>
              <w:rPr>
                <w:rFonts w:hint="eastAsia"/>
                <w:b/>
                <w:bCs/>
                <w:color w:val="000000" w:themeColor="text1"/>
                <w14:textFill>
                  <w14:solidFill>
                    <w14:schemeClr w14:val="tx1"/>
                  </w14:solidFill>
                </w14:textFill>
              </w:rPr>
              <w:t>大气污染源</w:t>
            </w:r>
            <w:r>
              <w:rPr>
                <w:rFonts w:hint="eastAsia"/>
                <w:b/>
                <w:bCs/>
                <w:color w:val="000000" w:themeColor="text1"/>
                <w:lang w:eastAsia="zh-CN"/>
                <w14:textFill>
                  <w14:solidFill>
                    <w14:schemeClr w14:val="tx1"/>
                  </w14:solidFill>
                </w14:textFill>
              </w:rPr>
              <w:t>：</w:t>
            </w:r>
          </w:p>
          <w:p w14:paraId="3FF90CA2">
            <w:pPr>
              <w:ind w:firstLine="480"/>
              <w:rPr>
                <w:color w:val="000000" w:themeColor="text1"/>
                <w:lang w:val="en-GB"/>
                <w14:textFill>
                  <w14:solidFill>
                    <w14:schemeClr w14:val="tx1"/>
                  </w14:solidFill>
                </w14:textFill>
              </w:rPr>
            </w:pPr>
            <w:r>
              <w:rPr>
                <w:color w:val="000000" w:themeColor="text1"/>
                <w:lang w:val="en-GB"/>
                <w14:textFill>
                  <w14:solidFill>
                    <w14:schemeClr w14:val="tx1"/>
                  </w14:solidFill>
                </w14:textFill>
              </w:rPr>
              <w:t>建设项目场地三通一平、基础设施建设等施工过程中会有大量挖方、填方工程，造成土壤疏松，渣土清运、建筑材料运输和装卸等作业会产生大量施工扬尘；施工机械排放的废气以及车辆</w:t>
            </w:r>
            <w:r>
              <w:rPr>
                <w:rFonts w:hint="eastAsia"/>
                <w:color w:val="000000" w:themeColor="text1"/>
                <w:lang w:val="en-GB" w:eastAsia="zh-CN"/>
                <w14:textFill>
                  <w14:solidFill>
                    <w14:schemeClr w14:val="tx1"/>
                  </w14:solidFill>
                </w14:textFill>
              </w:rPr>
              <w:t>行驶</w:t>
            </w:r>
            <w:r>
              <w:rPr>
                <w:color w:val="000000" w:themeColor="text1"/>
                <w:lang w:val="en-GB"/>
                <w14:textFill>
                  <w14:solidFill>
                    <w14:schemeClr w14:val="tx1"/>
                  </w14:solidFill>
                </w14:textFill>
              </w:rPr>
              <w:t>排放的汽车尾气也是施工废气中的一方面。</w:t>
            </w:r>
          </w:p>
          <w:p w14:paraId="7EA36B31">
            <w:pPr>
              <w:ind w:firstLine="480"/>
              <w:rPr>
                <w:color w:val="000000" w:themeColor="text1"/>
                <w:szCs w:val="21"/>
                <w14:textFill>
                  <w14:solidFill>
                    <w14:schemeClr w14:val="tx1"/>
                  </w14:solidFill>
                </w14:textFill>
              </w:rPr>
            </w:pP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 1 \* GB2 \* MERGEFORMAT </w:instrText>
            </w:r>
            <w:r>
              <w:rPr>
                <w:color w:val="000000" w:themeColor="text1"/>
                <w:szCs w:val="2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⑴</w:t>
            </w:r>
            <w:r>
              <w:rPr>
                <w:color w:val="000000" w:themeColor="text1"/>
                <w:szCs w:val="21"/>
                <w14:textFill>
                  <w14:solidFill>
                    <w14:schemeClr w14:val="tx1"/>
                  </w14:solidFill>
                </w14:textFill>
              </w:rPr>
              <w:fldChar w:fldCharType="end"/>
            </w:r>
            <w:r>
              <w:rPr>
                <w:color w:val="000000" w:themeColor="text1"/>
                <w:szCs w:val="21"/>
                <w14:textFill>
                  <w14:solidFill>
                    <w14:schemeClr w14:val="tx1"/>
                  </w14:solidFill>
                </w14:textFill>
              </w:rPr>
              <w:t>扬尘</w:t>
            </w:r>
          </w:p>
          <w:p w14:paraId="5135F509">
            <w:pPr>
              <w:ind w:firstLine="480"/>
              <w:rPr>
                <w:color w:val="000000" w:themeColor="text1"/>
                <w14:textFill>
                  <w14:solidFill>
                    <w14:schemeClr w14:val="tx1"/>
                  </w14:solidFill>
                </w14:textFill>
              </w:rPr>
            </w:pPr>
            <w:r>
              <w:rPr>
                <w:color w:val="000000" w:themeColor="text1"/>
                <w14:textFill>
                  <w14:solidFill>
                    <w14:schemeClr w14:val="tx1"/>
                  </w14:solidFill>
                </w14:textFill>
              </w:rPr>
              <w:t>项目建设时土地整平、土石方挖填、修扩建临时运输道路等施工活动，破坏了地表，造成土壤疏松，以及渣土清运、建筑材料运输和装卸等作业，都为扬尘提供了丰富的尘源。一旦遇到刮风天气，易造成扬尘，对大气环境造成影响，对周围居民发生扬尘污染。</w:t>
            </w:r>
          </w:p>
          <w:p w14:paraId="0DE22AF2">
            <w:pPr>
              <w:ind w:firstLine="48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①</w:t>
            </w:r>
            <w:r>
              <w:rPr>
                <w:color w:val="000000" w:themeColor="text1"/>
                <w:szCs w:val="21"/>
                <w14:textFill>
                  <w14:solidFill>
                    <w14:schemeClr w14:val="tx1"/>
                  </w14:solidFill>
                </w14:textFill>
              </w:rPr>
              <w:t>施工扬尘来源</w:t>
            </w:r>
          </w:p>
          <w:p w14:paraId="38C8A8F6">
            <w:pPr>
              <w:ind w:firstLine="480"/>
              <w:rPr>
                <w:color w:val="000000" w:themeColor="text1"/>
                <w:szCs w:val="21"/>
                <w14:textFill>
                  <w14:solidFill>
                    <w14:schemeClr w14:val="tx1"/>
                  </w14:solidFill>
                </w14:textFill>
              </w:rPr>
            </w:pPr>
            <w:r>
              <w:rPr>
                <w:color w:val="000000" w:themeColor="text1"/>
                <w:szCs w:val="21"/>
                <w14:textFill>
                  <w14:solidFill>
                    <w14:schemeClr w14:val="tx1"/>
                  </w14:solidFill>
                </w14:textFill>
              </w:rPr>
              <w:t>施工扬尘的主要来源为：</w:t>
            </w:r>
          </w:p>
          <w:p w14:paraId="62B1116D">
            <w:pPr>
              <w:ind w:firstLine="480"/>
              <w:rPr>
                <w:color w:val="000000" w:themeColor="text1"/>
                <w:szCs w:val="21"/>
                <w14:textFill>
                  <w14:solidFill>
                    <w14:schemeClr w14:val="tx1"/>
                  </w14:solidFill>
                </w14:textFill>
              </w:rPr>
            </w:pPr>
            <w:r>
              <w:rPr>
                <w:color w:val="000000" w:themeColor="text1"/>
                <w:szCs w:val="21"/>
                <w14:textFill>
                  <w14:solidFill>
                    <w14:schemeClr w14:val="tx1"/>
                  </w14:solidFill>
                </w14:textFill>
              </w:rPr>
              <w:t>a.土方的挖掘扬尘及现场堆放风蚀扬尘；</w:t>
            </w:r>
          </w:p>
          <w:p w14:paraId="5C5F0BE2">
            <w:pPr>
              <w:ind w:firstLine="480"/>
              <w:rPr>
                <w:color w:val="000000" w:themeColor="text1"/>
                <w:szCs w:val="21"/>
                <w14:textFill>
                  <w14:solidFill>
                    <w14:schemeClr w14:val="tx1"/>
                  </w14:solidFill>
                </w14:textFill>
              </w:rPr>
            </w:pPr>
            <w:r>
              <w:rPr>
                <w:color w:val="000000" w:themeColor="text1"/>
                <w:szCs w:val="21"/>
                <w14:textFill>
                  <w14:solidFill>
                    <w14:schemeClr w14:val="tx1"/>
                  </w14:solidFill>
                </w14:textFill>
              </w:rPr>
              <w:t>b.建筑材料（白灰、水泥、砂子、石子、砖等）的现场装卸及堆放扬尘；</w:t>
            </w:r>
          </w:p>
          <w:p w14:paraId="3496CE45">
            <w:pPr>
              <w:ind w:firstLine="480"/>
              <w:rPr>
                <w:color w:val="000000" w:themeColor="text1"/>
                <w:szCs w:val="21"/>
                <w14:textFill>
                  <w14:solidFill>
                    <w14:schemeClr w14:val="tx1"/>
                  </w14:solidFill>
                </w14:textFill>
              </w:rPr>
            </w:pPr>
            <w:r>
              <w:rPr>
                <w:color w:val="000000" w:themeColor="text1"/>
                <w:szCs w:val="21"/>
                <w14:textFill>
                  <w14:solidFill>
                    <w14:schemeClr w14:val="tx1"/>
                  </w14:solidFill>
                </w14:textFill>
              </w:rPr>
              <w:t>c.施工垃圾的清理及堆放扬尘；</w:t>
            </w:r>
          </w:p>
          <w:p w14:paraId="00F538FA">
            <w:pPr>
              <w:ind w:firstLine="480"/>
              <w:rPr>
                <w:color w:val="000000" w:themeColor="text1"/>
                <w:szCs w:val="21"/>
                <w14:textFill>
                  <w14:solidFill>
                    <w14:schemeClr w14:val="tx1"/>
                  </w14:solidFill>
                </w14:textFill>
              </w:rPr>
            </w:pPr>
            <w:r>
              <w:rPr>
                <w:color w:val="000000" w:themeColor="text1"/>
                <w:szCs w:val="21"/>
                <w14:textFill>
                  <w14:solidFill>
                    <w14:schemeClr w14:val="tx1"/>
                  </w14:solidFill>
                </w14:textFill>
              </w:rPr>
              <w:t>d.人来车往所造成的道路扬尘。</w:t>
            </w:r>
          </w:p>
          <w:p w14:paraId="5A2B48A4">
            <w:pPr>
              <w:ind w:firstLine="480"/>
              <w:rPr>
                <w:color w:val="000000" w:themeColor="text1"/>
                <w:szCs w:val="21"/>
                <w14:textFill>
                  <w14:solidFill>
                    <w14:schemeClr w14:val="tx1"/>
                  </w14:solidFill>
                </w14:textFill>
              </w:rPr>
            </w:pP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 2 \* GB2 \* MERGEFORMAT </w:instrText>
            </w:r>
            <w:r>
              <w:rPr>
                <w:color w:val="000000" w:themeColor="text1"/>
                <w:szCs w:val="2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⑵</w:t>
            </w:r>
            <w:r>
              <w:rPr>
                <w:color w:val="000000" w:themeColor="text1"/>
                <w:szCs w:val="21"/>
                <w14:textFill>
                  <w14:solidFill>
                    <w14:schemeClr w14:val="tx1"/>
                  </w14:solidFill>
                </w14:textFill>
              </w:rPr>
              <w:fldChar w:fldCharType="end"/>
            </w:r>
            <w:r>
              <w:rPr>
                <w:color w:val="000000" w:themeColor="text1"/>
                <w:szCs w:val="21"/>
                <w14:textFill>
                  <w14:solidFill>
                    <w14:schemeClr w14:val="tx1"/>
                  </w14:solidFill>
                </w14:textFill>
              </w:rPr>
              <w:t>其它废气</w:t>
            </w:r>
          </w:p>
          <w:p w14:paraId="6B628716">
            <w:pPr>
              <w:ind w:firstLine="480"/>
              <w:rPr>
                <w:color w:val="000000" w:themeColor="text1"/>
                <w:szCs w:val="21"/>
                <w14:textFill>
                  <w14:solidFill>
                    <w14:schemeClr w14:val="tx1"/>
                  </w14:solidFill>
                </w14:textFill>
              </w:rPr>
            </w:pPr>
            <w:r>
              <w:rPr>
                <w:color w:val="000000" w:themeColor="text1"/>
                <w:szCs w:val="21"/>
                <w14:textFill>
                  <w14:solidFill>
                    <w14:schemeClr w14:val="tx1"/>
                  </w14:solidFill>
                </w14:textFill>
              </w:rPr>
              <w:t>施工建设期间其它废气主要来自施工机械排放的废气和各种车辆排放的汽车尾气，主要污染物为NO</w:t>
            </w:r>
            <w:r>
              <w:rPr>
                <w:color w:val="000000" w:themeColor="text1"/>
                <w:szCs w:val="21"/>
                <w:vertAlign w:val="subscript"/>
                <w14:textFill>
                  <w14:solidFill>
                    <w14:schemeClr w14:val="tx1"/>
                  </w14:solidFill>
                </w14:textFill>
              </w:rPr>
              <w:t>x</w:t>
            </w:r>
            <w:r>
              <w:rPr>
                <w:color w:val="000000" w:themeColor="text1"/>
                <w:szCs w:val="21"/>
                <w14:textFill>
                  <w14:solidFill>
                    <w14:schemeClr w14:val="tx1"/>
                  </w14:solidFill>
                </w14:textFill>
              </w:rPr>
              <w:t>、CO及THC等。</w:t>
            </w:r>
          </w:p>
          <w:p w14:paraId="35EA76C4">
            <w:pPr>
              <w:pStyle w:val="5"/>
              <w:ind w:firstLine="482"/>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水污染源</w:t>
            </w:r>
            <w:r>
              <w:rPr>
                <w:rFonts w:hint="eastAsia"/>
                <w:color w:val="000000" w:themeColor="text1"/>
                <w:lang w:eastAsia="zh-CN"/>
                <w14:textFill>
                  <w14:solidFill>
                    <w14:schemeClr w14:val="tx1"/>
                  </w14:solidFill>
                </w14:textFill>
              </w:rPr>
              <w:t>：</w:t>
            </w:r>
          </w:p>
          <w:p w14:paraId="46E298E0">
            <w:pPr>
              <w:pStyle w:val="8"/>
              <w:spacing w:after="0"/>
              <w:ind w:firstLine="48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项目施工期废水主要来自施工废水和生活污水。</w:t>
            </w:r>
          </w:p>
          <w:p w14:paraId="1C34D86D">
            <w:pPr>
              <w:pStyle w:val="8"/>
              <w:spacing w:after="0"/>
              <w:ind w:firstLine="48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项目施工期间的生产用水主要为路面、土方、土地喷洒抑尘用水混凝土养护用水等。</w:t>
            </w:r>
          </w:p>
          <w:p w14:paraId="4F191B15">
            <w:pPr>
              <w:spacing w:line="360" w:lineRule="auto"/>
              <w:ind w:firstLine="482"/>
              <w:rPr>
                <w:rFonts w:hint="eastAsia"/>
                <w:color w:val="auto"/>
                <w:kern w:val="0"/>
                <w:sz w:val="24"/>
                <w:highlight w:val="none"/>
              </w:rPr>
            </w:pPr>
            <w:r>
              <w:rPr>
                <w:rFonts w:ascii="Times New Roman" w:hAnsi="Times New Roman"/>
                <w:color w:val="000000" w:themeColor="text1"/>
                <w:szCs w:val="21"/>
                <w14:textFill>
                  <w14:solidFill>
                    <w14:schemeClr w14:val="tx1"/>
                  </w14:solidFill>
                </w14:textFill>
              </w:rPr>
              <w:t>生活污水来源于施工人员生活用水，主要为施工人员生活用水，本项目的施工人员约为100人，</w:t>
            </w:r>
            <w:r>
              <w:rPr>
                <w:rFonts w:hint="eastAsia"/>
                <w:color w:val="auto"/>
                <w:kern w:val="0"/>
                <w:sz w:val="24"/>
                <w:highlight w:val="none"/>
              </w:rPr>
              <w:t>项目施工期设临时防渗化粪池，定期委托清掏处置，不外排。</w:t>
            </w:r>
          </w:p>
          <w:p w14:paraId="5E31768D">
            <w:pPr>
              <w:pStyle w:val="5"/>
              <w:ind w:firstLine="482"/>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噪声污染源</w:t>
            </w:r>
            <w:r>
              <w:rPr>
                <w:rFonts w:hint="eastAsia"/>
                <w:color w:val="000000" w:themeColor="text1"/>
                <w:lang w:eastAsia="zh-CN"/>
                <w14:textFill>
                  <w14:solidFill>
                    <w14:schemeClr w14:val="tx1"/>
                  </w14:solidFill>
                </w14:textFill>
              </w:rPr>
              <w:t>：</w:t>
            </w:r>
          </w:p>
          <w:p w14:paraId="7A8FA187">
            <w:pPr>
              <w:ind w:firstLine="480"/>
              <w:rPr>
                <w:color w:val="000000" w:themeColor="text1"/>
                <w14:textFill>
                  <w14:solidFill>
                    <w14:schemeClr w14:val="tx1"/>
                  </w14:solidFill>
                </w14:textFill>
              </w:rPr>
            </w:pPr>
            <w:r>
              <w:rPr>
                <w:color w:val="000000" w:themeColor="text1"/>
                <w14:textFill>
                  <w14:solidFill>
                    <w14:schemeClr w14:val="tx1"/>
                  </w14:solidFill>
                </w14:textFill>
              </w:rPr>
              <w:t>施工建设期间的噪声主要来自施工机械的运行过程，施工机械具有声级大、声源强、连续性等特点，如挖掘机、装载机等。</w:t>
            </w:r>
          </w:p>
          <w:p w14:paraId="48C3836D">
            <w:pPr>
              <w:ind w:firstLine="480"/>
            </w:pPr>
            <w:r>
              <w:rPr>
                <w:color w:val="000000" w:themeColor="text1"/>
                <w14:textFill>
                  <w14:solidFill>
                    <w14:schemeClr w14:val="tx1"/>
                  </w14:solidFill>
                </w14:textFill>
              </w:rPr>
              <w:t>为了更有利分析和控制噪声，结合本项目施工特点，从噪声角度出发，可以把施工工程分为土石方阶段、主体工程阶段</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装修阶段</w:t>
            </w:r>
            <w:r>
              <w:rPr>
                <w:color w:val="000000" w:themeColor="text1"/>
                <w14:textFill>
                  <w14:solidFill>
                    <w14:schemeClr w14:val="tx1"/>
                  </w14:solidFill>
                </w14:textFill>
              </w:rPr>
              <w:t>。这两个阶段所占施工时间比较长，采用的施工机械较多、噪声污染也比较严重，不同阶段又各具有其独立的噪声特性。土石方阶段的主要噪声源是挖掘机、推土机、装载机以及各种运输车辆，这类施工机械绝大部分是移动性声源。工程包括管道铺设、修路工程等，主要使用机械为路基填筑时的挖掘机、推土机、装载机、压路机等，路面施工时的灰土拌合机、基层混合料拌合机、沥青砼摊铺机等。</w:t>
            </w:r>
            <w:r>
              <w:rPr>
                <w:rFonts w:hint="eastAsia"/>
                <w:color w:val="000000" w:themeColor="text1"/>
                <w:lang w:val="en-US" w:eastAsia="zh-CN"/>
                <w14:textFill>
                  <w14:solidFill>
                    <w14:schemeClr w14:val="tx1"/>
                  </w14:solidFill>
                </w14:textFill>
              </w:rPr>
              <w:t>装修阶段主要为装修过程中产生的噪声。</w:t>
            </w:r>
          </w:p>
          <w:p w14:paraId="6B56E075">
            <w:pPr>
              <w:ind w:firstLine="480"/>
              <w:rPr>
                <w:color w:val="000000" w:themeColor="text1"/>
                <w14:textFill>
                  <w14:solidFill>
                    <w14:schemeClr w14:val="tx1"/>
                  </w14:solidFill>
                </w14:textFill>
              </w:rPr>
            </w:pPr>
            <w:r>
              <w:rPr>
                <w:color w:val="000000" w:themeColor="text1"/>
                <w14:textFill>
                  <w14:solidFill>
                    <w14:schemeClr w14:val="tx1"/>
                  </w14:solidFill>
                </w14:textFill>
              </w:rPr>
              <w:t>综上，本项目施工期施工设备噪声源强见表2-</w:t>
            </w:r>
            <w:r>
              <w:rPr>
                <w:rFonts w:hint="eastAsia"/>
                <w:color w:val="000000" w:themeColor="text1"/>
                <w:lang w:val="en-US" w:eastAsia="zh-CN"/>
                <w14:textFill>
                  <w14:solidFill>
                    <w14:schemeClr w14:val="tx1"/>
                  </w14:solidFill>
                </w14:textFill>
              </w:rPr>
              <w:t>7</w:t>
            </w:r>
            <w:r>
              <w:rPr>
                <w:color w:val="000000" w:themeColor="text1"/>
                <w14:textFill>
                  <w14:solidFill>
                    <w14:schemeClr w14:val="tx1"/>
                  </w14:solidFill>
                </w14:textFill>
              </w:rPr>
              <w:t>所示：</w:t>
            </w:r>
          </w:p>
          <w:p w14:paraId="23F1069C">
            <w:pPr>
              <w:bidi w:val="0"/>
              <w:jc w:val="center"/>
              <w:rPr>
                <w:rFonts w:ascii="Times New Roman" w:hAnsi="Times New Roman" w:eastAsia="宋体" w:cs="Times New Roman"/>
                <w:b/>
                <w:bCs/>
                <w:color w:val="auto"/>
                <w:lang w:val="en-GB" w:eastAsia="zh-CN"/>
              </w:rPr>
            </w:pPr>
            <w:r>
              <w:rPr>
                <w:rFonts w:ascii="Times New Roman" w:hAnsi="Times New Roman" w:eastAsia="宋体" w:cs="Times New Roman"/>
                <w:b/>
                <w:bCs/>
                <w:color w:val="auto"/>
                <w:lang w:val="en-GB" w:eastAsia="zh-CN"/>
              </w:rPr>
              <w:t>表2-</w:t>
            </w:r>
            <w:r>
              <w:rPr>
                <w:rFonts w:hint="eastAsia" w:cs="Times New Roman"/>
                <w:b/>
                <w:bCs/>
                <w:color w:val="auto"/>
                <w:lang w:val="en-US" w:eastAsia="zh-CN"/>
              </w:rPr>
              <w:t>7</w:t>
            </w:r>
            <w:r>
              <w:rPr>
                <w:rFonts w:ascii="Times New Roman" w:hAnsi="Times New Roman" w:eastAsia="宋体" w:cs="Times New Roman"/>
                <w:b/>
                <w:bCs/>
                <w:color w:val="auto"/>
                <w:lang w:val="en-GB" w:eastAsia="zh-CN"/>
              </w:rPr>
              <w:t xml:space="preserve">  施工期主要噪声源特征</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28"/>
              <w:gridCol w:w="2139"/>
              <w:gridCol w:w="1178"/>
              <w:gridCol w:w="2746"/>
            </w:tblGrid>
            <w:tr w14:paraId="61E93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028" w:type="dxa"/>
                  <w:vAlign w:val="center"/>
                </w:tcPr>
                <w:p w14:paraId="03BD195B">
                  <w:pPr>
                    <w:pStyle w:val="6"/>
                    <w:spacing w:line="340" w:lineRule="exact"/>
                    <w:rPr>
                      <w:b/>
                      <w:bCs/>
                      <w:color w:val="000000" w:themeColor="text1"/>
                      <w:kern w:val="2"/>
                      <w:szCs w:val="24"/>
                      <w14:textFill>
                        <w14:solidFill>
                          <w14:schemeClr w14:val="tx1"/>
                        </w14:solidFill>
                      </w14:textFill>
                    </w:rPr>
                  </w:pPr>
                  <w:r>
                    <w:rPr>
                      <w:b/>
                      <w:bCs/>
                      <w:color w:val="000000" w:themeColor="text1"/>
                      <w:kern w:val="2"/>
                      <w:szCs w:val="24"/>
                      <w14:textFill>
                        <w14:solidFill>
                          <w14:schemeClr w14:val="tx1"/>
                        </w14:solidFill>
                      </w14:textFill>
                    </w:rPr>
                    <w:t>设备名称</w:t>
                  </w:r>
                </w:p>
              </w:tc>
              <w:tc>
                <w:tcPr>
                  <w:tcW w:w="2139" w:type="dxa"/>
                  <w:vAlign w:val="center"/>
                </w:tcPr>
                <w:p w14:paraId="6B3DAE41">
                  <w:pPr>
                    <w:pStyle w:val="6"/>
                    <w:spacing w:line="340" w:lineRule="exact"/>
                    <w:rPr>
                      <w:rFonts w:hint="eastAsia"/>
                      <w:b/>
                      <w:bCs w:val="0"/>
                      <w:sz w:val="21"/>
                      <w:szCs w:val="21"/>
                      <w:highlight w:val="none"/>
                      <w:lang w:val="en-US" w:eastAsia="zh-CN" w:bidi="ar"/>
                    </w:rPr>
                  </w:pPr>
                  <w:r>
                    <w:rPr>
                      <w:rFonts w:hint="eastAsia"/>
                      <w:b/>
                      <w:bCs w:val="0"/>
                      <w:sz w:val="21"/>
                      <w:szCs w:val="21"/>
                      <w:highlight w:val="none"/>
                      <w:lang w:val="en-US" w:eastAsia="zh-CN" w:bidi="ar"/>
                    </w:rPr>
                    <w:t>声源源强</w:t>
                  </w:r>
                </w:p>
                <w:p w14:paraId="23EA9FBA">
                  <w:pPr>
                    <w:pStyle w:val="6"/>
                    <w:spacing w:line="340" w:lineRule="exact"/>
                    <w:rPr>
                      <w:b/>
                      <w:bCs/>
                      <w:color w:val="000000" w:themeColor="text1"/>
                      <w:kern w:val="2"/>
                      <w:szCs w:val="24"/>
                      <w14:textFill>
                        <w14:solidFill>
                          <w14:schemeClr w14:val="tx1"/>
                        </w14:solidFill>
                      </w14:textFill>
                    </w:rPr>
                  </w:pPr>
                  <w:r>
                    <w:rPr>
                      <w:b/>
                      <w:bCs w:val="0"/>
                      <w:sz w:val="21"/>
                      <w:szCs w:val="21"/>
                      <w:highlight w:val="none"/>
                      <w:lang w:bidi="ar"/>
                    </w:rPr>
                    <w:t>声功率级dB(A)</w:t>
                  </w:r>
                </w:p>
              </w:tc>
              <w:tc>
                <w:tcPr>
                  <w:tcW w:w="1178" w:type="dxa"/>
                  <w:vAlign w:val="center"/>
                </w:tcPr>
                <w:p w14:paraId="21CCB02B">
                  <w:pPr>
                    <w:pStyle w:val="6"/>
                    <w:spacing w:line="340" w:lineRule="exact"/>
                    <w:rPr>
                      <w:b/>
                      <w:bCs/>
                      <w:color w:val="000000" w:themeColor="text1"/>
                      <w:kern w:val="2"/>
                      <w:szCs w:val="24"/>
                      <w14:textFill>
                        <w14:solidFill>
                          <w14:schemeClr w14:val="tx1"/>
                        </w14:solidFill>
                      </w14:textFill>
                    </w:rPr>
                  </w:pPr>
                  <w:r>
                    <w:rPr>
                      <w:b/>
                      <w:bCs/>
                      <w:color w:val="000000" w:themeColor="text1"/>
                      <w:kern w:val="2"/>
                      <w:szCs w:val="24"/>
                      <w14:textFill>
                        <w14:solidFill>
                          <w14:schemeClr w14:val="tx1"/>
                        </w14:solidFill>
                      </w14:textFill>
                    </w:rPr>
                    <w:t>声源性质</w:t>
                  </w:r>
                </w:p>
              </w:tc>
              <w:tc>
                <w:tcPr>
                  <w:tcW w:w="2746" w:type="dxa"/>
                  <w:vAlign w:val="center"/>
                </w:tcPr>
                <w:p w14:paraId="40A3F2C3">
                  <w:pPr>
                    <w:pStyle w:val="6"/>
                    <w:spacing w:line="340" w:lineRule="exact"/>
                    <w:rPr>
                      <w:b/>
                      <w:bCs/>
                      <w:color w:val="000000" w:themeColor="text1"/>
                      <w:kern w:val="2"/>
                      <w:szCs w:val="24"/>
                      <w14:textFill>
                        <w14:solidFill>
                          <w14:schemeClr w14:val="tx1"/>
                        </w14:solidFill>
                      </w14:textFill>
                    </w:rPr>
                  </w:pPr>
                  <w:r>
                    <w:rPr>
                      <w:b/>
                      <w:bCs/>
                      <w:color w:val="000000" w:themeColor="text1"/>
                      <w:kern w:val="2"/>
                      <w:szCs w:val="24"/>
                      <w14:textFill>
                        <w14:solidFill>
                          <w14:schemeClr w14:val="tx1"/>
                        </w14:solidFill>
                      </w14:textFill>
                    </w:rPr>
                    <w:t>产生机理</w:t>
                  </w:r>
                </w:p>
              </w:tc>
            </w:tr>
            <w:tr w14:paraId="54B39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028" w:type="dxa"/>
                  <w:vAlign w:val="center"/>
                </w:tcPr>
                <w:p w14:paraId="5DD82E0F">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推土机</w:t>
                  </w:r>
                </w:p>
              </w:tc>
              <w:tc>
                <w:tcPr>
                  <w:tcW w:w="2139" w:type="dxa"/>
                  <w:vAlign w:val="center"/>
                </w:tcPr>
                <w:p w14:paraId="4A703F30">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78～95</w:t>
                  </w:r>
                </w:p>
              </w:tc>
              <w:tc>
                <w:tcPr>
                  <w:tcW w:w="1178" w:type="dxa"/>
                  <w:vAlign w:val="center"/>
                </w:tcPr>
                <w:p w14:paraId="76FB45A4">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间歇性</w:t>
                  </w:r>
                </w:p>
              </w:tc>
              <w:tc>
                <w:tcPr>
                  <w:tcW w:w="2746" w:type="dxa"/>
                  <w:vAlign w:val="center"/>
                </w:tcPr>
                <w:p w14:paraId="08EA9834">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机械运转</w:t>
                  </w:r>
                </w:p>
              </w:tc>
            </w:tr>
            <w:tr w14:paraId="4326D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028" w:type="dxa"/>
                  <w:vAlign w:val="center"/>
                </w:tcPr>
                <w:p w14:paraId="21F839B2">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挖掘机</w:t>
                  </w:r>
                </w:p>
              </w:tc>
              <w:tc>
                <w:tcPr>
                  <w:tcW w:w="2139" w:type="dxa"/>
                  <w:vAlign w:val="center"/>
                </w:tcPr>
                <w:p w14:paraId="1710A463">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85～95</w:t>
                  </w:r>
                </w:p>
              </w:tc>
              <w:tc>
                <w:tcPr>
                  <w:tcW w:w="1178" w:type="dxa"/>
                  <w:vAlign w:val="center"/>
                </w:tcPr>
                <w:p w14:paraId="3E143C98">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间歇性</w:t>
                  </w:r>
                </w:p>
              </w:tc>
              <w:tc>
                <w:tcPr>
                  <w:tcW w:w="2746" w:type="dxa"/>
                  <w:vAlign w:val="center"/>
                </w:tcPr>
                <w:p w14:paraId="47E94D51">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机械运转</w:t>
                  </w:r>
                </w:p>
              </w:tc>
            </w:tr>
            <w:tr w14:paraId="1D4DE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028" w:type="dxa"/>
                  <w:vAlign w:val="center"/>
                </w:tcPr>
                <w:p w14:paraId="6B95C696">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装载机</w:t>
                  </w:r>
                </w:p>
              </w:tc>
              <w:tc>
                <w:tcPr>
                  <w:tcW w:w="2139" w:type="dxa"/>
                  <w:vAlign w:val="center"/>
                </w:tcPr>
                <w:p w14:paraId="55C7A6F4">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80~90</w:t>
                  </w:r>
                </w:p>
              </w:tc>
              <w:tc>
                <w:tcPr>
                  <w:tcW w:w="1178" w:type="dxa"/>
                  <w:vAlign w:val="center"/>
                </w:tcPr>
                <w:p w14:paraId="30F76C46">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间歇性</w:t>
                  </w:r>
                </w:p>
              </w:tc>
              <w:tc>
                <w:tcPr>
                  <w:tcW w:w="2746" w:type="dxa"/>
                  <w:vAlign w:val="center"/>
                </w:tcPr>
                <w:p w14:paraId="6D33A464">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机械运转</w:t>
                  </w:r>
                </w:p>
              </w:tc>
            </w:tr>
            <w:tr w14:paraId="2A676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028" w:type="dxa"/>
                  <w:vAlign w:val="center"/>
                </w:tcPr>
                <w:p w14:paraId="525A2957">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夯实机、打桩机</w:t>
                  </w:r>
                </w:p>
              </w:tc>
              <w:tc>
                <w:tcPr>
                  <w:tcW w:w="2139" w:type="dxa"/>
                  <w:vAlign w:val="center"/>
                </w:tcPr>
                <w:p w14:paraId="45D2AE37">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75～100</w:t>
                  </w:r>
                </w:p>
              </w:tc>
              <w:tc>
                <w:tcPr>
                  <w:tcW w:w="1178" w:type="dxa"/>
                  <w:vAlign w:val="center"/>
                </w:tcPr>
                <w:p w14:paraId="58B87E6E">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间歇性</w:t>
                  </w:r>
                </w:p>
              </w:tc>
              <w:tc>
                <w:tcPr>
                  <w:tcW w:w="2746" w:type="dxa"/>
                  <w:vAlign w:val="center"/>
                </w:tcPr>
                <w:p w14:paraId="422181F2">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机械运转</w:t>
                  </w:r>
                </w:p>
              </w:tc>
            </w:tr>
            <w:tr w14:paraId="52EC2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028" w:type="dxa"/>
                  <w:vAlign w:val="center"/>
                </w:tcPr>
                <w:p w14:paraId="49A5CA2F">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风钻</w:t>
                  </w:r>
                </w:p>
              </w:tc>
              <w:tc>
                <w:tcPr>
                  <w:tcW w:w="2139" w:type="dxa"/>
                  <w:vAlign w:val="center"/>
                </w:tcPr>
                <w:p w14:paraId="219194C2">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90～100</w:t>
                  </w:r>
                </w:p>
              </w:tc>
              <w:tc>
                <w:tcPr>
                  <w:tcW w:w="1178" w:type="dxa"/>
                  <w:vAlign w:val="center"/>
                </w:tcPr>
                <w:p w14:paraId="77F1F4AF">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间歇性</w:t>
                  </w:r>
                </w:p>
              </w:tc>
              <w:tc>
                <w:tcPr>
                  <w:tcW w:w="2746" w:type="dxa"/>
                  <w:vAlign w:val="center"/>
                </w:tcPr>
                <w:p w14:paraId="08946524">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机械运转</w:t>
                  </w:r>
                </w:p>
              </w:tc>
            </w:tr>
            <w:tr w14:paraId="580BB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028" w:type="dxa"/>
                  <w:vAlign w:val="center"/>
                </w:tcPr>
                <w:p w14:paraId="164309F8">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混凝土振捣器</w:t>
                  </w:r>
                </w:p>
              </w:tc>
              <w:tc>
                <w:tcPr>
                  <w:tcW w:w="2139" w:type="dxa"/>
                  <w:vAlign w:val="center"/>
                </w:tcPr>
                <w:p w14:paraId="5DAF618E">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85～100</w:t>
                  </w:r>
                </w:p>
              </w:tc>
              <w:tc>
                <w:tcPr>
                  <w:tcW w:w="1178" w:type="dxa"/>
                  <w:vAlign w:val="center"/>
                </w:tcPr>
                <w:p w14:paraId="68FAB814">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间歇性</w:t>
                  </w:r>
                </w:p>
              </w:tc>
              <w:tc>
                <w:tcPr>
                  <w:tcW w:w="2746" w:type="dxa"/>
                  <w:vAlign w:val="center"/>
                </w:tcPr>
                <w:p w14:paraId="31124D3E">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机械运转</w:t>
                  </w:r>
                </w:p>
              </w:tc>
            </w:tr>
            <w:tr w14:paraId="03761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028" w:type="dxa"/>
                  <w:vAlign w:val="center"/>
                </w:tcPr>
                <w:p w14:paraId="6CE047B6">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压路机</w:t>
                  </w:r>
                </w:p>
              </w:tc>
              <w:tc>
                <w:tcPr>
                  <w:tcW w:w="2139" w:type="dxa"/>
                  <w:vAlign w:val="center"/>
                </w:tcPr>
                <w:p w14:paraId="5C6F784F">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85~90</w:t>
                  </w:r>
                </w:p>
              </w:tc>
              <w:tc>
                <w:tcPr>
                  <w:tcW w:w="1178" w:type="dxa"/>
                  <w:vAlign w:val="center"/>
                </w:tcPr>
                <w:p w14:paraId="1F3B2DBC">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间歇性</w:t>
                  </w:r>
                </w:p>
              </w:tc>
              <w:tc>
                <w:tcPr>
                  <w:tcW w:w="2746" w:type="dxa"/>
                  <w:vAlign w:val="center"/>
                </w:tcPr>
                <w:p w14:paraId="38F6A90A">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机械运转</w:t>
                  </w:r>
                </w:p>
              </w:tc>
            </w:tr>
            <w:tr w14:paraId="5FE20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028" w:type="dxa"/>
                  <w:vAlign w:val="center"/>
                </w:tcPr>
                <w:p w14:paraId="1727DE39">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吊车</w:t>
                  </w:r>
                </w:p>
              </w:tc>
              <w:tc>
                <w:tcPr>
                  <w:tcW w:w="2139" w:type="dxa"/>
                  <w:vAlign w:val="center"/>
                </w:tcPr>
                <w:p w14:paraId="5EE80E60">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70～80</w:t>
                  </w:r>
                </w:p>
              </w:tc>
              <w:tc>
                <w:tcPr>
                  <w:tcW w:w="1178" w:type="dxa"/>
                  <w:vAlign w:val="center"/>
                </w:tcPr>
                <w:p w14:paraId="6B69DF5E">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间歇性</w:t>
                  </w:r>
                </w:p>
              </w:tc>
              <w:tc>
                <w:tcPr>
                  <w:tcW w:w="2746" w:type="dxa"/>
                  <w:vAlign w:val="center"/>
                </w:tcPr>
                <w:p w14:paraId="122A13FB">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机械运转</w:t>
                  </w:r>
                </w:p>
              </w:tc>
            </w:tr>
            <w:tr w14:paraId="58AAD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028" w:type="dxa"/>
                  <w:vAlign w:val="center"/>
                </w:tcPr>
                <w:p w14:paraId="098BB2A6">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升降机</w:t>
                  </w:r>
                </w:p>
              </w:tc>
              <w:tc>
                <w:tcPr>
                  <w:tcW w:w="2139" w:type="dxa"/>
                  <w:vAlign w:val="center"/>
                </w:tcPr>
                <w:p w14:paraId="7DA21E15">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70～80</w:t>
                  </w:r>
                </w:p>
              </w:tc>
              <w:tc>
                <w:tcPr>
                  <w:tcW w:w="1178" w:type="dxa"/>
                  <w:vAlign w:val="center"/>
                </w:tcPr>
                <w:p w14:paraId="3E162002">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间歇性</w:t>
                  </w:r>
                </w:p>
              </w:tc>
              <w:tc>
                <w:tcPr>
                  <w:tcW w:w="2746" w:type="dxa"/>
                  <w:vAlign w:val="center"/>
                </w:tcPr>
                <w:p w14:paraId="2F351518">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机械运转</w:t>
                  </w:r>
                </w:p>
              </w:tc>
            </w:tr>
            <w:tr w14:paraId="36012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028" w:type="dxa"/>
                  <w:vAlign w:val="center"/>
                </w:tcPr>
                <w:p w14:paraId="7E6E2155">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混凝土搅拌机</w:t>
                  </w:r>
                </w:p>
              </w:tc>
              <w:tc>
                <w:tcPr>
                  <w:tcW w:w="2139" w:type="dxa"/>
                  <w:vAlign w:val="center"/>
                </w:tcPr>
                <w:p w14:paraId="2FFDFCB5">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80～90</w:t>
                  </w:r>
                </w:p>
              </w:tc>
              <w:tc>
                <w:tcPr>
                  <w:tcW w:w="1178" w:type="dxa"/>
                  <w:vAlign w:val="center"/>
                </w:tcPr>
                <w:p w14:paraId="1FB577F7">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间歇性</w:t>
                  </w:r>
                </w:p>
              </w:tc>
              <w:tc>
                <w:tcPr>
                  <w:tcW w:w="2746" w:type="dxa"/>
                  <w:vAlign w:val="center"/>
                </w:tcPr>
                <w:p w14:paraId="798A43B3">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机械运转</w:t>
                  </w:r>
                </w:p>
              </w:tc>
            </w:tr>
            <w:tr w14:paraId="66C7A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028" w:type="dxa"/>
                  <w:vAlign w:val="center"/>
                </w:tcPr>
                <w:p w14:paraId="04166B4B">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运输车辆</w:t>
                  </w:r>
                </w:p>
              </w:tc>
              <w:tc>
                <w:tcPr>
                  <w:tcW w:w="2139" w:type="dxa"/>
                  <w:vAlign w:val="center"/>
                </w:tcPr>
                <w:p w14:paraId="683FF3D6">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80～85</w:t>
                  </w:r>
                </w:p>
              </w:tc>
              <w:tc>
                <w:tcPr>
                  <w:tcW w:w="1178" w:type="dxa"/>
                  <w:vAlign w:val="center"/>
                </w:tcPr>
                <w:p w14:paraId="6BCFE198">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间歇性</w:t>
                  </w:r>
                </w:p>
              </w:tc>
              <w:tc>
                <w:tcPr>
                  <w:tcW w:w="2746" w:type="dxa"/>
                  <w:vAlign w:val="center"/>
                </w:tcPr>
                <w:p w14:paraId="0FF6F980">
                  <w:pPr>
                    <w:pStyle w:val="6"/>
                    <w:spacing w:line="340" w:lineRule="exact"/>
                    <w:rPr>
                      <w:color w:val="000000" w:themeColor="text1"/>
                      <w:kern w:val="2"/>
                      <w:szCs w:val="24"/>
                      <w14:textFill>
                        <w14:solidFill>
                          <w14:schemeClr w14:val="tx1"/>
                        </w14:solidFill>
                      </w14:textFill>
                    </w:rPr>
                  </w:pPr>
                  <w:r>
                    <w:rPr>
                      <w:color w:val="000000" w:themeColor="text1"/>
                      <w:kern w:val="2"/>
                      <w:szCs w:val="24"/>
                      <w14:textFill>
                        <w14:solidFill>
                          <w14:schemeClr w14:val="tx1"/>
                        </w14:solidFill>
                      </w14:textFill>
                    </w:rPr>
                    <w:t>机械运转</w:t>
                  </w:r>
                </w:p>
              </w:tc>
            </w:tr>
          </w:tbl>
          <w:p w14:paraId="1DA6772C">
            <w:pPr>
              <w:pStyle w:val="5"/>
              <w:ind w:firstLine="482"/>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 xml:space="preserve"> 固体废物</w:t>
            </w:r>
            <w:r>
              <w:rPr>
                <w:rFonts w:hint="eastAsia"/>
                <w:color w:val="000000" w:themeColor="text1"/>
                <w:lang w:eastAsia="zh-CN"/>
                <w14:textFill>
                  <w14:solidFill>
                    <w14:schemeClr w14:val="tx1"/>
                  </w14:solidFill>
                </w14:textFill>
              </w:rPr>
              <w:t>：</w:t>
            </w:r>
          </w:p>
          <w:p w14:paraId="72D1BFF3">
            <w:pPr>
              <w:ind w:firstLine="480"/>
              <w:rPr>
                <w:color w:val="000000" w:themeColor="text1"/>
                <w14:textFill>
                  <w14:solidFill>
                    <w14:schemeClr w14:val="tx1"/>
                  </w14:solidFill>
                </w14:textFill>
              </w:rPr>
            </w:pPr>
            <w:r>
              <w:rPr>
                <w:color w:val="000000" w:themeColor="text1"/>
                <w14:textFill>
                  <w14:solidFill>
                    <w14:schemeClr w14:val="tx1"/>
                  </w14:solidFill>
                </w14:textFill>
              </w:rPr>
              <w:t xml:space="preserve">施工期固体废物主要来施工期内的建筑垃圾和施工人员产生的生活垃圾。建筑垃圾主要包括土地平整过程中产生的渣土、混凝土框架散料、砖瓦石块等。生活垃圾来源于施工及工作人员生活过程中产生的废弃物，其成分与城市居民生活垃圾成分相似。 </w:t>
            </w:r>
          </w:p>
          <w:p w14:paraId="4A24811B">
            <w:pPr>
              <w:ind w:firstLine="48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1 \* GB2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⑴</w:t>
            </w:r>
            <w:r>
              <w:rPr>
                <w:color w:val="000000" w:themeColor="text1"/>
                <w14:textFill>
                  <w14:solidFill>
                    <w14:schemeClr w14:val="tx1"/>
                  </w14:solidFill>
                </w14:textFill>
              </w:rPr>
              <w:fldChar w:fldCharType="end"/>
            </w:r>
            <w:r>
              <w:rPr>
                <w:color w:val="000000" w:themeColor="text1"/>
                <w14:textFill>
                  <w14:solidFill>
                    <w14:schemeClr w14:val="tx1"/>
                  </w14:solidFill>
                </w14:textFill>
              </w:rPr>
              <w:t xml:space="preserve">建筑垃圾 </w:t>
            </w:r>
          </w:p>
          <w:p w14:paraId="28D84652">
            <w:pPr>
              <w:ind w:firstLine="480"/>
              <w:rPr>
                <w:color w:val="000000" w:themeColor="text1"/>
                <w14:textFill>
                  <w14:solidFill>
                    <w14:schemeClr w14:val="tx1"/>
                  </w14:solidFill>
                </w14:textFill>
              </w:rPr>
            </w:pPr>
            <w:r>
              <w:rPr>
                <w:color w:val="000000" w:themeColor="text1"/>
                <w14:textFill>
                  <w14:solidFill>
                    <w14:schemeClr w14:val="tx1"/>
                  </w14:solidFill>
                </w14:textFill>
              </w:rPr>
              <w:t>项目在建设过程中产生的建筑垃圾主要有开挖土地产生的土方、建材损耗产生的垃圾、装修产生的建筑垃圾等，包括砂土、石块、水泥、碎木料、锯木屑、废金属、钢筋、铁丝等杂物。建材损耗产生的垃圾和装修产生的建筑垃圾，其产生量按每100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建筑面积产生</w:t>
            </w:r>
            <w:r>
              <w:rPr>
                <w:color w:val="000000" w:themeColor="text1"/>
                <w:lang w:eastAsia="zh-CN"/>
                <w14:textFill>
                  <w14:solidFill>
                    <w14:schemeClr w14:val="tx1"/>
                  </w14:solidFill>
                </w14:textFill>
              </w:rPr>
              <w:t>4</w:t>
            </w:r>
            <w:r>
              <w:rPr>
                <w:color w:val="000000" w:themeColor="text1"/>
                <w14:textFill>
                  <w14:solidFill>
                    <w14:schemeClr w14:val="tx1"/>
                  </w14:solidFill>
                </w14:textFill>
              </w:rPr>
              <w:t>t计，</w:t>
            </w:r>
            <w:r>
              <w:rPr>
                <w:color w:val="000000" w:themeColor="text1"/>
                <w:lang w:eastAsia="zh-CN"/>
                <w14:textFill>
                  <w14:solidFill>
                    <w14:schemeClr w14:val="tx1"/>
                  </w14:solidFill>
                </w14:textFill>
              </w:rPr>
              <w:t>本项目总建筑面积为</w:t>
            </w:r>
            <w:r>
              <w:rPr>
                <w:rFonts w:hint="eastAsia"/>
                <w:color w:val="000000" w:themeColor="text1"/>
                <w:lang w:val="en-US" w:eastAsia="zh-CN"/>
                <w14:textFill>
                  <w14:solidFill>
                    <w14:schemeClr w14:val="tx1"/>
                  </w14:solidFill>
                </w14:textFill>
              </w:rPr>
              <w:t>67695</w:t>
            </w:r>
            <w:r>
              <w:rPr>
                <w:color w:val="000000" w:themeColor="text1"/>
                <w:lang w:eastAsia="zh-CN"/>
                <w14:textFill>
                  <w14:solidFill>
                    <w14:schemeClr w14:val="tx1"/>
                  </w14:solidFill>
                </w14:textFill>
              </w:rPr>
              <w:t>m</w:t>
            </w:r>
            <w:r>
              <w:rPr>
                <w:color w:val="000000" w:themeColor="text1"/>
                <w:vertAlign w:val="superscript"/>
                <w:lang w:eastAsia="zh-CN"/>
                <w14:textFill>
                  <w14:solidFill>
                    <w14:schemeClr w14:val="tx1"/>
                  </w14:solidFill>
                </w14:textFill>
              </w:rPr>
              <w:t>2</w:t>
            </w:r>
            <w:r>
              <w:rPr>
                <w:color w:val="000000" w:themeColor="text1"/>
                <w:lang w:eastAsia="zh-CN"/>
                <w14:textFill>
                  <w14:solidFill>
                    <w14:schemeClr w14:val="tx1"/>
                  </w14:solidFill>
                </w14:textFill>
              </w:rPr>
              <w:t>，则施工期</w:t>
            </w:r>
            <w:r>
              <w:rPr>
                <w:color w:val="000000" w:themeColor="text1"/>
                <w14:textFill>
                  <w14:solidFill>
                    <w14:schemeClr w14:val="tx1"/>
                  </w14:solidFill>
                </w14:textFill>
              </w:rPr>
              <w:t>建筑垃圾产生量为</w:t>
            </w:r>
            <w:r>
              <w:rPr>
                <w:rFonts w:hint="eastAsia"/>
                <w:color w:val="000000" w:themeColor="text1"/>
                <w:lang w:val="en-US" w:eastAsia="zh-CN"/>
                <w14:textFill>
                  <w14:solidFill>
                    <w14:schemeClr w14:val="tx1"/>
                  </w14:solidFill>
                </w14:textFill>
              </w:rPr>
              <w:t>2707.8</w:t>
            </w:r>
            <w:r>
              <w:rPr>
                <w:color w:val="000000" w:themeColor="text1"/>
                <w14:textFill>
                  <w14:solidFill>
                    <w14:schemeClr w14:val="tx1"/>
                  </w14:solidFill>
                </w14:textFill>
              </w:rPr>
              <w:t>t，</w:t>
            </w:r>
            <w:r>
              <w:rPr>
                <w:color w:val="000000" w:themeColor="text1"/>
                <w:lang w:eastAsia="zh-CN"/>
                <w14:textFill>
                  <w14:solidFill>
                    <w14:schemeClr w14:val="tx1"/>
                  </w14:solidFill>
                </w14:textFill>
              </w:rPr>
              <w:t>可回收</w:t>
            </w:r>
            <w:r>
              <w:rPr>
                <w:color w:val="000000" w:themeColor="text1"/>
                <w14:textFill>
                  <w14:solidFill>
                    <w14:schemeClr w14:val="tx1"/>
                  </w14:solidFill>
                </w14:textFill>
              </w:rPr>
              <w:t>部分</w:t>
            </w:r>
            <w:r>
              <w:rPr>
                <w:color w:val="000000" w:themeColor="text1"/>
                <w:lang w:eastAsia="zh-CN"/>
                <w14:textFill>
                  <w14:solidFill>
                    <w14:schemeClr w14:val="tx1"/>
                  </w14:solidFill>
                </w14:textFill>
              </w:rPr>
              <w:t>进行回用，不可回收的部分送至建筑垃圾填埋场填埋</w:t>
            </w:r>
            <w:r>
              <w:rPr>
                <w:color w:val="000000" w:themeColor="text1"/>
                <w14:textFill>
                  <w14:solidFill>
                    <w14:schemeClr w14:val="tx1"/>
                  </w14:solidFill>
                </w14:textFill>
              </w:rPr>
              <w:t>，不得随意丢弃。</w:t>
            </w:r>
          </w:p>
          <w:p w14:paraId="0AB6501C">
            <w:pPr>
              <w:ind w:firstLine="48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2 \* GB2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⑵</w:t>
            </w:r>
            <w:r>
              <w:rPr>
                <w:color w:val="000000" w:themeColor="text1"/>
                <w14:textFill>
                  <w14:solidFill>
                    <w14:schemeClr w14:val="tx1"/>
                  </w14:solidFill>
                </w14:textFill>
              </w:rPr>
              <w:fldChar w:fldCharType="end"/>
            </w:r>
            <w:r>
              <w:rPr>
                <w:color w:val="000000" w:themeColor="text1"/>
                <w14:textFill>
                  <w14:solidFill>
                    <w14:schemeClr w14:val="tx1"/>
                  </w14:solidFill>
                </w14:textFill>
              </w:rPr>
              <w:t>生活垃圾</w:t>
            </w:r>
          </w:p>
          <w:p w14:paraId="2E484782">
            <w:pPr>
              <w:ind w:firstLine="480"/>
              <w:rPr>
                <w:color w:val="000000" w:themeColor="text1"/>
                <w14:textFill>
                  <w14:solidFill>
                    <w14:schemeClr w14:val="tx1"/>
                  </w14:solidFill>
                </w14:textFill>
              </w:rPr>
            </w:pPr>
            <w:r>
              <w:rPr>
                <w:color w:val="000000" w:themeColor="text1"/>
                <w14:textFill>
                  <w14:solidFill>
                    <w14:schemeClr w14:val="tx1"/>
                  </w14:solidFill>
                </w14:textFill>
              </w:rPr>
              <w:t>项目施工共需人员100人，施工期人员均不在场地内住宿，生活垃圾</w:t>
            </w:r>
            <w:r>
              <w:rPr>
                <w:color w:val="000000" w:themeColor="text1"/>
                <w:lang w:eastAsia="zh-CN"/>
                <w14:textFill>
                  <w14:solidFill>
                    <w14:schemeClr w14:val="tx1"/>
                  </w14:solidFill>
                </w14:textFill>
              </w:rPr>
              <w:t>产生量</w:t>
            </w:r>
            <w:r>
              <w:rPr>
                <w:color w:val="000000" w:themeColor="text1"/>
                <w14:textFill>
                  <w14:solidFill>
                    <w14:schemeClr w14:val="tx1"/>
                  </w14:solidFill>
                </w14:textFill>
              </w:rPr>
              <w:t>按0.5kg/人·d计，则</w:t>
            </w:r>
            <w:r>
              <w:rPr>
                <w:color w:val="000000" w:themeColor="text1"/>
                <w:lang w:eastAsia="zh-CN"/>
                <w14:textFill>
                  <w14:solidFill>
                    <w14:schemeClr w14:val="tx1"/>
                  </w14:solidFill>
                </w14:textFill>
              </w:rPr>
              <w:t>施工期</w:t>
            </w:r>
            <w:r>
              <w:rPr>
                <w:color w:val="000000" w:themeColor="text1"/>
                <w14:textFill>
                  <w14:solidFill>
                    <w14:schemeClr w14:val="tx1"/>
                  </w14:solidFill>
                </w14:textFill>
              </w:rPr>
              <w:t>生活垃圾</w:t>
            </w:r>
            <w:r>
              <w:rPr>
                <w:color w:val="000000" w:themeColor="text1"/>
                <w:lang w:eastAsia="zh-CN"/>
                <w14:textFill>
                  <w14:solidFill>
                    <w14:schemeClr w14:val="tx1"/>
                  </w14:solidFill>
                </w14:textFill>
              </w:rPr>
              <w:t>产生量为0.05</w:t>
            </w:r>
            <w:r>
              <w:rPr>
                <w:color w:val="000000" w:themeColor="text1"/>
                <w14:textFill>
                  <w14:solidFill>
                    <w14:schemeClr w14:val="tx1"/>
                  </w14:solidFill>
                </w14:textFill>
              </w:rPr>
              <w:t>t/</w:t>
            </w:r>
            <w:r>
              <w:rPr>
                <w:color w:val="000000" w:themeColor="text1"/>
                <w:lang w:eastAsia="zh-CN"/>
                <w14:textFill>
                  <w14:solidFill>
                    <w14:schemeClr w14:val="tx1"/>
                  </w14:solidFill>
                </w14:textFill>
              </w:rPr>
              <w:t>d</w:t>
            </w:r>
            <w:r>
              <w:rPr>
                <w:color w:val="000000" w:themeColor="text1"/>
                <w14:textFill>
                  <w14:solidFill>
                    <w14:schemeClr w14:val="tx1"/>
                  </w14:solidFill>
                </w14:textFill>
              </w:rPr>
              <w:t>，生活垃圾集中收集，定期由当地环卫部门及时清运处理。</w:t>
            </w:r>
          </w:p>
          <w:p w14:paraId="32DCAD57">
            <w:pPr>
              <w:numPr>
                <w:ilvl w:val="0"/>
                <w:numId w:val="3"/>
              </w:numPr>
              <w:bidi w:val="0"/>
              <w:ind w:left="0" w:leftChars="0" w:firstLine="482" w:firstLineChars="200"/>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运营</w:t>
            </w:r>
            <w:r>
              <w:rPr>
                <w:rFonts w:hint="default" w:ascii="Times New Roman" w:hAnsi="Times New Roman" w:cs="Times New Roman"/>
                <w:b/>
                <w:bCs/>
                <w:color w:val="auto"/>
                <w:highlight w:val="none"/>
              </w:rPr>
              <w:t>期工艺流程</w:t>
            </w:r>
            <w:r>
              <w:rPr>
                <w:rFonts w:hint="default" w:ascii="Times New Roman" w:hAnsi="Times New Roman" w:cs="Times New Roman"/>
                <w:b/>
                <w:bCs/>
                <w:color w:val="auto"/>
                <w:highlight w:val="none"/>
                <w:lang w:val="en-US" w:eastAsia="zh-CN"/>
              </w:rPr>
              <w:t>及产污环节</w:t>
            </w:r>
          </w:p>
          <w:p w14:paraId="708C26AF">
            <w:pPr>
              <w:ind w:firstLine="48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本项目主要以研发测试为主，通过对设备的核心控制器进行拆解，改制（</w:t>
            </w:r>
            <w:r>
              <w:rPr>
                <w:color w:val="000000" w:themeColor="text1"/>
                <w:lang w:eastAsia="zh-CN"/>
                <w14:textFill>
                  <w14:solidFill>
                    <w14:schemeClr w14:val="tx1"/>
                  </w14:solidFill>
                </w14:textFill>
              </w:rPr>
              <w:t>对</w:t>
            </w:r>
            <w:r>
              <w:rPr>
                <w:rFonts w:hint="eastAsia"/>
                <w:color w:val="000000" w:themeColor="text1"/>
                <w:lang w:val="en-US" w:eastAsia="zh-CN"/>
                <w14:textFill>
                  <w14:solidFill>
                    <w14:schemeClr w14:val="tx1"/>
                  </w14:solidFill>
                </w14:textFill>
              </w:rPr>
              <w:t>单板</w:t>
            </w:r>
            <w:r>
              <w:rPr>
                <w:color w:val="000000" w:themeColor="text1"/>
                <w:lang w:eastAsia="zh-CN"/>
                <w14:textFill>
                  <w14:solidFill>
                    <w14:schemeClr w14:val="tx1"/>
                  </w14:solidFill>
                </w14:textFill>
              </w:rPr>
              <w:t>进行或功能、或元件、或结构、或布局、或尺寸、或规格等软件或硬件方面的更改</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，研发流程具有随机和不固定性。</w:t>
            </w:r>
          </w:p>
          <w:p w14:paraId="442764FF">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rPr>
            </w:pPr>
            <w:r>
              <w:rPr>
                <w:rFonts w:hint="default" w:ascii="Times New Roman" w:hAnsi="Times New Roman" w:cs="Times New Roman"/>
                <w:color w:val="auto"/>
                <w:sz w:val="24"/>
                <w:highlight w:val="none"/>
              </w:rPr>
              <w:object>
                <v:shape id="_x0000_i1026" o:spt="75" type="#_x0000_t75" style="height:222.05pt;width:392.65pt;" o:ole="t" filled="f" o:preferrelative="t" stroked="f" coordsize="21600,21600">
                  <v:path/>
                  <v:fill on="f" focussize="0,0"/>
                  <v:stroke on="f"/>
                  <v:imagedata r:id="rId21" o:title=""/>
                  <o:lock v:ext="edit" aspectratio="t"/>
                  <w10:wrap type="none"/>
                  <w10:anchorlock/>
                </v:shape>
                <o:OLEObject Type="Embed" ProgID="Visio.Drawing.11" ShapeID="_x0000_i1026" DrawAspect="Content" ObjectID="_1468075727" r:id="rId20">
                  <o:LockedField>false</o:LockedField>
                </o:OLEObject>
              </w:object>
            </w:r>
          </w:p>
          <w:p w14:paraId="6C8BD568">
            <w:pPr>
              <w:ind w:firstLine="482"/>
              <w:jc w:val="center"/>
            </w:pPr>
            <w:r>
              <w:rPr>
                <w:b/>
                <w:bCs/>
                <w:color w:val="auto"/>
              </w:rPr>
              <w:t>图</w:t>
            </w:r>
            <w:r>
              <w:rPr>
                <w:b/>
                <w:bCs/>
                <w:color w:val="auto"/>
                <w:lang w:eastAsia="zh-CN"/>
              </w:rPr>
              <w:t>2-</w:t>
            </w:r>
            <w:r>
              <w:rPr>
                <w:rFonts w:hint="eastAsia"/>
                <w:b/>
                <w:bCs/>
                <w:color w:val="auto"/>
                <w:lang w:val="en-US" w:eastAsia="zh-CN"/>
              </w:rPr>
              <w:t>3</w:t>
            </w:r>
            <w:r>
              <w:rPr>
                <w:b/>
                <w:bCs/>
                <w:color w:val="auto"/>
              </w:rPr>
              <w:t xml:space="preserve">   </w:t>
            </w:r>
            <w:r>
              <w:rPr>
                <w:rFonts w:hint="eastAsia"/>
                <w:b/>
                <w:bCs/>
                <w:color w:val="auto"/>
                <w:lang w:val="en-US" w:eastAsia="zh-CN"/>
              </w:rPr>
              <w:t>运营期</w:t>
            </w:r>
            <w:r>
              <w:rPr>
                <w:b/>
                <w:bCs/>
                <w:color w:val="auto"/>
                <w:lang w:eastAsia="zh-CN"/>
              </w:rPr>
              <w:t>流程及</w:t>
            </w:r>
            <w:r>
              <w:rPr>
                <w:b/>
                <w:bCs/>
                <w:color w:val="auto"/>
              </w:rPr>
              <w:t>产污环节图</w:t>
            </w:r>
          </w:p>
          <w:p w14:paraId="5498F541">
            <w:pPr>
              <w:ind w:firstLine="482"/>
              <w:jc w:val="left"/>
              <w:rPr>
                <w:rFonts w:hint="eastAsia"/>
                <w:lang w:val="en-US" w:eastAsia="zh-CN"/>
              </w:rPr>
            </w:pPr>
            <w:r>
              <w:rPr>
                <w:rFonts w:hint="eastAsia"/>
                <w:lang w:val="en-US" w:eastAsia="zh-CN"/>
              </w:rPr>
              <w:t>研发流程：</w:t>
            </w:r>
          </w:p>
          <w:p w14:paraId="5AA769AF">
            <w:pPr>
              <w:keepNext w:val="0"/>
              <w:keepLines w:val="0"/>
              <w:pageBreakBefore w:val="0"/>
              <w:widowControl w:val="0"/>
              <w:kinsoku/>
              <w:wordWrap/>
              <w:overflowPunct/>
              <w:topLinePunct w:val="0"/>
              <w:autoSpaceDE/>
              <w:autoSpaceDN/>
              <w:bidi w:val="0"/>
              <w:adjustRightInd/>
              <w:snapToGrid/>
              <w:ind w:firstLine="482"/>
              <w:jc w:val="left"/>
              <w:textAlignment w:val="auto"/>
              <w:rPr>
                <w:rFonts w:hint="default"/>
                <w:lang w:val="en-US" w:eastAsia="zh-CN"/>
              </w:rPr>
            </w:pPr>
            <w:r>
              <w:rPr>
                <w:rFonts w:hint="default"/>
                <w:b/>
                <w:bCs/>
                <w:lang w:val="en-US" w:eastAsia="zh-CN"/>
              </w:rPr>
              <w:t>拆装整机</w:t>
            </w:r>
            <w:r>
              <w:rPr>
                <w:rFonts w:hint="eastAsia"/>
                <w:lang w:val="en-US" w:eastAsia="zh-CN"/>
              </w:rPr>
              <w:t>：</w:t>
            </w:r>
            <w:r>
              <w:rPr>
                <w:rFonts w:hint="default"/>
                <w:lang w:val="en-US" w:eastAsia="zh-CN"/>
              </w:rPr>
              <w:t>首先对</w:t>
            </w:r>
            <w:r>
              <w:rPr>
                <w:rFonts w:hint="eastAsia"/>
                <w:lang w:val="en-US" w:eastAsia="zh-CN"/>
              </w:rPr>
              <w:t>公司现生产的自动化设备、储能</w:t>
            </w:r>
            <w:r>
              <w:rPr>
                <w:rFonts w:hint="default"/>
                <w:lang w:val="en-US" w:eastAsia="zh-CN"/>
              </w:rPr>
              <w:t>设备</w:t>
            </w:r>
            <w:r>
              <w:rPr>
                <w:rFonts w:hint="eastAsia"/>
                <w:lang w:val="en-US" w:eastAsia="zh-CN"/>
              </w:rPr>
              <w:t>及动力系统设备</w:t>
            </w:r>
            <w:r>
              <w:rPr>
                <w:rFonts w:hint="default"/>
                <w:lang w:val="en-US" w:eastAsia="zh-CN"/>
              </w:rPr>
              <w:t>整机进行拆卸处理</w:t>
            </w:r>
            <w:r>
              <w:rPr>
                <w:rFonts w:hint="eastAsia"/>
                <w:lang w:val="en-US" w:eastAsia="zh-CN"/>
              </w:rPr>
              <w:t>，对拆卸出来的核心零部件、单板器进行研发测试</w:t>
            </w:r>
            <w:r>
              <w:rPr>
                <w:rFonts w:hint="default"/>
                <w:lang w:val="en-US" w:eastAsia="zh-CN"/>
              </w:rPr>
              <w:t>。</w:t>
            </w:r>
          </w:p>
          <w:p w14:paraId="7C86E876">
            <w:pPr>
              <w:bidi w:val="0"/>
              <w:rPr>
                <w:rFonts w:hint="eastAsia" w:cs="Times New Roman"/>
                <w:lang w:val="en-US" w:eastAsia="zh-CN"/>
              </w:rPr>
            </w:pPr>
            <w:r>
              <w:rPr>
                <w:rFonts w:hint="default"/>
                <w:b/>
                <w:bCs/>
                <w:lang w:val="en-US" w:eastAsia="zh-CN"/>
              </w:rPr>
              <w:t>单板器件改制</w:t>
            </w:r>
            <w:r>
              <w:rPr>
                <w:rFonts w:hint="eastAsia"/>
                <w:lang w:val="en-US" w:eastAsia="zh-CN"/>
              </w:rPr>
              <w:t>：</w:t>
            </w:r>
            <w:r>
              <w:rPr>
                <w:rFonts w:hint="default"/>
                <w:lang w:val="en-US" w:eastAsia="zh-CN"/>
              </w:rPr>
              <w:t>拆卸后，对设备</w:t>
            </w:r>
            <w:r>
              <w:rPr>
                <w:rFonts w:hint="eastAsia"/>
                <w:lang w:val="en-US" w:eastAsia="zh-CN"/>
              </w:rPr>
              <w:t>（自动化设备、新能源汽车</w:t>
            </w:r>
            <w:r>
              <w:rPr>
                <w:rFonts w:hint="default"/>
                <w:lang w:val="en-US" w:eastAsia="zh-CN"/>
              </w:rPr>
              <w:t>电机、电控、电驱总成、电源系统产品</w:t>
            </w:r>
            <w:r>
              <w:rPr>
                <w:rFonts w:hint="eastAsia"/>
                <w:lang w:val="en-US" w:eastAsia="zh-CN"/>
              </w:rPr>
              <w:t>和储能设备）</w:t>
            </w:r>
            <w:r>
              <w:rPr>
                <w:rFonts w:hint="default"/>
                <w:lang w:val="en-US" w:eastAsia="zh-CN"/>
              </w:rPr>
              <w:t>的单板或器件进行改装、调整或升级。</w:t>
            </w:r>
            <w:r>
              <w:rPr>
                <w:rFonts w:hint="eastAsia"/>
                <w:lang w:val="en-US" w:eastAsia="zh-CN"/>
              </w:rPr>
              <w:t>其中包括</w:t>
            </w:r>
            <w:r>
              <w:rPr>
                <w:rFonts w:hint="eastAsia" w:ascii="Times New Roman" w:hAnsi="Times New Roman" w:eastAsia="宋体" w:cs="Times New Roman"/>
                <w:lang w:val="en-US" w:eastAsia="zh-CN"/>
              </w:rPr>
              <w:t>对</w:t>
            </w:r>
            <w:r>
              <w:rPr>
                <w:rFonts w:hint="default" w:ascii="Times New Roman" w:hAnsi="Times New Roman" w:eastAsia="宋体" w:cs="Times New Roman"/>
                <w:lang w:val="en-US" w:eastAsia="zh-CN"/>
              </w:rPr>
              <w:t>电路板中单个元器件封装</w:t>
            </w:r>
            <w:r>
              <w:rPr>
                <w:rFonts w:hint="eastAsia" w:cs="Times New Roman"/>
                <w:lang w:val="en-US" w:eastAsia="zh-CN"/>
              </w:rPr>
              <w:t>、布局、结构</w:t>
            </w:r>
            <w:r>
              <w:rPr>
                <w:rFonts w:hint="default" w:ascii="Times New Roman" w:hAnsi="Times New Roman" w:eastAsia="宋体" w:cs="Times New Roman"/>
                <w:lang w:val="en-US" w:eastAsia="zh-CN"/>
              </w:rPr>
              <w:t>或焊盘的修改流程，需单独调整其参数（如焊盘大小、引脚属性）而不影响其他同类器件</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通过</w:t>
            </w:r>
            <w:r>
              <w:rPr>
                <w:rFonts w:hint="eastAsia" w:ascii="Times New Roman" w:hAnsi="Times New Roman" w:eastAsia="宋体" w:cs="Times New Roman"/>
                <w:lang w:val="en-US" w:eastAsia="zh-CN"/>
              </w:rPr>
              <w:t>软件</w:t>
            </w:r>
            <w:r>
              <w:rPr>
                <w:rFonts w:hint="default" w:ascii="Times New Roman" w:hAnsi="Times New Roman" w:eastAsia="宋体" w:cs="Times New Roman"/>
                <w:lang w:val="en-US" w:eastAsia="zh-CN"/>
              </w:rPr>
              <w:t>工具操作实现参数调整</w:t>
            </w:r>
            <w:r>
              <w:rPr>
                <w:rFonts w:hint="eastAsia" w:ascii="Times New Roman" w:hAnsi="Times New Roman" w:eastAsia="宋体" w:cs="Times New Roman"/>
                <w:lang w:val="en-US" w:eastAsia="zh-CN"/>
              </w:rPr>
              <w:t>。其中</w:t>
            </w:r>
            <w:r>
              <w:rPr>
                <w:rFonts w:hint="eastAsia" w:cs="Times New Roman"/>
                <w:lang w:val="en-US" w:eastAsia="zh-CN"/>
              </w:rPr>
              <w:t>涉及</w:t>
            </w:r>
            <w:r>
              <w:rPr>
                <w:rFonts w:hint="eastAsia" w:ascii="Times New Roman" w:hAnsi="Times New Roman" w:eastAsia="宋体" w:cs="Times New Roman"/>
                <w:lang w:val="en-US" w:eastAsia="zh-CN"/>
              </w:rPr>
              <w:t>到焊接</w:t>
            </w:r>
            <w:r>
              <w:rPr>
                <w:rFonts w:hint="eastAsia" w:cs="Times New Roman"/>
                <w:lang w:val="en-US" w:eastAsia="zh-CN"/>
              </w:rPr>
              <w:t>、酸洗、胶粘等工序，各工序独立操作，无先后顺序。</w:t>
            </w:r>
          </w:p>
          <w:p w14:paraId="5C03F56D">
            <w:pPr>
              <w:bidi w:val="0"/>
              <w:rPr>
                <w:rFonts w:hint="eastAsia" w:cs="Times New Roman"/>
                <w:lang w:val="en-US" w:eastAsia="zh-CN"/>
              </w:rPr>
            </w:pPr>
            <w:r>
              <w:rPr>
                <w:rFonts w:hint="eastAsia" w:cs="Times New Roman"/>
                <w:lang w:val="en-US" w:eastAsia="zh-CN"/>
              </w:rPr>
              <w:t>焊接：使用焊丝进行焊接操作，产生的焊接烟尘经焊烟净化器处理后无组织排放；</w:t>
            </w:r>
          </w:p>
          <w:p w14:paraId="3E34CE13">
            <w:pPr>
              <w:bidi w:val="0"/>
              <w:rPr>
                <w:rFonts w:hint="default" w:cs="Times New Roman"/>
                <w:lang w:val="en-US" w:eastAsia="zh-CN"/>
              </w:rPr>
            </w:pPr>
            <w:r>
              <w:rPr>
                <w:rFonts w:hint="eastAsia" w:cs="Times New Roman"/>
                <w:lang w:val="en-US" w:eastAsia="zh-CN"/>
              </w:rPr>
              <w:t>酸洗：研发过程中使用硝酸、盐酸等酸性化学品对单板表面进行擦拭，该酸洗擦拭工序在通风橱内进行，产生的酸性气体通过通风橱内置的</w:t>
            </w:r>
            <w:r>
              <w:rPr>
                <w:rFonts w:hint="eastAsia" w:ascii="宋体" w:hAnsi="宋体" w:eastAsia="宋体"/>
                <w:sz w:val="24"/>
                <w:szCs w:val="24"/>
                <w:lang w:val="en-US" w:eastAsia="zh-CN"/>
              </w:rPr>
              <w:t>SDG酸性气体吸附剂</w:t>
            </w:r>
            <w:r>
              <w:rPr>
                <w:rFonts w:hint="eastAsia" w:ascii="宋体" w:hAnsi="宋体"/>
                <w:sz w:val="24"/>
                <w:szCs w:val="24"/>
                <w:lang w:val="en-US" w:eastAsia="zh-CN"/>
              </w:rPr>
              <w:t>处理后无组织排放</w:t>
            </w:r>
            <w:r>
              <w:rPr>
                <w:rFonts w:hint="eastAsia" w:cs="Times New Roman"/>
                <w:lang w:val="en-US" w:eastAsia="zh-CN"/>
              </w:rPr>
              <w:t>；酸洗过程中使用软毛刷进行擦拭，会产生沾有化学品的毛刷和废化学品瓶等固体废物；</w:t>
            </w:r>
          </w:p>
          <w:p w14:paraId="3C8BB33B">
            <w:pPr>
              <w:bidi w:val="0"/>
              <w:rPr>
                <w:rFonts w:hint="default" w:eastAsia="宋体" w:cs="Times New Roman"/>
                <w:color w:val="auto"/>
                <w:highlight w:val="none"/>
                <w:lang w:val="en-US" w:eastAsia="zh-CN"/>
              </w:rPr>
            </w:pPr>
            <w:r>
              <w:rPr>
                <w:rFonts w:hint="eastAsia" w:cs="Times New Roman"/>
                <w:lang w:val="en-US" w:eastAsia="zh-CN"/>
              </w:rPr>
              <w:t>胶粘：项目研发过程中会使用电路保护剂、酒精和含有挥发性有机物的胶剂，使用过程中会产生有机废气，</w:t>
            </w:r>
            <w:r>
              <w:rPr>
                <w:rFonts w:hint="eastAsia" w:cs="Times New Roman"/>
                <w:color w:val="auto"/>
                <w:highlight w:val="none"/>
                <w:lang w:val="en-US" w:eastAsia="zh-CN"/>
              </w:rPr>
              <w:t>将使用含VOCs的工位设置为单独的</w:t>
            </w:r>
            <w:r>
              <w:rPr>
                <w:rFonts w:hint="eastAsia" w:eastAsia="宋体" w:cs="Times New Roman"/>
                <w:color w:val="auto"/>
                <w:highlight w:val="none"/>
                <w:lang w:val="en-US" w:eastAsia="zh-CN"/>
              </w:rPr>
              <w:t>密闭空间</w:t>
            </w:r>
            <w:r>
              <w:rPr>
                <w:rFonts w:hint="eastAsia" w:cs="Times New Roman"/>
                <w:color w:val="auto"/>
                <w:highlight w:val="none"/>
                <w:lang w:val="en-US" w:eastAsia="zh-CN"/>
              </w:rPr>
              <w:t>，并</w:t>
            </w:r>
            <w:r>
              <w:rPr>
                <w:rFonts w:hint="eastAsia" w:eastAsia="宋体" w:cs="Times New Roman"/>
                <w:color w:val="auto"/>
                <w:highlight w:val="none"/>
                <w:lang w:val="en-US" w:eastAsia="zh-CN"/>
              </w:rPr>
              <w:t>设置两级活性炭的通风排气设备，</w:t>
            </w:r>
            <w:r>
              <w:rPr>
                <w:rFonts w:hint="eastAsia" w:cs="Times New Roman"/>
                <w:color w:val="auto"/>
                <w:highlight w:val="none"/>
                <w:lang w:val="en-US" w:eastAsia="zh-CN"/>
              </w:rPr>
              <w:t>研发过程</w:t>
            </w:r>
            <w:r>
              <w:rPr>
                <w:rFonts w:hint="eastAsia" w:eastAsia="宋体" w:cs="Times New Roman"/>
                <w:color w:val="auto"/>
                <w:highlight w:val="none"/>
                <w:lang w:val="en-US" w:eastAsia="zh-CN"/>
              </w:rPr>
              <w:t>产生的非甲烷</w:t>
            </w:r>
            <w:r>
              <w:rPr>
                <w:rFonts w:hint="eastAsia" w:cs="Times New Roman"/>
                <w:color w:val="auto"/>
                <w:highlight w:val="none"/>
                <w:lang w:val="en-US" w:eastAsia="zh-CN"/>
              </w:rPr>
              <w:t>总烃</w:t>
            </w:r>
            <w:r>
              <w:rPr>
                <w:rFonts w:hint="eastAsia" w:eastAsia="宋体" w:cs="Times New Roman"/>
                <w:color w:val="auto"/>
                <w:highlight w:val="none"/>
                <w:lang w:val="en-US" w:eastAsia="zh-CN"/>
              </w:rPr>
              <w:t>废气通过两级活性炭处理后，经通风排气设备无组织排放</w:t>
            </w:r>
            <w:r>
              <w:rPr>
                <w:rFonts w:hint="eastAsia" w:cs="Times New Roman"/>
                <w:color w:val="auto"/>
                <w:highlight w:val="none"/>
                <w:lang w:val="en-US" w:eastAsia="zh-CN"/>
              </w:rPr>
              <w:t>；胶粘过程中擦拭和涂抹都使用软毛刷完成，故会产生沾有有机胶剂的毛刷和废胶瓶等固体废物。</w:t>
            </w:r>
          </w:p>
          <w:p w14:paraId="4C60E597">
            <w:pPr>
              <w:keepNext w:val="0"/>
              <w:keepLines w:val="0"/>
              <w:pageBreakBefore w:val="0"/>
              <w:widowControl w:val="0"/>
              <w:kinsoku/>
              <w:wordWrap/>
              <w:overflowPunct/>
              <w:topLinePunct w:val="0"/>
              <w:autoSpaceDE/>
              <w:autoSpaceDN/>
              <w:bidi w:val="0"/>
              <w:adjustRightInd/>
              <w:snapToGrid/>
              <w:ind w:firstLine="482"/>
              <w:jc w:val="left"/>
              <w:textAlignment w:val="auto"/>
              <w:rPr>
                <w:rFonts w:hint="default"/>
                <w:lang w:val="en-US" w:eastAsia="zh-CN"/>
              </w:rPr>
            </w:pPr>
            <w:r>
              <w:rPr>
                <w:rFonts w:hint="default"/>
                <w:b/>
                <w:bCs/>
                <w:lang w:val="en-US" w:eastAsia="zh-CN"/>
              </w:rPr>
              <w:t>环境性能测试</w:t>
            </w:r>
            <w:r>
              <w:rPr>
                <w:rFonts w:hint="eastAsia"/>
                <w:lang w:val="en-US" w:eastAsia="zh-CN"/>
              </w:rPr>
              <w:t>：</w:t>
            </w:r>
            <w:r>
              <w:rPr>
                <w:rFonts w:hint="default"/>
                <w:lang w:val="en-US" w:eastAsia="zh-CN"/>
              </w:rPr>
              <w:t>改制完成后，对设备的环境适应性（如耐温、湿度等）及性能指标进行测试。</w:t>
            </w:r>
            <w:r>
              <w:rPr>
                <w:rFonts w:hint="eastAsia"/>
                <w:lang w:val="en-US" w:eastAsia="zh-CN"/>
              </w:rPr>
              <w:t>包括盐雾测试、雨淋测试、振动测试和跌落测试等会产生废水和噪声。</w:t>
            </w:r>
          </w:p>
          <w:p w14:paraId="7F28B7B3">
            <w:pPr>
              <w:keepNext w:val="0"/>
              <w:keepLines w:val="0"/>
              <w:pageBreakBefore w:val="0"/>
              <w:widowControl w:val="0"/>
              <w:kinsoku/>
              <w:wordWrap/>
              <w:overflowPunct/>
              <w:topLinePunct w:val="0"/>
              <w:autoSpaceDE/>
              <w:autoSpaceDN/>
              <w:bidi w:val="0"/>
              <w:adjustRightInd/>
              <w:snapToGrid/>
              <w:ind w:firstLine="482"/>
              <w:jc w:val="left"/>
              <w:textAlignment w:val="auto"/>
              <w:rPr>
                <w:rFonts w:hint="default"/>
                <w:lang w:val="en-US" w:eastAsia="zh-CN"/>
              </w:rPr>
            </w:pPr>
            <w:r>
              <w:rPr>
                <w:rFonts w:hint="default"/>
                <w:b/>
                <w:bCs/>
                <w:lang w:val="en-US" w:eastAsia="zh-CN"/>
              </w:rPr>
              <w:t>设备维护</w:t>
            </w:r>
            <w:r>
              <w:rPr>
                <w:rFonts w:hint="eastAsia"/>
                <w:lang w:val="en-US" w:eastAsia="zh-CN"/>
              </w:rPr>
              <w:t>：</w:t>
            </w:r>
            <w:r>
              <w:rPr>
                <w:rFonts w:hint="default"/>
                <w:lang w:val="en-US" w:eastAsia="zh-CN"/>
              </w:rPr>
              <w:t>完成测试后，对</w:t>
            </w:r>
            <w:r>
              <w:rPr>
                <w:rFonts w:hint="eastAsia"/>
                <w:lang w:val="en-US" w:eastAsia="zh-CN"/>
              </w:rPr>
              <w:t>整机</w:t>
            </w:r>
            <w:r>
              <w:rPr>
                <w:rFonts w:hint="default"/>
                <w:lang w:val="en-US" w:eastAsia="zh-CN"/>
              </w:rPr>
              <w:t>设备进行最终的</w:t>
            </w:r>
            <w:r>
              <w:rPr>
                <w:rFonts w:hint="eastAsia"/>
                <w:lang w:val="en-US" w:eastAsia="zh-CN"/>
              </w:rPr>
              <w:t>系统</w:t>
            </w:r>
            <w:r>
              <w:rPr>
                <w:rFonts w:hint="default"/>
                <w:lang w:val="en-US" w:eastAsia="zh-CN"/>
              </w:rPr>
              <w:t>维护</w:t>
            </w:r>
            <w:r>
              <w:rPr>
                <w:rFonts w:hint="eastAsia"/>
                <w:lang w:val="en-US" w:eastAsia="zh-CN"/>
              </w:rPr>
              <w:t>和硬件零部件</w:t>
            </w:r>
            <w:r>
              <w:rPr>
                <w:rFonts w:hint="default"/>
                <w:lang w:val="en-US" w:eastAsia="zh-CN"/>
              </w:rPr>
              <w:t>保养，确保其正常运行。</w:t>
            </w:r>
          </w:p>
          <w:p w14:paraId="37ED308D">
            <w:pPr>
              <w:bidi w:val="0"/>
              <w:jc w:val="center"/>
              <w:rPr>
                <w:b/>
                <w:bCs/>
                <w:color w:val="auto"/>
                <w:lang w:val="en-GB"/>
              </w:rPr>
            </w:pPr>
            <w:r>
              <w:rPr>
                <w:b/>
                <w:bCs/>
                <w:color w:val="auto"/>
                <w:lang w:val="en-GB"/>
              </w:rPr>
              <w:t>表</w:t>
            </w:r>
            <w:r>
              <w:rPr>
                <w:rFonts w:hint="eastAsia"/>
                <w:b/>
                <w:bCs/>
                <w:color w:val="auto"/>
                <w:lang w:val="en-US" w:eastAsia="zh-CN"/>
              </w:rPr>
              <w:t>2-8</w:t>
            </w:r>
            <w:r>
              <w:rPr>
                <w:b/>
                <w:bCs/>
                <w:color w:val="auto"/>
                <w:lang w:val="en-GB"/>
              </w:rPr>
              <w:t xml:space="preserve"> 项目运营期主要污染源分析一览表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710"/>
              <w:gridCol w:w="2099"/>
              <w:gridCol w:w="3397"/>
            </w:tblGrid>
            <w:tr w14:paraId="5867E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Align w:val="center"/>
                </w:tcPr>
                <w:p w14:paraId="216C52B6">
                  <w:pPr>
                    <w:adjustRightInd w:val="0"/>
                    <w:spacing w:line="360" w:lineRule="atLeast"/>
                    <w:ind w:firstLine="0" w:firstLineChars="0"/>
                    <w:jc w:val="center"/>
                    <w:rPr>
                      <w:b/>
                      <w:color w:val="auto"/>
                      <w:sz w:val="21"/>
                    </w:rPr>
                  </w:pPr>
                  <w:r>
                    <w:rPr>
                      <w:b/>
                      <w:color w:val="auto"/>
                      <w:sz w:val="21"/>
                    </w:rPr>
                    <w:t>污染类别</w:t>
                  </w:r>
                </w:p>
              </w:tc>
              <w:tc>
                <w:tcPr>
                  <w:tcW w:w="1057" w:type="pct"/>
                  <w:vAlign w:val="center"/>
                </w:tcPr>
                <w:p w14:paraId="508AFDF8">
                  <w:pPr>
                    <w:adjustRightInd w:val="0"/>
                    <w:spacing w:line="360" w:lineRule="atLeast"/>
                    <w:ind w:firstLine="0" w:firstLineChars="0"/>
                    <w:jc w:val="center"/>
                    <w:rPr>
                      <w:b/>
                      <w:color w:val="auto"/>
                      <w:sz w:val="21"/>
                    </w:rPr>
                  </w:pPr>
                  <w:r>
                    <w:rPr>
                      <w:b/>
                      <w:color w:val="auto"/>
                      <w:sz w:val="21"/>
                    </w:rPr>
                    <w:t>产生环节</w:t>
                  </w:r>
                </w:p>
              </w:tc>
              <w:tc>
                <w:tcPr>
                  <w:tcW w:w="1297" w:type="pct"/>
                  <w:vAlign w:val="center"/>
                </w:tcPr>
                <w:p w14:paraId="7F3E0103">
                  <w:pPr>
                    <w:adjustRightInd w:val="0"/>
                    <w:spacing w:line="360" w:lineRule="atLeast"/>
                    <w:ind w:firstLine="0" w:firstLineChars="0"/>
                    <w:jc w:val="center"/>
                    <w:rPr>
                      <w:b/>
                      <w:color w:val="auto"/>
                      <w:sz w:val="21"/>
                    </w:rPr>
                  </w:pPr>
                  <w:r>
                    <w:rPr>
                      <w:b/>
                      <w:color w:val="auto"/>
                      <w:sz w:val="21"/>
                    </w:rPr>
                    <w:t>污染物名称</w:t>
                  </w:r>
                </w:p>
              </w:tc>
              <w:tc>
                <w:tcPr>
                  <w:tcW w:w="2100" w:type="pct"/>
                  <w:vAlign w:val="center"/>
                </w:tcPr>
                <w:p w14:paraId="08B9BBD7">
                  <w:pPr>
                    <w:adjustRightInd w:val="0"/>
                    <w:spacing w:line="360" w:lineRule="atLeast"/>
                    <w:ind w:firstLine="0" w:firstLineChars="0"/>
                    <w:jc w:val="center"/>
                    <w:rPr>
                      <w:b/>
                      <w:color w:val="auto"/>
                      <w:sz w:val="21"/>
                    </w:rPr>
                  </w:pPr>
                  <w:r>
                    <w:rPr>
                      <w:b/>
                      <w:color w:val="auto"/>
                      <w:sz w:val="21"/>
                    </w:rPr>
                    <w:t>污染物种类</w:t>
                  </w:r>
                </w:p>
              </w:tc>
            </w:tr>
            <w:tr w14:paraId="7B678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restart"/>
                  <w:vAlign w:val="center"/>
                </w:tcPr>
                <w:p w14:paraId="24644A5A">
                  <w:pPr>
                    <w:adjustRightInd w:val="0"/>
                    <w:spacing w:line="360" w:lineRule="atLeast"/>
                    <w:ind w:firstLine="0" w:firstLineChars="0"/>
                    <w:jc w:val="center"/>
                    <w:rPr>
                      <w:bCs/>
                      <w:color w:val="auto"/>
                      <w:sz w:val="21"/>
                    </w:rPr>
                  </w:pPr>
                  <w:r>
                    <w:rPr>
                      <w:bCs/>
                      <w:color w:val="auto"/>
                      <w:sz w:val="21"/>
                    </w:rPr>
                    <w:t>废气</w:t>
                  </w:r>
                </w:p>
              </w:tc>
              <w:tc>
                <w:tcPr>
                  <w:tcW w:w="1057" w:type="pct"/>
                  <w:vMerge w:val="restart"/>
                  <w:vAlign w:val="center"/>
                </w:tcPr>
                <w:p w14:paraId="2EC87D99">
                  <w:pPr>
                    <w:adjustRightInd w:val="0"/>
                    <w:spacing w:line="360" w:lineRule="atLeast"/>
                    <w:ind w:firstLine="0" w:firstLineChars="0"/>
                    <w:jc w:val="center"/>
                    <w:rPr>
                      <w:rFonts w:hint="default" w:eastAsia="宋体"/>
                      <w:bCs/>
                      <w:color w:val="auto"/>
                      <w:sz w:val="21"/>
                      <w:lang w:val="en-US" w:eastAsia="zh-CN"/>
                    </w:rPr>
                  </w:pPr>
                  <w:r>
                    <w:rPr>
                      <w:rFonts w:hint="eastAsia"/>
                      <w:bCs/>
                      <w:color w:val="auto"/>
                      <w:sz w:val="21"/>
                      <w:lang w:val="en-US" w:eastAsia="zh-CN"/>
                    </w:rPr>
                    <w:t>研发过程</w:t>
                  </w:r>
                </w:p>
              </w:tc>
              <w:tc>
                <w:tcPr>
                  <w:tcW w:w="1297" w:type="pct"/>
                  <w:vAlign w:val="center"/>
                </w:tcPr>
                <w:p w14:paraId="5C8733B7">
                  <w:pPr>
                    <w:adjustRightInd w:val="0"/>
                    <w:spacing w:line="360" w:lineRule="atLeast"/>
                    <w:ind w:firstLine="0" w:firstLineChars="0"/>
                    <w:jc w:val="center"/>
                    <w:rPr>
                      <w:rFonts w:hint="eastAsia" w:eastAsia="宋体"/>
                      <w:bCs/>
                      <w:color w:val="auto"/>
                      <w:sz w:val="21"/>
                      <w:lang w:val="en-US" w:eastAsia="zh-CN"/>
                    </w:rPr>
                  </w:pPr>
                  <w:r>
                    <w:rPr>
                      <w:rFonts w:hint="eastAsia"/>
                      <w:bCs/>
                      <w:color w:val="auto"/>
                      <w:sz w:val="21"/>
                      <w:lang w:val="en-US" w:eastAsia="zh-CN"/>
                    </w:rPr>
                    <w:t>酸性废气</w:t>
                  </w:r>
                </w:p>
              </w:tc>
              <w:tc>
                <w:tcPr>
                  <w:tcW w:w="2100" w:type="pct"/>
                  <w:vAlign w:val="center"/>
                </w:tcPr>
                <w:p w14:paraId="49D7EB37">
                  <w:pPr>
                    <w:adjustRightInd w:val="0"/>
                    <w:spacing w:line="360" w:lineRule="atLeast"/>
                    <w:ind w:firstLine="0" w:firstLineChars="0"/>
                    <w:jc w:val="center"/>
                    <w:rPr>
                      <w:rFonts w:hint="default" w:eastAsia="宋体"/>
                      <w:bCs/>
                      <w:color w:val="auto"/>
                      <w:sz w:val="21"/>
                      <w:vertAlign w:val="baseline"/>
                      <w:lang w:val="en-US" w:eastAsia="zh-CN"/>
                    </w:rPr>
                  </w:pPr>
                  <w:r>
                    <w:rPr>
                      <w:rFonts w:hint="eastAsia" w:eastAsia="宋体"/>
                      <w:bCs/>
                      <w:color w:val="auto"/>
                      <w:sz w:val="21"/>
                      <w:lang w:val="en-US" w:eastAsia="zh-CN"/>
                    </w:rPr>
                    <w:t>HCl、NO</w:t>
                  </w:r>
                  <w:r>
                    <w:rPr>
                      <w:rFonts w:hint="eastAsia" w:eastAsia="宋体"/>
                      <w:bCs/>
                      <w:color w:val="auto"/>
                      <w:sz w:val="21"/>
                      <w:vertAlign w:val="subscript"/>
                      <w:lang w:val="en-US" w:eastAsia="zh-CN"/>
                    </w:rPr>
                    <w:t>X</w:t>
                  </w:r>
                </w:p>
              </w:tc>
            </w:tr>
            <w:tr w14:paraId="496ED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4CC756A1">
                  <w:pPr>
                    <w:adjustRightInd w:val="0"/>
                    <w:spacing w:line="360" w:lineRule="atLeast"/>
                    <w:ind w:firstLine="0" w:firstLineChars="0"/>
                    <w:jc w:val="center"/>
                    <w:rPr>
                      <w:bCs/>
                      <w:color w:val="auto"/>
                      <w:sz w:val="21"/>
                    </w:rPr>
                  </w:pPr>
                </w:p>
              </w:tc>
              <w:tc>
                <w:tcPr>
                  <w:tcW w:w="1057" w:type="pct"/>
                  <w:vMerge w:val="continue"/>
                  <w:vAlign w:val="center"/>
                </w:tcPr>
                <w:p w14:paraId="150E98E0">
                  <w:pPr>
                    <w:adjustRightInd w:val="0"/>
                    <w:spacing w:line="360" w:lineRule="atLeast"/>
                    <w:ind w:firstLine="0" w:firstLineChars="0"/>
                    <w:jc w:val="center"/>
                    <w:rPr>
                      <w:bCs/>
                      <w:color w:val="auto"/>
                      <w:sz w:val="21"/>
                    </w:rPr>
                  </w:pPr>
                </w:p>
              </w:tc>
              <w:tc>
                <w:tcPr>
                  <w:tcW w:w="1297" w:type="pct"/>
                  <w:shd w:val="clear" w:color="auto" w:fill="auto"/>
                  <w:vAlign w:val="center"/>
                </w:tcPr>
                <w:p w14:paraId="6C0B8996">
                  <w:pPr>
                    <w:adjustRightInd w:val="0"/>
                    <w:spacing w:line="360" w:lineRule="atLeast"/>
                    <w:ind w:firstLine="0" w:firstLineChars="0"/>
                    <w:jc w:val="center"/>
                    <w:rPr>
                      <w:rFonts w:hint="default" w:ascii="Times New Roman" w:hAnsi="Times New Roman" w:eastAsia="宋体" w:cs="Times New Roman"/>
                      <w:bCs/>
                      <w:color w:val="auto"/>
                      <w:spacing w:val="2"/>
                      <w:kern w:val="2"/>
                      <w:sz w:val="21"/>
                      <w:szCs w:val="21"/>
                      <w:lang w:val="en-US" w:eastAsia="zh-CN" w:bidi="ar-SA"/>
                    </w:rPr>
                  </w:pPr>
                  <w:r>
                    <w:rPr>
                      <w:rFonts w:hint="eastAsia" w:ascii="Times New Roman" w:hAnsi="Times New Roman" w:eastAsia="宋体" w:cs="Times New Roman"/>
                      <w:bCs/>
                      <w:color w:val="auto"/>
                      <w:spacing w:val="2"/>
                      <w:kern w:val="2"/>
                      <w:sz w:val="21"/>
                      <w:szCs w:val="21"/>
                      <w:lang w:val="en-US" w:eastAsia="zh-CN" w:bidi="ar-SA"/>
                    </w:rPr>
                    <w:t>有机废气</w:t>
                  </w:r>
                </w:p>
              </w:tc>
              <w:tc>
                <w:tcPr>
                  <w:tcW w:w="2100" w:type="pct"/>
                  <w:vAlign w:val="center"/>
                </w:tcPr>
                <w:p w14:paraId="11AA32E3">
                  <w:pPr>
                    <w:adjustRightInd w:val="0"/>
                    <w:spacing w:line="360" w:lineRule="atLeast"/>
                    <w:ind w:firstLine="0" w:firstLineChars="0"/>
                    <w:jc w:val="center"/>
                    <w:rPr>
                      <w:rFonts w:hint="default" w:eastAsia="宋体"/>
                      <w:bCs/>
                      <w:color w:val="auto"/>
                      <w:sz w:val="21"/>
                      <w:lang w:val="en-US" w:eastAsia="zh-CN"/>
                    </w:rPr>
                  </w:pPr>
                  <w:r>
                    <w:rPr>
                      <w:rFonts w:hint="eastAsia" w:eastAsia="宋体"/>
                      <w:bCs/>
                      <w:color w:val="auto"/>
                      <w:sz w:val="21"/>
                      <w:lang w:val="en-US" w:eastAsia="zh-CN"/>
                    </w:rPr>
                    <w:t>非甲烷总烃</w:t>
                  </w:r>
                </w:p>
              </w:tc>
            </w:tr>
            <w:tr w14:paraId="4DF7D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47528ECD">
                  <w:pPr>
                    <w:adjustRightInd w:val="0"/>
                    <w:spacing w:line="360" w:lineRule="atLeast"/>
                    <w:ind w:firstLine="0" w:firstLineChars="0"/>
                    <w:jc w:val="center"/>
                    <w:rPr>
                      <w:bCs/>
                      <w:color w:val="auto"/>
                      <w:sz w:val="21"/>
                    </w:rPr>
                  </w:pPr>
                </w:p>
              </w:tc>
              <w:tc>
                <w:tcPr>
                  <w:tcW w:w="1057" w:type="pct"/>
                  <w:vMerge w:val="continue"/>
                  <w:vAlign w:val="center"/>
                </w:tcPr>
                <w:p w14:paraId="0E20CA0B">
                  <w:pPr>
                    <w:adjustRightInd w:val="0"/>
                    <w:spacing w:line="360" w:lineRule="atLeast"/>
                    <w:ind w:firstLine="0" w:firstLineChars="0"/>
                    <w:jc w:val="center"/>
                    <w:rPr>
                      <w:bCs/>
                      <w:color w:val="auto"/>
                      <w:sz w:val="21"/>
                    </w:rPr>
                  </w:pPr>
                </w:p>
              </w:tc>
              <w:tc>
                <w:tcPr>
                  <w:tcW w:w="1297" w:type="pct"/>
                  <w:shd w:val="clear" w:color="auto" w:fill="auto"/>
                  <w:vAlign w:val="center"/>
                </w:tcPr>
                <w:p w14:paraId="231CC0A5">
                  <w:pPr>
                    <w:adjustRightInd w:val="0"/>
                    <w:spacing w:line="360" w:lineRule="atLeast"/>
                    <w:ind w:firstLine="0" w:firstLineChars="0"/>
                    <w:jc w:val="center"/>
                    <w:rPr>
                      <w:rFonts w:hint="default" w:ascii="Times New Roman" w:hAnsi="Times New Roman" w:eastAsia="宋体" w:cs="Times New Roman"/>
                      <w:bCs/>
                      <w:color w:val="auto"/>
                      <w:spacing w:val="2"/>
                      <w:kern w:val="2"/>
                      <w:sz w:val="21"/>
                      <w:szCs w:val="21"/>
                      <w:lang w:val="en-US" w:eastAsia="zh-CN" w:bidi="ar-SA"/>
                    </w:rPr>
                  </w:pPr>
                  <w:r>
                    <w:rPr>
                      <w:rFonts w:hint="eastAsia" w:cs="Times New Roman"/>
                      <w:bCs/>
                      <w:color w:val="auto"/>
                      <w:spacing w:val="2"/>
                      <w:kern w:val="2"/>
                      <w:sz w:val="21"/>
                      <w:szCs w:val="21"/>
                      <w:lang w:val="en-US" w:eastAsia="zh-CN" w:bidi="ar-SA"/>
                    </w:rPr>
                    <w:t>焊接废气</w:t>
                  </w:r>
                </w:p>
              </w:tc>
              <w:tc>
                <w:tcPr>
                  <w:tcW w:w="2100" w:type="pct"/>
                  <w:vAlign w:val="center"/>
                </w:tcPr>
                <w:p w14:paraId="46CB1104">
                  <w:pPr>
                    <w:adjustRightInd w:val="0"/>
                    <w:spacing w:line="360" w:lineRule="atLeast"/>
                    <w:ind w:firstLine="0" w:firstLineChars="0"/>
                    <w:jc w:val="center"/>
                    <w:rPr>
                      <w:rFonts w:hint="default" w:eastAsia="宋体"/>
                      <w:bCs/>
                      <w:color w:val="auto"/>
                      <w:sz w:val="21"/>
                      <w:lang w:val="en-US" w:eastAsia="zh-CN"/>
                    </w:rPr>
                  </w:pPr>
                  <w:r>
                    <w:rPr>
                      <w:rFonts w:hint="eastAsia"/>
                      <w:bCs/>
                      <w:color w:val="auto"/>
                      <w:sz w:val="21"/>
                      <w:lang w:val="en-US" w:eastAsia="zh-CN"/>
                    </w:rPr>
                    <w:t>焊接烟尘</w:t>
                  </w:r>
                </w:p>
              </w:tc>
            </w:tr>
            <w:tr w14:paraId="79DA2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2657DC39">
                  <w:pPr>
                    <w:adjustRightInd w:val="0"/>
                    <w:spacing w:line="360" w:lineRule="atLeast"/>
                    <w:ind w:firstLine="0" w:firstLineChars="0"/>
                    <w:jc w:val="center"/>
                    <w:rPr>
                      <w:bCs/>
                      <w:color w:val="auto"/>
                      <w:sz w:val="21"/>
                    </w:rPr>
                  </w:pPr>
                </w:p>
              </w:tc>
              <w:tc>
                <w:tcPr>
                  <w:tcW w:w="1057" w:type="pct"/>
                  <w:vAlign w:val="center"/>
                </w:tcPr>
                <w:p w14:paraId="5EC42DDA">
                  <w:pPr>
                    <w:adjustRightInd w:val="0"/>
                    <w:spacing w:line="360" w:lineRule="atLeast"/>
                    <w:ind w:firstLine="0" w:firstLineChars="0"/>
                    <w:jc w:val="center"/>
                    <w:rPr>
                      <w:rFonts w:hint="default"/>
                      <w:bCs/>
                      <w:color w:val="auto"/>
                      <w:sz w:val="21"/>
                      <w:lang w:val="en-US" w:eastAsia="zh-CN"/>
                    </w:rPr>
                  </w:pPr>
                  <w:r>
                    <w:rPr>
                      <w:rFonts w:hint="eastAsia"/>
                      <w:bCs/>
                      <w:color w:val="auto"/>
                      <w:sz w:val="21"/>
                      <w:lang w:val="en-US" w:eastAsia="zh-CN"/>
                    </w:rPr>
                    <w:t>餐厅</w:t>
                  </w:r>
                </w:p>
              </w:tc>
              <w:tc>
                <w:tcPr>
                  <w:tcW w:w="1297" w:type="pct"/>
                  <w:shd w:val="clear" w:color="auto" w:fill="auto"/>
                  <w:vAlign w:val="center"/>
                </w:tcPr>
                <w:p w14:paraId="02FADAEB">
                  <w:pPr>
                    <w:adjustRightInd w:val="0"/>
                    <w:spacing w:line="360" w:lineRule="atLeast"/>
                    <w:ind w:firstLine="0" w:firstLineChars="0"/>
                    <w:jc w:val="center"/>
                    <w:rPr>
                      <w:rFonts w:hint="default" w:cs="Times New Roman"/>
                      <w:bCs/>
                      <w:color w:val="auto"/>
                      <w:spacing w:val="2"/>
                      <w:kern w:val="2"/>
                      <w:sz w:val="21"/>
                      <w:szCs w:val="21"/>
                      <w:lang w:val="en-US" w:eastAsia="zh-CN" w:bidi="ar-SA"/>
                    </w:rPr>
                  </w:pPr>
                  <w:r>
                    <w:rPr>
                      <w:rFonts w:hint="eastAsia" w:cs="Times New Roman"/>
                      <w:bCs/>
                      <w:color w:val="auto"/>
                      <w:spacing w:val="2"/>
                      <w:kern w:val="2"/>
                      <w:sz w:val="21"/>
                      <w:szCs w:val="21"/>
                      <w:lang w:val="en-US" w:eastAsia="zh-CN" w:bidi="ar-SA"/>
                    </w:rPr>
                    <w:t>餐厅废气</w:t>
                  </w:r>
                </w:p>
              </w:tc>
              <w:tc>
                <w:tcPr>
                  <w:tcW w:w="2100" w:type="pct"/>
                  <w:vAlign w:val="center"/>
                </w:tcPr>
                <w:p w14:paraId="166F2F3F">
                  <w:pPr>
                    <w:adjustRightInd w:val="0"/>
                    <w:spacing w:line="360" w:lineRule="atLeast"/>
                    <w:ind w:firstLine="0" w:firstLineChars="0"/>
                    <w:jc w:val="center"/>
                    <w:rPr>
                      <w:rFonts w:hint="default"/>
                      <w:bCs/>
                      <w:color w:val="auto"/>
                      <w:sz w:val="21"/>
                      <w:lang w:val="en-US" w:eastAsia="zh-CN"/>
                    </w:rPr>
                  </w:pPr>
                  <w:r>
                    <w:rPr>
                      <w:rFonts w:hint="eastAsia"/>
                      <w:bCs/>
                      <w:color w:val="auto"/>
                      <w:sz w:val="21"/>
                      <w:lang w:val="en-US" w:eastAsia="zh-CN"/>
                    </w:rPr>
                    <w:t>油烟</w:t>
                  </w:r>
                </w:p>
              </w:tc>
            </w:tr>
            <w:tr w14:paraId="2E0BB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restart"/>
                  <w:shd w:val="clear" w:color="auto" w:fill="auto"/>
                  <w:vAlign w:val="center"/>
                </w:tcPr>
                <w:p w14:paraId="4B75A90C">
                  <w:pPr>
                    <w:adjustRightInd w:val="0"/>
                    <w:spacing w:line="360" w:lineRule="atLeast"/>
                    <w:ind w:firstLine="0" w:firstLineChars="0"/>
                    <w:jc w:val="center"/>
                    <w:rPr>
                      <w:rFonts w:ascii="Times New Roman" w:hAnsi="Times New Roman" w:eastAsia="宋体" w:cs="Times New Roman"/>
                      <w:bCs/>
                      <w:color w:val="auto"/>
                      <w:kern w:val="2"/>
                      <w:sz w:val="21"/>
                      <w:szCs w:val="24"/>
                      <w:lang w:val="en-US" w:eastAsia="zh-CN" w:bidi="ar-SA"/>
                    </w:rPr>
                  </w:pPr>
                  <w:r>
                    <w:rPr>
                      <w:bCs/>
                      <w:color w:val="auto"/>
                      <w:sz w:val="21"/>
                    </w:rPr>
                    <w:t>废水</w:t>
                  </w:r>
                </w:p>
              </w:tc>
              <w:tc>
                <w:tcPr>
                  <w:tcW w:w="1057" w:type="pct"/>
                  <w:shd w:val="clear" w:color="auto" w:fill="auto"/>
                  <w:vAlign w:val="center"/>
                </w:tcPr>
                <w:p w14:paraId="037AE127">
                  <w:pPr>
                    <w:adjustRightInd w:val="0"/>
                    <w:spacing w:line="360" w:lineRule="atLeast"/>
                    <w:ind w:firstLine="0" w:firstLineChars="0"/>
                    <w:jc w:val="center"/>
                    <w:rPr>
                      <w:rFonts w:hint="default" w:ascii="Times New Roman" w:hAnsi="Times New Roman" w:eastAsia="宋体" w:cs="Times New Roman"/>
                      <w:bCs/>
                      <w:color w:val="auto"/>
                      <w:spacing w:val="2"/>
                      <w:kern w:val="2"/>
                      <w:sz w:val="21"/>
                      <w:szCs w:val="21"/>
                      <w:lang w:val="en-US" w:eastAsia="zh-CN" w:bidi="ar-SA"/>
                    </w:rPr>
                  </w:pPr>
                  <w:r>
                    <w:rPr>
                      <w:rFonts w:hint="eastAsia" w:cs="Times New Roman"/>
                      <w:bCs/>
                      <w:color w:val="auto"/>
                      <w:spacing w:val="2"/>
                      <w:kern w:val="2"/>
                      <w:sz w:val="21"/>
                      <w:szCs w:val="21"/>
                      <w:lang w:val="en-US" w:eastAsia="zh-CN" w:bidi="ar-SA"/>
                    </w:rPr>
                    <w:t>生活污水</w:t>
                  </w:r>
                </w:p>
              </w:tc>
              <w:tc>
                <w:tcPr>
                  <w:tcW w:w="1297" w:type="pct"/>
                  <w:shd w:val="clear" w:color="auto" w:fill="auto"/>
                  <w:vAlign w:val="center"/>
                </w:tcPr>
                <w:p w14:paraId="1C1C42BA">
                  <w:pPr>
                    <w:adjustRightInd w:val="0"/>
                    <w:spacing w:line="360" w:lineRule="atLeast"/>
                    <w:ind w:firstLine="0" w:firstLineChars="0"/>
                    <w:jc w:val="center"/>
                    <w:rPr>
                      <w:rFonts w:ascii="Times New Roman" w:hAnsi="Times New Roman" w:eastAsia="宋体" w:cs="Times New Roman"/>
                      <w:bCs/>
                      <w:color w:val="auto"/>
                      <w:spacing w:val="2"/>
                      <w:kern w:val="2"/>
                      <w:sz w:val="21"/>
                      <w:szCs w:val="21"/>
                      <w:lang w:val="en-US" w:eastAsia="zh-CN" w:bidi="ar-SA"/>
                    </w:rPr>
                  </w:pPr>
                  <w:r>
                    <w:rPr>
                      <w:rFonts w:hint="eastAsia"/>
                      <w:bCs/>
                      <w:color w:val="auto"/>
                      <w:sz w:val="21"/>
                      <w:lang w:val="en-US" w:eastAsia="zh-CN"/>
                    </w:rPr>
                    <w:t>生活污水</w:t>
                  </w:r>
                </w:p>
              </w:tc>
              <w:tc>
                <w:tcPr>
                  <w:tcW w:w="2100" w:type="pct"/>
                  <w:vMerge w:val="restart"/>
                  <w:vAlign w:val="center"/>
                </w:tcPr>
                <w:p w14:paraId="03389DD6">
                  <w:pPr>
                    <w:adjustRightInd w:val="0"/>
                    <w:spacing w:line="360" w:lineRule="atLeast"/>
                    <w:ind w:firstLine="0" w:firstLineChars="0"/>
                    <w:jc w:val="center"/>
                    <w:rPr>
                      <w:rFonts w:hint="default" w:eastAsia="宋体"/>
                      <w:bCs/>
                      <w:color w:val="auto"/>
                      <w:sz w:val="21"/>
                      <w:lang w:val="en-US" w:eastAsia="zh-CN"/>
                    </w:rPr>
                  </w:pPr>
                  <w:r>
                    <w:rPr>
                      <w:bCs/>
                      <w:color w:val="auto"/>
                      <w:sz w:val="21"/>
                    </w:rPr>
                    <w:t>pH值、COD、BOD</w:t>
                  </w:r>
                  <w:r>
                    <w:rPr>
                      <w:bCs/>
                      <w:color w:val="auto"/>
                      <w:sz w:val="21"/>
                      <w:vertAlign w:val="subscript"/>
                    </w:rPr>
                    <w:t>5</w:t>
                  </w:r>
                  <w:r>
                    <w:rPr>
                      <w:bCs/>
                      <w:color w:val="auto"/>
                      <w:sz w:val="21"/>
                    </w:rPr>
                    <w:t>、氨氮、</w:t>
                  </w:r>
                  <w:r>
                    <w:rPr>
                      <w:rFonts w:hint="eastAsia"/>
                      <w:bCs/>
                      <w:color w:val="auto"/>
                      <w:sz w:val="21"/>
                      <w:lang w:val="en-US" w:eastAsia="zh-CN"/>
                    </w:rPr>
                    <w:t>S</w:t>
                  </w:r>
                  <w:r>
                    <w:rPr>
                      <w:bCs/>
                      <w:color w:val="auto"/>
                      <w:sz w:val="21"/>
                    </w:rPr>
                    <w:t>S</w:t>
                  </w:r>
                  <w:r>
                    <w:rPr>
                      <w:rFonts w:hint="eastAsia"/>
                      <w:lang w:eastAsia="zh-CN"/>
                    </w:rPr>
                    <w:t>、</w:t>
                  </w:r>
                  <w:r>
                    <w:rPr>
                      <w:rFonts w:hint="eastAsia" w:ascii="Times New Roman" w:hAnsi="Times New Roman" w:eastAsia="宋体" w:cs="Times New Roman"/>
                      <w:bCs/>
                      <w:color w:val="auto"/>
                      <w:sz w:val="21"/>
                      <w:lang w:val="en-US" w:eastAsia="zh-CN"/>
                    </w:rPr>
                    <w:t>动植物油</w:t>
                  </w:r>
                </w:p>
              </w:tc>
            </w:tr>
            <w:tr w14:paraId="23B40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5" w:type="pct"/>
                  <w:vMerge w:val="continue"/>
                  <w:shd w:val="clear" w:color="auto" w:fill="auto"/>
                  <w:vAlign w:val="center"/>
                </w:tcPr>
                <w:p w14:paraId="17AB2B8F">
                  <w:pPr>
                    <w:adjustRightInd w:val="0"/>
                    <w:spacing w:line="360" w:lineRule="atLeast"/>
                    <w:ind w:firstLine="0" w:firstLineChars="0"/>
                    <w:jc w:val="center"/>
                    <w:rPr>
                      <w:rFonts w:ascii="Times New Roman" w:hAnsi="Times New Roman" w:eastAsia="宋体" w:cs="Times New Roman"/>
                      <w:bCs/>
                      <w:color w:val="auto"/>
                      <w:kern w:val="2"/>
                      <w:sz w:val="21"/>
                      <w:szCs w:val="24"/>
                      <w:lang w:val="en-US" w:eastAsia="zh-CN" w:bidi="ar-SA"/>
                    </w:rPr>
                  </w:pPr>
                </w:p>
              </w:tc>
              <w:tc>
                <w:tcPr>
                  <w:tcW w:w="1057" w:type="pct"/>
                  <w:shd w:val="clear" w:color="auto" w:fill="auto"/>
                  <w:vAlign w:val="center"/>
                </w:tcPr>
                <w:p w14:paraId="19EE3473">
                  <w:pPr>
                    <w:adjustRightInd w:val="0"/>
                    <w:spacing w:line="360" w:lineRule="atLeast"/>
                    <w:ind w:firstLine="0" w:firstLineChars="0"/>
                    <w:jc w:val="center"/>
                    <w:rPr>
                      <w:rFonts w:hint="default" w:ascii="Times New Roman" w:hAnsi="Times New Roman" w:eastAsia="宋体" w:cs="Times New Roman"/>
                      <w:bCs/>
                      <w:color w:val="auto"/>
                      <w:spacing w:val="2"/>
                      <w:kern w:val="2"/>
                      <w:sz w:val="21"/>
                      <w:szCs w:val="21"/>
                      <w:lang w:val="en-US" w:eastAsia="zh-CN" w:bidi="ar-SA"/>
                    </w:rPr>
                  </w:pPr>
                  <w:r>
                    <w:rPr>
                      <w:rFonts w:hint="eastAsia" w:ascii="Times New Roman" w:hAnsi="Times New Roman" w:eastAsia="宋体" w:cs="Times New Roman"/>
                      <w:bCs/>
                      <w:color w:val="auto"/>
                      <w:spacing w:val="2"/>
                      <w:kern w:val="2"/>
                      <w:sz w:val="21"/>
                      <w:szCs w:val="21"/>
                      <w:lang w:val="en-US" w:eastAsia="zh-CN" w:bidi="ar-SA"/>
                    </w:rPr>
                    <w:t>餐厅用水</w:t>
                  </w:r>
                </w:p>
              </w:tc>
              <w:tc>
                <w:tcPr>
                  <w:tcW w:w="1297" w:type="pct"/>
                  <w:shd w:val="clear" w:color="auto" w:fill="auto"/>
                  <w:vAlign w:val="center"/>
                </w:tcPr>
                <w:p w14:paraId="625EE097">
                  <w:pPr>
                    <w:adjustRightInd w:val="0"/>
                    <w:spacing w:line="360" w:lineRule="atLeast"/>
                    <w:ind w:firstLine="0" w:firstLineChars="0"/>
                    <w:jc w:val="center"/>
                    <w:rPr>
                      <w:rFonts w:hint="default" w:ascii="Times New Roman" w:hAnsi="Times New Roman" w:eastAsia="宋体" w:cs="Times New Roman"/>
                      <w:bCs/>
                      <w:color w:val="auto"/>
                      <w:spacing w:val="2"/>
                      <w:kern w:val="2"/>
                      <w:sz w:val="21"/>
                      <w:szCs w:val="21"/>
                      <w:lang w:val="en-US" w:eastAsia="zh-CN" w:bidi="ar-SA"/>
                    </w:rPr>
                  </w:pPr>
                  <w:r>
                    <w:rPr>
                      <w:rFonts w:hint="eastAsia" w:ascii="Times New Roman" w:hAnsi="Times New Roman" w:eastAsia="宋体" w:cs="Times New Roman"/>
                      <w:bCs/>
                      <w:color w:val="auto"/>
                      <w:spacing w:val="2"/>
                      <w:kern w:val="2"/>
                      <w:sz w:val="21"/>
                      <w:szCs w:val="21"/>
                      <w:lang w:val="en-US" w:eastAsia="zh-CN" w:bidi="ar-SA"/>
                    </w:rPr>
                    <w:t>餐饮废水</w:t>
                  </w:r>
                </w:p>
              </w:tc>
              <w:tc>
                <w:tcPr>
                  <w:tcW w:w="2100" w:type="pct"/>
                  <w:vMerge w:val="continue"/>
                  <w:vAlign w:val="center"/>
                </w:tcPr>
                <w:p w14:paraId="6CDADF43">
                  <w:pPr>
                    <w:adjustRightInd w:val="0"/>
                    <w:spacing w:line="360" w:lineRule="atLeast"/>
                    <w:ind w:firstLine="0" w:firstLineChars="0"/>
                    <w:jc w:val="center"/>
                    <w:rPr>
                      <w:bCs/>
                      <w:color w:val="auto"/>
                      <w:sz w:val="21"/>
                    </w:rPr>
                  </w:pPr>
                </w:p>
              </w:tc>
            </w:tr>
            <w:tr w14:paraId="49C27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5" w:type="pct"/>
                  <w:vMerge w:val="continue"/>
                  <w:shd w:val="clear" w:color="auto" w:fill="auto"/>
                  <w:vAlign w:val="center"/>
                </w:tcPr>
                <w:p w14:paraId="149F8524">
                  <w:pPr>
                    <w:adjustRightInd w:val="0"/>
                    <w:spacing w:line="360" w:lineRule="atLeast"/>
                    <w:ind w:firstLine="0" w:firstLineChars="0"/>
                    <w:jc w:val="center"/>
                    <w:rPr>
                      <w:rFonts w:ascii="Times New Roman" w:hAnsi="Times New Roman" w:eastAsia="宋体" w:cs="Times New Roman"/>
                      <w:bCs/>
                      <w:color w:val="auto"/>
                      <w:kern w:val="2"/>
                      <w:sz w:val="21"/>
                      <w:szCs w:val="24"/>
                      <w:lang w:val="en-US" w:eastAsia="zh-CN" w:bidi="ar-SA"/>
                    </w:rPr>
                  </w:pPr>
                </w:p>
              </w:tc>
              <w:tc>
                <w:tcPr>
                  <w:tcW w:w="1057" w:type="pct"/>
                  <w:shd w:val="clear" w:color="auto" w:fill="auto"/>
                  <w:vAlign w:val="center"/>
                </w:tcPr>
                <w:p w14:paraId="3179EDEC">
                  <w:pPr>
                    <w:adjustRightInd w:val="0"/>
                    <w:spacing w:line="360" w:lineRule="atLeast"/>
                    <w:ind w:firstLine="0" w:firstLineChars="0"/>
                    <w:jc w:val="center"/>
                    <w:rPr>
                      <w:rFonts w:hint="default" w:ascii="Times New Roman" w:hAnsi="Times New Roman" w:eastAsia="宋体" w:cs="Times New Roman"/>
                      <w:bCs/>
                      <w:color w:val="auto"/>
                      <w:spacing w:val="2"/>
                      <w:kern w:val="2"/>
                      <w:sz w:val="21"/>
                      <w:szCs w:val="21"/>
                      <w:lang w:val="en-US" w:eastAsia="zh-CN" w:bidi="ar-SA"/>
                    </w:rPr>
                  </w:pPr>
                  <w:r>
                    <w:rPr>
                      <w:rFonts w:hint="eastAsia" w:cs="Times New Roman"/>
                      <w:bCs/>
                      <w:color w:val="auto"/>
                      <w:spacing w:val="2"/>
                      <w:kern w:val="2"/>
                      <w:sz w:val="21"/>
                      <w:szCs w:val="21"/>
                      <w:lang w:val="en-US" w:eastAsia="zh-CN" w:bidi="ar-SA"/>
                    </w:rPr>
                    <w:t>实验综合用水</w:t>
                  </w:r>
                </w:p>
              </w:tc>
              <w:tc>
                <w:tcPr>
                  <w:tcW w:w="1297" w:type="pct"/>
                  <w:shd w:val="clear" w:color="auto" w:fill="auto"/>
                  <w:vAlign w:val="center"/>
                </w:tcPr>
                <w:p w14:paraId="7DA46569">
                  <w:pPr>
                    <w:adjustRightInd w:val="0"/>
                    <w:spacing w:line="360" w:lineRule="atLeast"/>
                    <w:ind w:firstLine="0" w:firstLineChars="0"/>
                    <w:jc w:val="center"/>
                    <w:rPr>
                      <w:rFonts w:hint="eastAsia" w:ascii="Times New Roman" w:hAnsi="Times New Roman" w:eastAsia="宋体" w:cs="Times New Roman"/>
                      <w:bCs/>
                      <w:color w:val="auto"/>
                      <w:spacing w:val="2"/>
                      <w:kern w:val="2"/>
                      <w:sz w:val="21"/>
                      <w:szCs w:val="21"/>
                      <w:lang w:val="en-US" w:eastAsia="zh-CN" w:bidi="ar-SA"/>
                    </w:rPr>
                  </w:pPr>
                  <w:r>
                    <w:rPr>
                      <w:rFonts w:hint="eastAsia" w:ascii="Times New Roman" w:hAnsi="Times New Roman" w:eastAsia="宋体" w:cs="Times New Roman"/>
                      <w:bCs/>
                      <w:color w:val="auto"/>
                      <w:spacing w:val="2"/>
                      <w:kern w:val="2"/>
                      <w:sz w:val="21"/>
                      <w:szCs w:val="21"/>
                      <w:lang w:val="en-US" w:eastAsia="zh-CN" w:bidi="ar-SA"/>
                    </w:rPr>
                    <w:t>实验综合废水</w:t>
                  </w:r>
                </w:p>
              </w:tc>
              <w:tc>
                <w:tcPr>
                  <w:tcW w:w="2100" w:type="pct"/>
                  <w:vMerge w:val="continue"/>
                  <w:vAlign w:val="center"/>
                </w:tcPr>
                <w:p w14:paraId="5F9B6C65">
                  <w:pPr>
                    <w:adjustRightInd w:val="0"/>
                    <w:spacing w:line="360" w:lineRule="atLeast"/>
                    <w:ind w:firstLine="0" w:firstLineChars="0"/>
                    <w:jc w:val="center"/>
                    <w:rPr>
                      <w:bCs/>
                      <w:color w:val="auto"/>
                      <w:sz w:val="21"/>
                    </w:rPr>
                  </w:pPr>
                </w:p>
              </w:tc>
            </w:tr>
            <w:tr w14:paraId="61FE6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Align w:val="center"/>
                </w:tcPr>
                <w:p w14:paraId="367E6D57">
                  <w:pPr>
                    <w:adjustRightInd w:val="0"/>
                    <w:spacing w:line="360" w:lineRule="atLeast"/>
                    <w:ind w:firstLine="0" w:firstLineChars="0"/>
                    <w:jc w:val="center"/>
                    <w:rPr>
                      <w:bCs/>
                      <w:color w:val="auto"/>
                      <w:sz w:val="21"/>
                    </w:rPr>
                  </w:pPr>
                  <w:r>
                    <w:rPr>
                      <w:bCs/>
                      <w:color w:val="auto"/>
                      <w:sz w:val="21"/>
                    </w:rPr>
                    <w:t>噪声</w:t>
                  </w:r>
                </w:p>
              </w:tc>
              <w:tc>
                <w:tcPr>
                  <w:tcW w:w="1057" w:type="pct"/>
                  <w:vAlign w:val="center"/>
                </w:tcPr>
                <w:p w14:paraId="3BFFC997">
                  <w:pPr>
                    <w:adjustRightInd w:val="0"/>
                    <w:spacing w:line="360" w:lineRule="atLeast"/>
                    <w:ind w:firstLine="0" w:firstLineChars="0"/>
                    <w:jc w:val="center"/>
                    <w:rPr>
                      <w:bCs/>
                      <w:color w:val="auto"/>
                      <w:sz w:val="21"/>
                    </w:rPr>
                  </w:pPr>
                  <w:r>
                    <w:rPr>
                      <w:bCs/>
                      <w:color w:val="auto"/>
                      <w:sz w:val="21"/>
                    </w:rPr>
                    <w:t>设备运行</w:t>
                  </w:r>
                </w:p>
              </w:tc>
              <w:tc>
                <w:tcPr>
                  <w:tcW w:w="1297" w:type="pct"/>
                  <w:vAlign w:val="center"/>
                </w:tcPr>
                <w:p w14:paraId="5EE57368">
                  <w:pPr>
                    <w:spacing w:line="360" w:lineRule="atLeast"/>
                    <w:ind w:firstLine="0" w:firstLineChars="0"/>
                    <w:jc w:val="center"/>
                    <w:rPr>
                      <w:bCs/>
                      <w:color w:val="auto"/>
                      <w:sz w:val="21"/>
                    </w:rPr>
                  </w:pPr>
                  <w:r>
                    <w:rPr>
                      <w:bCs/>
                      <w:color w:val="auto"/>
                      <w:sz w:val="21"/>
                    </w:rPr>
                    <w:t>噪声</w:t>
                  </w:r>
                </w:p>
              </w:tc>
              <w:tc>
                <w:tcPr>
                  <w:tcW w:w="2100" w:type="pct"/>
                  <w:vAlign w:val="center"/>
                </w:tcPr>
                <w:p w14:paraId="2389368C">
                  <w:pPr>
                    <w:spacing w:line="360" w:lineRule="atLeast"/>
                    <w:ind w:firstLine="0" w:firstLineChars="0"/>
                    <w:jc w:val="center"/>
                    <w:rPr>
                      <w:bCs/>
                      <w:color w:val="auto"/>
                      <w:sz w:val="21"/>
                    </w:rPr>
                  </w:pPr>
                  <w:r>
                    <w:rPr>
                      <w:bCs/>
                      <w:color w:val="auto"/>
                      <w:sz w:val="21"/>
                    </w:rPr>
                    <w:t>等效连续A声级</w:t>
                  </w:r>
                </w:p>
              </w:tc>
            </w:tr>
            <w:tr w14:paraId="1AC95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restart"/>
                  <w:vAlign w:val="center"/>
                </w:tcPr>
                <w:p w14:paraId="773E68D2">
                  <w:pPr>
                    <w:adjustRightInd w:val="0"/>
                    <w:spacing w:line="360" w:lineRule="atLeast"/>
                    <w:ind w:firstLine="0" w:firstLineChars="0"/>
                    <w:jc w:val="center"/>
                    <w:rPr>
                      <w:bCs/>
                      <w:color w:val="auto"/>
                      <w:sz w:val="21"/>
                    </w:rPr>
                  </w:pPr>
                  <w:r>
                    <w:rPr>
                      <w:bCs/>
                      <w:color w:val="auto"/>
                      <w:sz w:val="21"/>
                    </w:rPr>
                    <w:t>固体废物</w:t>
                  </w:r>
                </w:p>
              </w:tc>
              <w:tc>
                <w:tcPr>
                  <w:tcW w:w="1057" w:type="pct"/>
                  <w:vMerge w:val="restart"/>
                  <w:vAlign w:val="center"/>
                </w:tcPr>
                <w:p w14:paraId="5D130836">
                  <w:pPr>
                    <w:adjustRightInd w:val="0"/>
                    <w:spacing w:line="360" w:lineRule="atLeast"/>
                    <w:ind w:firstLine="0" w:firstLineChars="0"/>
                    <w:jc w:val="center"/>
                    <w:rPr>
                      <w:bCs/>
                      <w:color w:val="auto"/>
                      <w:sz w:val="21"/>
                    </w:rPr>
                  </w:pPr>
                  <w:r>
                    <w:rPr>
                      <w:rFonts w:hint="eastAsia"/>
                      <w:bCs/>
                      <w:color w:val="auto"/>
                      <w:sz w:val="21"/>
                      <w:lang w:val="en-US" w:eastAsia="zh-CN"/>
                    </w:rPr>
                    <w:t>研发</w:t>
                  </w:r>
                  <w:r>
                    <w:rPr>
                      <w:rFonts w:hint="eastAsia"/>
                      <w:bCs/>
                      <w:color w:val="auto"/>
                      <w:sz w:val="21"/>
                    </w:rPr>
                    <w:t>过程</w:t>
                  </w:r>
                </w:p>
              </w:tc>
              <w:tc>
                <w:tcPr>
                  <w:tcW w:w="1297" w:type="pct"/>
                  <w:shd w:val="clear" w:color="auto" w:fill="auto"/>
                  <w:vAlign w:val="center"/>
                </w:tcPr>
                <w:p w14:paraId="3E2EE72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废</w:t>
                  </w:r>
                  <w:r>
                    <w:rPr>
                      <w:rFonts w:hint="eastAsia" w:cs="Times New Roman"/>
                      <w:color w:val="auto"/>
                      <w:sz w:val="21"/>
                      <w:szCs w:val="21"/>
                      <w:highlight w:val="none"/>
                      <w:lang w:val="en-US" w:eastAsia="zh-CN"/>
                    </w:rPr>
                    <w:t>洗板水</w:t>
                  </w:r>
                  <w:r>
                    <w:rPr>
                      <w:rFonts w:hint="default" w:ascii="Times New Roman" w:hAnsi="Times New Roman" w:eastAsia="宋体" w:cs="Times New Roman"/>
                      <w:color w:val="auto"/>
                      <w:sz w:val="21"/>
                      <w:szCs w:val="21"/>
                      <w:highlight w:val="none"/>
                      <w:lang w:val="en-US" w:eastAsia="zh-CN"/>
                    </w:rPr>
                    <w:t>桶</w:t>
                  </w:r>
                </w:p>
              </w:tc>
              <w:tc>
                <w:tcPr>
                  <w:tcW w:w="2100" w:type="pct"/>
                  <w:shd w:val="clear" w:color="auto" w:fill="auto"/>
                  <w:vAlign w:val="center"/>
                </w:tcPr>
                <w:p w14:paraId="2867378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废</w:t>
                  </w:r>
                  <w:r>
                    <w:rPr>
                      <w:rFonts w:hint="eastAsia" w:cs="Times New Roman"/>
                      <w:color w:val="auto"/>
                      <w:sz w:val="21"/>
                      <w:szCs w:val="21"/>
                      <w:highlight w:val="none"/>
                      <w:lang w:val="en-US" w:eastAsia="zh-CN"/>
                    </w:rPr>
                    <w:t>洗板水</w:t>
                  </w:r>
                  <w:r>
                    <w:rPr>
                      <w:rFonts w:hint="default" w:ascii="Times New Roman" w:hAnsi="Times New Roman" w:eastAsia="宋体" w:cs="Times New Roman"/>
                      <w:color w:val="auto"/>
                      <w:sz w:val="21"/>
                      <w:szCs w:val="21"/>
                      <w:highlight w:val="none"/>
                      <w:lang w:val="en-US" w:eastAsia="zh-CN"/>
                    </w:rPr>
                    <w:t>桶</w:t>
                  </w:r>
                </w:p>
              </w:tc>
            </w:tr>
            <w:tr w14:paraId="40118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2D0B8721">
                  <w:pPr>
                    <w:adjustRightInd w:val="0"/>
                    <w:spacing w:line="360" w:lineRule="atLeast"/>
                    <w:ind w:firstLine="0" w:firstLineChars="0"/>
                    <w:jc w:val="center"/>
                    <w:rPr>
                      <w:bCs/>
                      <w:color w:val="auto"/>
                      <w:sz w:val="21"/>
                    </w:rPr>
                  </w:pPr>
                </w:p>
              </w:tc>
              <w:tc>
                <w:tcPr>
                  <w:tcW w:w="1057" w:type="pct"/>
                  <w:vMerge w:val="continue"/>
                  <w:vAlign w:val="center"/>
                </w:tcPr>
                <w:p w14:paraId="1A0D0634">
                  <w:pPr>
                    <w:adjustRightInd w:val="0"/>
                    <w:spacing w:line="360" w:lineRule="atLeast"/>
                    <w:ind w:firstLine="0" w:firstLineChars="0"/>
                    <w:jc w:val="center"/>
                    <w:rPr>
                      <w:bCs/>
                      <w:color w:val="auto"/>
                      <w:sz w:val="21"/>
                    </w:rPr>
                  </w:pPr>
                </w:p>
              </w:tc>
              <w:tc>
                <w:tcPr>
                  <w:tcW w:w="1297" w:type="pct"/>
                  <w:shd w:val="clear" w:color="auto" w:fill="auto"/>
                  <w:vAlign w:val="center"/>
                </w:tcPr>
                <w:p w14:paraId="00B3B0F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研发废料</w:t>
                  </w:r>
                </w:p>
              </w:tc>
              <w:tc>
                <w:tcPr>
                  <w:tcW w:w="2100" w:type="pct"/>
                  <w:shd w:val="clear" w:color="auto" w:fill="auto"/>
                  <w:vAlign w:val="center"/>
                </w:tcPr>
                <w:p w14:paraId="0897BBE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研发废料</w:t>
                  </w:r>
                </w:p>
              </w:tc>
            </w:tr>
            <w:tr w14:paraId="25DF4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3B5558A2">
                  <w:pPr>
                    <w:adjustRightInd w:val="0"/>
                    <w:spacing w:line="360" w:lineRule="atLeast"/>
                    <w:ind w:firstLine="0" w:firstLineChars="0"/>
                    <w:jc w:val="center"/>
                    <w:rPr>
                      <w:bCs/>
                      <w:color w:val="auto"/>
                      <w:sz w:val="21"/>
                    </w:rPr>
                  </w:pPr>
                </w:p>
              </w:tc>
              <w:tc>
                <w:tcPr>
                  <w:tcW w:w="1057" w:type="pct"/>
                  <w:vMerge w:val="continue"/>
                  <w:vAlign w:val="center"/>
                </w:tcPr>
                <w:p w14:paraId="543219B0">
                  <w:pPr>
                    <w:adjustRightInd w:val="0"/>
                    <w:spacing w:line="360" w:lineRule="atLeast"/>
                    <w:ind w:firstLine="0" w:firstLineChars="0"/>
                    <w:jc w:val="center"/>
                    <w:rPr>
                      <w:bCs/>
                      <w:color w:val="auto"/>
                      <w:sz w:val="21"/>
                    </w:rPr>
                  </w:pPr>
                </w:p>
              </w:tc>
              <w:tc>
                <w:tcPr>
                  <w:tcW w:w="1297" w:type="pct"/>
                  <w:shd w:val="clear" w:color="auto" w:fill="auto"/>
                  <w:vAlign w:val="center"/>
                </w:tcPr>
                <w:p w14:paraId="5439AC7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eastAsia="宋体" w:cs="Times New Roman"/>
                      <w:color w:val="auto"/>
                      <w:sz w:val="21"/>
                      <w:szCs w:val="21"/>
                      <w:highlight w:val="none"/>
                      <w:lang w:val="en-US" w:eastAsia="zh-CN"/>
                    </w:rPr>
                    <w:t>废胶</w:t>
                  </w:r>
                  <w:r>
                    <w:rPr>
                      <w:rFonts w:hint="eastAsia" w:cs="Times New Roman"/>
                      <w:color w:val="auto"/>
                      <w:sz w:val="21"/>
                      <w:szCs w:val="21"/>
                      <w:highlight w:val="none"/>
                      <w:lang w:val="en-US" w:eastAsia="zh-CN"/>
                    </w:rPr>
                    <w:t>瓶</w:t>
                  </w:r>
                </w:p>
              </w:tc>
              <w:tc>
                <w:tcPr>
                  <w:tcW w:w="2100" w:type="pct"/>
                  <w:shd w:val="clear" w:color="auto" w:fill="auto"/>
                  <w:vAlign w:val="center"/>
                </w:tcPr>
                <w:p w14:paraId="7793DCB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highlight w:val="none"/>
                      <w:lang w:val="en-US" w:eastAsia="zh-CN"/>
                    </w:rPr>
                    <w:t>废胶</w:t>
                  </w:r>
                  <w:r>
                    <w:rPr>
                      <w:rFonts w:hint="eastAsia" w:cs="Times New Roman"/>
                      <w:color w:val="auto"/>
                      <w:sz w:val="21"/>
                      <w:szCs w:val="21"/>
                      <w:highlight w:val="none"/>
                      <w:lang w:val="en-US" w:eastAsia="zh-CN"/>
                    </w:rPr>
                    <w:t>瓶</w:t>
                  </w:r>
                </w:p>
              </w:tc>
            </w:tr>
            <w:tr w14:paraId="2DEE0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031AB364">
                  <w:pPr>
                    <w:adjustRightInd w:val="0"/>
                    <w:spacing w:line="360" w:lineRule="atLeast"/>
                    <w:ind w:firstLine="0" w:firstLineChars="0"/>
                    <w:jc w:val="center"/>
                    <w:rPr>
                      <w:bCs/>
                      <w:color w:val="auto"/>
                      <w:sz w:val="21"/>
                    </w:rPr>
                  </w:pPr>
                </w:p>
              </w:tc>
              <w:tc>
                <w:tcPr>
                  <w:tcW w:w="1057" w:type="pct"/>
                  <w:vMerge w:val="continue"/>
                  <w:vAlign w:val="center"/>
                </w:tcPr>
                <w:p w14:paraId="3CAE8694">
                  <w:pPr>
                    <w:adjustRightInd w:val="0"/>
                    <w:spacing w:line="360" w:lineRule="atLeast"/>
                    <w:ind w:firstLine="0" w:firstLineChars="0"/>
                    <w:jc w:val="center"/>
                    <w:rPr>
                      <w:bCs/>
                      <w:color w:val="auto"/>
                      <w:sz w:val="21"/>
                    </w:rPr>
                  </w:pPr>
                </w:p>
              </w:tc>
              <w:tc>
                <w:tcPr>
                  <w:tcW w:w="1297" w:type="pct"/>
                  <w:shd w:val="clear" w:color="auto" w:fill="auto"/>
                  <w:vAlign w:val="center"/>
                </w:tcPr>
                <w:p w14:paraId="7788048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eastAsia="宋体" w:cs="Times New Roman"/>
                      <w:color w:val="auto"/>
                      <w:sz w:val="21"/>
                      <w:szCs w:val="21"/>
                      <w:highlight w:val="none"/>
                      <w:lang w:val="en-US" w:eastAsia="zh-CN"/>
                    </w:rPr>
                    <w:t>废酒精桶</w:t>
                  </w:r>
                </w:p>
              </w:tc>
              <w:tc>
                <w:tcPr>
                  <w:tcW w:w="2100" w:type="pct"/>
                  <w:shd w:val="clear" w:color="auto" w:fill="auto"/>
                  <w:vAlign w:val="center"/>
                </w:tcPr>
                <w:p w14:paraId="28AA8E5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highlight w:val="none"/>
                      <w:lang w:val="en-US" w:eastAsia="zh-CN"/>
                    </w:rPr>
                    <w:t>废酒精桶</w:t>
                  </w:r>
                </w:p>
              </w:tc>
            </w:tr>
            <w:tr w14:paraId="08425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22D41D49">
                  <w:pPr>
                    <w:adjustRightInd w:val="0"/>
                    <w:spacing w:line="360" w:lineRule="atLeast"/>
                    <w:ind w:firstLine="0" w:firstLineChars="0"/>
                    <w:jc w:val="center"/>
                    <w:rPr>
                      <w:bCs/>
                      <w:color w:val="auto"/>
                      <w:sz w:val="21"/>
                    </w:rPr>
                  </w:pPr>
                </w:p>
              </w:tc>
              <w:tc>
                <w:tcPr>
                  <w:tcW w:w="1057" w:type="pct"/>
                  <w:vMerge w:val="continue"/>
                  <w:vAlign w:val="center"/>
                </w:tcPr>
                <w:p w14:paraId="2ADCD190">
                  <w:pPr>
                    <w:adjustRightInd w:val="0"/>
                    <w:spacing w:line="360" w:lineRule="atLeast"/>
                    <w:ind w:firstLine="0" w:firstLineChars="0"/>
                    <w:jc w:val="center"/>
                    <w:rPr>
                      <w:bCs/>
                      <w:color w:val="auto"/>
                      <w:sz w:val="21"/>
                    </w:rPr>
                  </w:pPr>
                </w:p>
              </w:tc>
              <w:tc>
                <w:tcPr>
                  <w:tcW w:w="1297" w:type="pct"/>
                  <w:shd w:val="clear" w:color="auto" w:fill="auto"/>
                  <w:vAlign w:val="center"/>
                </w:tcPr>
                <w:p w14:paraId="211C0A4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废化学品瓶</w:t>
                  </w:r>
                </w:p>
              </w:tc>
              <w:tc>
                <w:tcPr>
                  <w:tcW w:w="2100" w:type="pct"/>
                  <w:shd w:val="clear" w:color="auto" w:fill="auto"/>
                  <w:vAlign w:val="center"/>
                </w:tcPr>
                <w:p w14:paraId="01FE3DD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废化学品瓶</w:t>
                  </w:r>
                </w:p>
              </w:tc>
            </w:tr>
            <w:tr w14:paraId="1B498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04D35E9E">
                  <w:pPr>
                    <w:adjustRightInd w:val="0"/>
                    <w:spacing w:line="360" w:lineRule="atLeast"/>
                    <w:ind w:firstLine="0" w:firstLineChars="0"/>
                    <w:jc w:val="center"/>
                    <w:rPr>
                      <w:bCs/>
                      <w:color w:val="auto"/>
                      <w:sz w:val="21"/>
                    </w:rPr>
                  </w:pPr>
                </w:p>
              </w:tc>
              <w:tc>
                <w:tcPr>
                  <w:tcW w:w="1057" w:type="pct"/>
                  <w:vMerge w:val="continue"/>
                  <w:vAlign w:val="center"/>
                </w:tcPr>
                <w:p w14:paraId="1E02785F">
                  <w:pPr>
                    <w:adjustRightInd w:val="0"/>
                    <w:spacing w:line="360" w:lineRule="atLeast"/>
                    <w:ind w:firstLine="0" w:firstLineChars="0"/>
                    <w:jc w:val="center"/>
                    <w:rPr>
                      <w:bCs/>
                      <w:color w:val="auto"/>
                      <w:sz w:val="21"/>
                    </w:rPr>
                  </w:pPr>
                </w:p>
              </w:tc>
              <w:tc>
                <w:tcPr>
                  <w:tcW w:w="1297" w:type="pct"/>
                  <w:shd w:val="clear" w:color="auto" w:fill="auto"/>
                  <w:vAlign w:val="center"/>
                </w:tcPr>
                <w:p w14:paraId="2ED89C1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废毛刷</w:t>
                  </w:r>
                </w:p>
              </w:tc>
              <w:tc>
                <w:tcPr>
                  <w:tcW w:w="2100" w:type="pct"/>
                  <w:shd w:val="clear" w:color="auto" w:fill="auto"/>
                  <w:vAlign w:val="center"/>
                </w:tcPr>
                <w:p w14:paraId="06825D2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沾有化学品或有机胶剂</w:t>
                  </w:r>
                </w:p>
              </w:tc>
            </w:tr>
            <w:tr w14:paraId="7287D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1AC39B72">
                  <w:pPr>
                    <w:adjustRightInd w:val="0"/>
                    <w:spacing w:line="360" w:lineRule="atLeast"/>
                    <w:ind w:firstLine="0" w:firstLineChars="0"/>
                    <w:jc w:val="center"/>
                    <w:rPr>
                      <w:bCs/>
                      <w:color w:val="auto"/>
                      <w:sz w:val="21"/>
                    </w:rPr>
                  </w:pPr>
                </w:p>
              </w:tc>
              <w:tc>
                <w:tcPr>
                  <w:tcW w:w="1057" w:type="pct"/>
                  <w:vMerge w:val="continue"/>
                  <w:vAlign w:val="center"/>
                </w:tcPr>
                <w:p w14:paraId="712BB824">
                  <w:pPr>
                    <w:adjustRightInd w:val="0"/>
                    <w:spacing w:line="360" w:lineRule="atLeast"/>
                    <w:ind w:firstLine="0" w:firstLineChars="0"/>
                    <w:jc w:val="center"/>
                    <w:rPr>
                      <w:bCs/>
                      <w:color w:val="auto"/>
                      <w:sz w:val="21"/>
                    </w:rPr>
                  </w:pPr>
                </w:p>
              </w:tc>
              <w:tc>
                <w:tcPr>
                  <w:tcW w:w="1297" w:type="pct"/>
                  <w:shd w:val="clear" w:color="auto" w:fill="auto"/>
                  <w:vAlign w:val="center"/>
                </w:tcPr>
                <w:p w14:paraId="6A1D13E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s="Times New Roman"/>
                      <w:color w:val="auto"/>
                      <w:sz w:val="21"/>
                      <w:szCs w:val="21"/>
                      <w:highlight w:val="none"/>
                      <w:lang w:val="en-US" w:eastAsia="zh-CN"/>
                    </w:rPr>
                    <w:t>废油桶</w:t>
                  </w:r>
                </w:p>
              </w:tc>
              <w:tc>
                <w:tcPr>
                  <w:tcW w:w="2100" w:type="pct"/>
                  <w:shd w:val="clear" w:color="auto" w:fill="auto"/>
                  <w:vAlign w:val="center"/>
                </w:tcPr>
                <w:p w14:paraId="1BBEF1B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highlight w:val="none"/>
                      <w:lang w:val="en-US" w:eastAsia="zh-CN"/>
                    </w:rPr>
                    <w:t>废油桶</w:t>
                  </w:r>
                </w:p>
              </w:tc>
            </w:tr>
            <w:tr w14:paraId="01EBC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414523AF">
                  <w:pPr>
                    <w:adjustRightInd w:val="0"/>
                    <w:spacing w:line="360" w:lineRule="atLeast"/>
                    <w:ind w:firstLine="0" w:firstLineChars="0"/>
                    <w:jc w:val="center"/>
                    <w:rPr>
                      <w:bCs/>
                      <w:color w:val="auto"/>
                      <w:sz w:val="21"/>
                    </w:rPr>
                  </w:pPr>
                </w:p>
              </w:tc>
              <w:tc>
                <w:tcPr>
                  <w:tcW w:w="1057" w:type="pct"/>
                  <w:vAlign w:val="center"/>
                </w:tcPr>
                <w:p w14:paraId="5BC36F79">
                  <w:pPr>
                    <w:adjustRightInd w:val="0"/>
                    <w:spacing w:line="360" w:lineRule="atLeast"/>
                    <w:ind w:firstLine="0" w:firstLineChars="0"/>
                    <w:jc w:val="center"/>
                    <w:rPr>
                      <w:rFonts w:hint="eastAsia" w:eastAsia="宋体"/>
                      <w:bCs/>
                      <w:color w:val="auto"/>
                      <w:sz w:val="21"/>
                      <w:lang w:val="en-US" w:eastAsia="zh-CN"/>
                    </w:rPr>
                  </w:pPr>
                  <w:r>
                    <w:rPr>
                      <w:rFonts w:hint="eastAsia"/>
                      <w:bCs/>
                      <w:color w:val="auto"/>
                      <w:sz w:val="21"/>
                      <w:lang w:val="en-US" w:eastAsia="zh-CN"/>
                    </w:rPr>
                    <w:t>包装</w:t>
                  </w:r>
                </w:p>
              </w:tc>
              <w:tc>
                <w:tcPr>
                  <w:tcW w:w="1297" w:type="pct"/>
                  <w:shd w:val="clear" w:color="auto" w:fill="auto"/>
                  <w:vAlign w:val="center"/>
                </w:tcPr>
                <w:p w14:paraId="739852E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eastAsia="zh-CN"/>
                    </w:rPr>
                    <w:t>废</w:t>
                  </w:r>
                  <w:r>
                    <w:rPr>
                      <w:rFonts w:hint="eastAsia"/>
                      <w:color w:val="auto"/>
                      <w:sz w:val="21"/>
                      <w:szCs w:val="21"/>
                      <w:lang w:val="en-US" w:eastAsia="zh-CN"/>
                    </w:rPr>
                    <w:t>外包材</w:t>
                  </w:r>
                </w:p>
              </w:tc>
              <w:tc>
                <w:tcPr>
                  <w:tcW w:w="2100" w:type="pct"/>
                  <w:shd w:val="clear" w:color="auto" w:fill="auto"/>
                  <w:vAlign w:val="center"/>
                </w:tcPr>
                <w:p w14:paraId="35B1D2A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eastAsia="zh-CN"/>
                    </w:rPr>
                    <w:t>废</w:t>
                  </w:r>
                  <w:r>
                    <w:rPr>
                      <w:rFonts w:hint="eastAsia"/>
                      <w:color w:val="auto"/>
                      <w:sz w:val="21"/>
                      <w:szCs w:val="21"/>
                      <w:lang w:val="en-US" w:eastAsia="zh-CN"/>
                    </w:rPr>
                    <w:t>化学品包装物</w:t>
                  </w:r>
                </w:p>
              </w:tc>
            </w:tr>
            <w:tr w14:paraId="0C4B4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0360BA58">
                  <w:pPr>
                    <w:adjustRightInd w:val="0"/>
                    <w:spacing w:line="360" w:lineRule="atLeast"/>
                    <w:ind w:firstLine="0" w:firstLineChars="0"/>
                    <w:jc w:val="center"/>
                    <w:rPr>
                      <w:bCs/>
                      <w:color w:val="auto"/>
                      <w:sz w:val="21"/>
                    </w:rPr>
                  </w:pPr>
                </w:p>
              </w:tc>
              <w:tc>
                <w:tcPr>
                  <w:tcW w:w="1057" w:type="pct"/>
                  <w:vMerge w:val="restart"/>
                  <w:vAlign w:val="center"/>
                </w:tcPr>
                <w:p w14:paraId="716FD144">
                  <w:pPr>
                    <w:adjustRightInd w:val="0"/>
                    <w:spacing w:line="360" w:lineRule="atLeast"/>
                    <w:ind w:firstLine="0" w:firstLineChars="0"/>
                    <w:jc w:val="center"/>
                    <w:rPr>
                      <w:rFonts w:hint="default"/>
                      <w:bCs/>
                      <w:color w:val="auto"/>
                      <w:sz w:val="21"/>
                      <w:lang w:val="en-US" w:eastAsia="zh-CN"/>
                    </w:rPr>
                  </w:pPr>
                  <w:r>
                    <w:rPr>
                      <w:rFonts w:hint="eastAsia"/>
                      <w:bCs/>
                      <w:color w:val="auto"/>
                      <w:sz w:val="21"/>
                      <w:lang w:val="en-US" w:eastAsia="zh-CN"/>
                    </w:rPr>
                    <w:t>废气处理</w:t>
                  </w:r>
                </w:p>
              </w:tc>
              <w:tc>
                <w:tcPr>
                  <w:tcW w:w="1297" w:type="pct"/>
                  <w:shd w:val="clear" w:color="auto" w:fill="auto"/>
                  <w:vAlign w:val="center"/>
                </w:tcPr>
                <w:p w14:paraId="2F43728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废活性炭</w:t>
                  </w:r>
                </w:p>
              </w:tc>
              <w:tc>
                <w:tcPr>
                  <w:tcW w:w="2100" w:type="pct"/>
                  <w:shd w:val="clear" w:color="auto" w:fill="auto"/>
                  <w:vAlign w:val="center"/>
                </w:tcPr>
                <w:p w14:paraId="38BDD68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eastAsia="zh-CN"/>
                    </w:rPr>
                  </w:pPr>
                  <w:r>
                    <w:rPr>
                      <w:rFonts w:hint="eastAsia"/>
                      <w:color w:val="auto"/>
                      <w:sz w:val="21"/>
                      <w:szCs w:val="21"/>
                      <w:lang w:val="en-US" w:eastAsia="zh-CN"/>
                    </w:rPr>
                    <w:t>废活性炭</w:t>
                  </w:r>
                </w:p>
              </w:tc>
            </w:tr>
            <w:tr w14:paraId="23B29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7593FCB7">
                  <w:pPr>
                    <w:adjustRightInd w:val="0"/>
                    <w:spacing w:line="360" w:lineRule="atLeast"/>
                    <w:ind w:firstLine="0" w:firstLineChars="0"/>
                    <w:jc w:val="center"/>
                    <w:rPr>
                      <w:bCs/>
                      <w:color w:val="auto"/>
                      <w:sz w:val="21"/>
                    </w:rPr>
                  </w:pPr>
                </w:p>
              </w:tc>
              <w:tc>
                <w:tcPr>
                  <w:tcW w:w="1057" w:type="pct"/>
                  <w:vMerge w:val="continue"/>
                  <w:vAlign w:val="center"/>
                </w:tcPr>
                <w:p w14:paraId="18F87F94">
                  <w:pPr>
                    <w:adjustRightInd w:val="0"/>
                    <w:spacing w:line="360" w:lineRule="atLeast"/>
                    <w:ind w:firstLine="0" w:firstLineChars="0"/>
                    <w:jc w:val="center"/>
                    <w:rPr>
                      <w:rFonts w:hint="eastAsia"/>
                      <w:bCs/>
                      <w:color w:val="auto"/>
                      <w:sz w:val="21"/>
                      <w:lang w:val="en-US" w:eastAsia="zh-CN"/>
                    </w:rPr>
                  </w:pPr>
                </w:p>
              </w:tc>
              <w:tc>
                <w:tcPr>
                  <w:tcW w:w="1297" w:type="pct"/>
                  <w:shd w:val="clear" w:color="auto" w:fill="auto"/>
                  <w:vAlign w:val="center"/>
                </w:tcPr>
                <w:p w14:paraId="7869289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s="Times New Roman"/>
                      <w:color w:val="auto"/>
                      <w:sz w:val="21"/>
                      <w:szCs w:val="21"/>
                      <w:highlight w:val="none"/>
                      <w:lang w:val="en-US" w:eastAsia="zh-CN"/>
                    </w:rPr>
                    <w:t>废SDG吸附材料</w:t>
                  </w:r>
                </w:p>
              </w:tc>
              <w:tc>
                <w:tcPr>
                  <w:tcW w:w="2100" w:type="pct"/>
                  <w:shd w:val="clear" w:color="auto" w:fill="auto"/>
                  <w:vAlign w:val="center"/>
                </w:tcPr>
                <w:p w14:paraId="043D418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val="en-US" w:eastAsia="zh-CN"/>
                    </w:rPr>
                  </w:pPr>
                  <w:r>
                    <w:rPr>
                      <w:rFonts w:hint="eastAsia" w:cs="Times New Roman"/>
                      <w:color w:val="auto"/>
                      <w:sz w:val="21"/>
                      <w:szCs w:val="21"/>
                      <w:highlight w:val="none"/>
                      <w:lang w:val="en-US" w:eastAsia="zh-CN"/>
                    </w:rPr>
                    <w:t>废SDG吸附材料</w:t>
                  </w:r>
                </w:p>
              </w:tc>
            </w:tr>
            <w:tr w14:paraId="65305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2CD03CD6">
                  <w:pPr>
                    <w:adjustRightInd w:val="0"/>
                    <w:spacing w:line="360" w:lineRule="atLeast"/>
                    <w:ind w:firstLine="0" w:firstLineChars="0"/>
                    <w:jc w:val="center"/>
                    <w:rPr>
                      <w:bCs/>
                      <w:color w:val="auto"/>
                      <w:sz w:val="21"/>
                    </w:rPr>
                  </w:pPr>
                </w:p>
              </w:tc>
              <w:tc>
                <w:tcPr>
                  <w:tcW w:w="1057" w:type="pct"/>
                  <w:vAlign w:val="center"/>
                </w:tcPr>
                <w:p w14:paraId="436BFF76">
                  <w:pPr>
                    <w:adjustRightInd w:val="0"/>
                    <w:spacing w:line="360" w:lineRule="atLeast"/>
                    <w:ind w:firstLine="0" w:firstLineChars="0"/>
                    <w:jc w:val="center"/>
                    <w:rPr>
                      <w:rFonts w:hint="default"/>
                      <w:bCs/>
                      <w:color w:val="auto"/>
                      <w:sz w:val="21"/>
                      <w:lang w:val="en-US" w:eastAsia="zh-CN"/>
                    </w:rPr>
                  </w:pPr>
                  <w:r>
                    <w:rPr>
                      <w:rFonts w:hint="eastAsia"/>
                      <w:bCs/>
                      <w:color w:val="auto"/>
                      <w:sz w:val="21"/>
                      <w:lang w:val="en-US" w:eastAsia="zh-CN"/>
                    </w:rPr>
                    <w:t>餐厅</w:t>
                  </w:r>
                </w:p>
              </w:tc>
              <w:tc>
                <w:tcPr>
                  <w:tcW w:w="1297" w:type="pct"/>
                  <w:shd w:val="clear" w:color="auto" w:fill="auto"/>
                  <w:vAlign w:val="center"/>
                </w:tcPr>
                <w:p w14:paraId="4666AE7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废油脂</w:t>
                  </w:r>
                </w:p>
              </w:tc>
              <w:tc>
                <w:tcPr>
                  <w:tcW w:w="2100" w:type="pct"/>
                  <w:shd w:val="clear" w:color="auto" w:fill="auto"/>
                  <w:vAlign w:val="center"/>
                </w:tcPr>
                <w:p w14:paraId="5A11BA3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废油脂</w:t>
                  </w:r>
                </w:p>
              </w:tc>
            </w:tr>
            <w:tr w14:paraId="26752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45" w:type="pct"/>
                  <w:vMerge w:val="continue"/>
                  <w:vAlign w:val="center"/>
                </w:tcPr>
                <w:p w14:paraId="76F1862C">
                  <w:pPr>
                    <w:adjustRightInd w:val="0"/>
                    <w:spacing w:line="360" w:lineRule="atLeast"/>
                    <w:ind w:firstLine="0" w:firstLineChars="0"/>
                    <w:jc w:val="center"/>
                    <w:rPr>
                      <w:bCs/>
                      <w:color w:val="auto"/>
                      <w:sz w:val="21"/>
                    </w:rPr>
                  </w:pPr>
                </w:p>
              </w:tc>
              <w:tc>
                <w:tcPr>
                  <w:tcW w:w="1057" w:type="pct"/>
                  <w:vAlign w:val="center"/>
                </w:tcPr>
                <w:p w14:paraId="3F42FEA9">
                  <w:pPr>
                    <w:adjustRightInd w:val="0"/>
                    <w:spacing w:line="360" w:lineRule="atLeast"/>
                    <w:ind w:firstLine="0" w:firstLineChars="0"/>
                    <w:jc w:val="center"/>
                    <w:rPr>
                      <w:rFonts w:hint="default"/>
                      <w:bCs/>
                      <w:color w:val="auto"/>
                      <w:sz w:val="21"/>
                      <w:lang w:val="en-US" w:eastAsia="zh-CN"/>
                    </w:rPr>
                  </w:pPr>
                  <w:r>
                    <w:rPr>
                      <w:rFonts w:hint="eastAsia"/>
                      <w:bCs/>
                      <w:color w:val="auto"/>
                      <w:sz w:val="21"/>
                      <w:lang w:val="en-US" w:eastAsia="zh-CN"/>
                    </w:rPr>
                    <w:t>生活垃圾</w:t>
                  </w:r>
                </w:p>
              </w:tc>
              <w:tc>
                <w:tcPr>
                  <w:tcW w:w="1297" w:type="pct"/>
                  <w:shd w:val="clear" w:color="auto" w:fill="auto"/>
                  <w:vAlign w:val="center"/>
                </w:tcPr>
                <w:p w14:paraId="764885C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生活垃圾</w:t>
                  </w:r>
                </w:p>
              </w:tc>
              <w:tc>
                <w:tcPr>
                  <w:tcW w:w="2100" w:type="pct"/>
                  <w:shd w:val="clear" w:color="auto" w:fill="auto"/>
                  <w:vAlign w:val="center"/>
                </w:tcPr>
                <w:p w14:paraId="3E6E0A9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生活垃圾</w:t>
                  </w:r>
                </w:p>
              </w:tc>
            </w:tr>
          </w:tbl>
          <w:p w14:paraId="3C795067">
            <w:pPr>
              <w:ind w:left="0" w:leftChars="0" w:firstLine="0" w:firstLineChars="0"/>
              <w:jc w:val="both"/>
              <w:rPr>
                <w:rFonts w:hint="default"/>
                <w:color w:val="auto"/>
                <w:lang w:val="en-US" w:eastAsia="zh-CN"/>
              </w:rPr>
            </w:pPr>
          </w:p>
        </w:tc>
      </w:tr>
      <w:tr w14:paraId="748760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0" w:type="pct"/>
            <w:noWrap w:val="0"/>
            <w:vAlign w:val="center"/>
          </w:tcPr>
          <w:p w14:paraId="5A5312DF">
            <w:pPr>
              <w:pStyle w:val="14"/>
              <w:spacing w:before="0" w:beforeAutospacing="0" w:after="0" w:afterAutospacing="0" w:line="360" w:lineRule="atLeast"/>
              <w:ind w:firstLine="0" w:firstLineChars="0"/>
              <w:jc w:val="center"/>
              <w:rPr>
                <w:color w:val="auto"/>
              </w:rPr>
            </w:pPr>
            <w:r>
              <w:rPr>
                <w:color w:val="auto"/>
                <w:kern w:val="2"/>
              </w:rPr>
              <w:t>与项目有关的原有环境污染问题</w:t>
            </w:r>
          </w:p>
        </w:tc>
        <w:tc>
          <w:tcPr>
            <w:tcW w:w="4589" w:type="pct"/>
            <w:noWrap w:val="0"/>
            <w:vAlign w:val="top"/>
          </w:tcPr>
          <w:p w14:paraId="2FB5E2D3">
            <w:pPr>
              <w:pStyle w:val="15"/>
              <w:jc w:val="center"/>
              <w:rPr>
                <w:rFonts w:hint="eastAsia"/>
                <w:color w:val="auto"/>
                <w:lang w:val="en-US" w:eastAsia="zh-CN"/>
              </w:rPr>
            </w:pPr>
          </w:p>
          <w:p w14:paraId="3699E2F1">
            <w:pPr>
              <w:ind w:left="0" w:leftChars="0" w:firstLine="0" w:firstLineChars="0"/>
              <w:rPr>
                <w:rFonts w:hint="eastAsia"/>
                <w:color w:val="auto"/>
                <w:lang w:val="en-US" w:eastAsia="zh-CN"/>
              </w:rPr>
            </w:pPr>
          </w:p>
          <w:p w14:paraId="2580D667">
            <w:pPr>
              <w:ind w:left="0" w:leftChars="0" w:firstLine="0" w:firstLineChars="0"/>
              <w:rPr>
                <w:rFonts w:hint="eastAsia"/>
                <w:color w:val="auto"/>
                <w:lang w:val="en-US" w:eastAsia="zh-CN"/>
              </w:rPr>
            </w:pPr>
          </w:p>
          <w:p w14:paraId="29D65206">
            <w:pPr>
              <w:ind w:left="0" w:leftChars="0" w:firstLine="0" w:firstLineChars="0"/>
              <w:rPr>
                <w:rFonts w:hint="eastAsia"/>
                <w:color w:val="auto"/>
                <w:lang w:val="en-US" w:eastAsia="zh-CN"/>
              </w:rPr>
            </w:pPr>
          </w:p>
          <w:p w14:paraId="521FF0E6">
            <w:pPr>
              <w:pStyle w:val="15"/>
              <w:jc w:val="center"/>
              <w:rPr>
                <w:rFonts w:hint="eastAsia"/>
                <w:color w:val="auto"/>
                <w:lang w:val="en-US" w:eastAsia="zh-CN"/>
              </w:rPr>
            </w:pPr>
            <w:r>
              <w:rPr>
                <w:rFonts w:hint="eastAsia"/>
                <w:color w:val="auto"/>
                <w:lang w:val="en-US" w:eastAsia="zh-CN"/>
              </w:rPr>
              <w:t>无</w:t>
            </w:r>
          </w:p>
          <w:p w14:paraId="5D9DD3B4">
            <w:pPr>
              <w:ind w:left="0" w:leftChars="0" w:firstLine="0" w:firstLineChars="0"/>
              <w:rPr>
                <w:rFonts w:hint="default"/>
                <w:color w:val="auto"/>
                <w:lang w:val="en-US" w:eastAsia="zh-CN"/>
              </w:rPr>
            </w:pPr>
          </w:p>
          <w:p w14:paraId="2CD40C43">
            <w:pPr>
              <w:ind w:left="0" w:leftChars="0" w:firstLine="0" w:firstLineChars="0"/>
              <w:rPr>
                <w:rFonts w:hint="default"/>
                <w:color w:val="auto"/>
                <w:lang w:val="en-US" w:eastAsia="zh-CN"/>
              </w:rPr>
            </w:pPr>
          </w:p>
          <w:p w14:paraId="4E9E7EC7">
            <w:pPr>
              <w:ind w:left="0" w:leftChars="0" w:firstLine="0" w:firstLineChars="0"/>
              <w:rPr>
                <w:rFonts w:hint="default"/>
                <w:color w:val="auto"/>
                <w:lang w:val="en-US" w:eastAsia="zh-CN"/>
              </w:rPr>
            </w:pPr>
          </w:p>
          <w:p w14:paraId="5D0A5295">
            <w:pPr>
              <w:ind w:left="0" w:leftChars="0" w:firstLine="0" w:firstLineChars="0"/>
              <w:rPr>
                <w:rFonts w:hint="default"/>
                <w:color w:val="auto"/>
                <w:lang w:val="en-US" w:eastAsia="zh-CN"/>
              </w:rPr>
            </w:pPr>
          </w:p>
        </w:tc>
      </w:tr>
    </w:tbl>
    <w:p w14:paraId="2D51445A">
      <w:pPr>
        <w:pStyle w:val="14"/>
        <w:rPr>
          <w:snapToGrid w:val="0"/>
          <w:color w:val="auto"/>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128585D7">
      <w:pPr>
        <w:pStyle w:val="14"/>
        <w:ind w:firstLine="600"/>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三、区域环境质量现状、环境保护目标及评价标准</w:t>
      </w:r>
    </w:p>
    <w:tbl>
      <w:tblPr>
        <w:tblStyle w:val="1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40"/>
        <w:gridCol w:w="8021"/>
      </w:tblGrid>
      <w:tr w14:paraId="4482F6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4" w:type="pct"/>
            <w:noWrap w:val="0"/>
            <w:vAlign w:val="center"/>
          </w:tcPr>
          <w:p w14:paraId="6AFB0F3D">
            <w:pPr>
              <w:ind w:firstLine="0" w:firstLineChars="0"/>
              <w:jc w:val="center"/>
              <w:rPr>
                <w:color w:val="auto"/>
                <w:kern w:val="0"/>
              </w:rPr>
            </w:pPr>
            <w:r>
              <w:rPr>
                <w:color w:val="auto"/>
                <w:kern w:val="0"/>
              </w:rPr>
              <w:t>区域</w:t>
            </w:r>
          </w:p>
          <w:p w14:paraId="60E23D50">
            <w:pPr>
              <w:ind w:firstLine="0" w:firstLineChars="0"/>
              <w:jc w:val="center"/>
              <w:rPr>
                <w:color w:val="auto"/>
                <w:kern w:val="0"/>
              </w:rPr>
            </w:pPr>
            <w:r>
              <w:rPr>
                <w:color w:val="auto"/>
                <w:kern w:val="0"/>
              </w:rPr>
              <w:t>环境</w:t>
            </w:r>
          </w:p>
          <w:p w14:paraId="190FBAAC">
            <w:pPr>
              <w:ind w:firstLine="0" w:firstLineChars="0"/>
              <w:jc w:val="center"/>
              <w:rPr>
                <w:color w:val="auto"/>
                <w:kern w:val="0"/>
              </w:rPr>
            </w:pPr>
            <w:r>
              <w:rPr>
                <w:color w:val="auto"/>
                <w:kern w:val="0"/>
              </w:rPr>
              <w:t>质量</w:t>
            </w:r>
          </w:p>
          <w:p w14:paraId="3357310F">
            <w:pPr>
              <w:ind w:firstLine="0" w:firstLineChars="0"/>
              <w:jc w:val="center"/>
              <w:rPr>
                <w:color w:val="auto"/>
                <w:kern w:val="0"/>
              </w:rPr>
            </w:pPr>
            <w:r>
              <w:rPr>
                <w:color w:val="auto"/>
                <w:kern w:val="0"/>
              </w:rPr>
              <w:t>现状</w:t>
            </w:r>
          </w:p>
        </w:tc>
        <w:tc>
          <w:tcPr>
            <w:tcW w:w="4425" w:type="pct"/>
            <w:noWrap w:val="0"/>
            <w:vAlign w:val="center"/>
          </w:tcPr>
          <w:p w14:paraId="59D2C529">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1、大气环境</w:t>
            </w:r>
          </w:p>
          <w:p w14:paraId="04331AF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rPr>
            </w:pPr>
            <w:r>
              <w:rPr>
                <w:rFonts w:hint="eastAsia"/>
                <w:sz w:val="24"/>
              </w:rPr>
              <w:t>根据陕西省生态环境厅公布的《环保快报2024年12月及1~12月全省环境空气质量状况》进行评价。本评价选用2024年1~12月关中地区63个县（区）空气质量状况统计表中西咸新区的数据对该区域基本污染物环境质量现状进行评价。</w:t>
            </w:r>
          </w:p>
          <w:p w14:paraId="4EF2766E">
            <w:pPr>
              <w:pStyle w:val="42"/>
              <w:numPr>
                <w:ilvl w:val="0"/>
                <w:numId w:val="0"/>
              </w:numPr>
              <w:rPr>
                <w:szCs w:val="24"/>
              </w:rPr>
            </w:pPr>
            <w:r>
              <w:rPr>
                <w:rFonts w:hAnsi="宋体"/>
                <w:szCs w:val="24"/>
              </w:rPr>
              <w:t>表</w:t>
            </w:r>
            <w:r>
              <w:rPr>
                <w:rFonts w:hint="eastAsia"/>
                <w:szCs w:val="24"/>
              </w:rPr>
              <w:t>3</w:t>
            </w:r>
            <w:r>
              <w:rPr>
                <w:szCs w:val="24"/>
              </w:rPr>
              <w:t xml:space="preserve">-1   </w:t>
            </w:r>
            <w:r>
              <w:rPr>
                <w:rFonts w:hAnsi="宋体"/>
                <w:szCs w:val="24"/>
              </w:rPr>
              <w:t>区域空气环境质量现状评价表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2386"/>
              <w:gridCol w:w="1219"/>
              <w:gridCol w:w="1164"/>
              <w:gridCol w:w="1120"/>
              <w:gridCol w:w="981"/>
            </w:tblGrid>
            <w:tr w14:paraId="504FC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5B01EDF4">
                  <w:pPr>
                    <w:keepNext w:val="0"/>
                    <w:keepLines w:val="0"/>
                    <w:pageBreakBefore w:val="0"/>
                    <w:kinsoku/>
                    <w:wordWrap/>
                    <w:overflowPunct/>
                    <w:topLinePunct w:val="0"/>
                    <w:autoSpaceDE/>
                    <w:autoSpaceDN/>
                    <w:bidi w:val="0"/>
                    <w:adjustRightInd/>
                    <w:snapToGrid/>
                    <w:spacing w:line="240" w:lineRule="auto"/>
                    <w:ind w:firstLine="0" w:firstLineChars="0"/>
                    <w:jc w:val="center"/>
                    <w:rPr>
                      <w:b/>
                      <w:bCs/>
                      <w:sz w:val="21"/>
                      <w:szCs w:val="21"/>
                    </w:rPr>
                  </w:pPr>
                  <w:r>
                    <w:rPr>
                      <w:b/>
                      <w:bCs/>
                      <w:sz w:val="21"/>
                      <w:szCs w:val="21"/>
                    </w:rPr>
                    <w:t>污染物</w:t>
                  </w:r>
                </w:p>
              </w:tc>
              <w:tc>
                <w:tcPr>
                  <w:tcW w:w="1529" w:type="pct"/>
                  <w:tcBorders>
                    <w:tl2br w:val="nil"/>
                    <w:tr2bl w:val="nil"/>
                  </w:tcBorders>
                  <w:vAlign w:val="center"/>
                </w:tcPr>
                <w:p w14:paraId="1B45E5F2">
                  <w:pPr>
                    <w:keepNext w:val="0"/>
                    <w:keepLines w:val="0"/>
                    <w:pageBreakBefore w:val="0"/>
                    <w:kinsoku/>
                    <w:wordWrap/>
                    <w:overflowPunct/>
                    <w:topLinePunct w:val="0"/>
                    <w:autoSpaceDE/>
                    <w:autoSpaceDN/>
                    <w:bidi w:val="0"/>
                    <w:adjustRightInd/>
                    <w:snapToGrid/>
                    <w:spacing w:line="240" w:lineRule="auto"/>
                    <w:ind w:firstLine="0" w:firstLineChars="0"/>
                    <w:jc w:val="center"/>
                    <w:rPr>
                      <w:b/>
                      <w:bCs/>
                      <w:sz w:val="21"/>
                      <w:szCs w:val="21"/>
                    </w:rPr>
                  </w:pPr>
                  <w:r>
                    <w:rPr>
                      <w:b/>
                      <w:bCs/>
                      <w:sz w:val="21"/>
                      <w:szCs w:val="21"/>
                    </w:rPr>
                    <w:t>年评价指标</w:t>
                  </w:r>
                </w:p>
              </w:tc>
              <w:tc>
                <w:tcPr>
                  <w:tcW w:w="782" w:type="pct"/>
                  <w:tcBorders>
                    <w:tl2br w:val="nil"/>
                    <w:tr2bl w:val="nil"/>
                  </w:tcBorders>
                  <w:vAlign w:val="center"/>
                </w:tcPr>
                <w:p w14:paraId="0973FCCD">
                  <w:pPr>
                    <w:keepNext w:val="0"/>
                    <w:keepLines w:val="0"/>
                    <w:pageBreakBefore w:val="0"/>
                    <w:kinsoku/>
                    <w:wordWrap/>
                    <w:overflowPunct/>
                    <w:topLinePunct w:val="0"/>
                    <w:autoSpaceDE/>
                    <w:autoSpaceDN/>
                    <w:bidi w:val="0"/>
                    <w:adjustRightInd/>
                    <w:snapToGrid/>
                    <w:spacing w:line="240" w:lineRule="auto"/>
                    <w:ind w:firstLine="0" w:firstLineChars="0"/>
                    <w:jc w:val="center"/>
                    <w:rPr>
                      <w:b/>
                      <w:bCs/>
                      <w:sz w:val="21"/>
                      <w:szCs w:val="21"/>
                    </w:rPr>
                  </w:pPr>
                  <w:r>
                    <w:rPr>
                      <w:b/>
                      <w:bCs/>
                      <w:sz w:val="21"/>
                      <w:szCs w:val="21"/>
                    </w:rPr>
                    <w:t>现状浓度（μg/m</w:t>
                  </w:r>
                  <w:r>
                    <w:rPr>
                      <w:b/>
                      <w:bCs/>
                      <w:sz w:val="21"/>
                      <w:szCs w:val="21"/>
                      <w:vertAlign w:val="superscript"/>
                    </w:rPr>
                    <w:t>3</w:t>
                  </w:r>
                  <w:r>
                    <w:rPr>
                      <w:b/>
                      <w:bCs/>
                      <w:sz w:val="21"/>
                      <w:szCs w:val="21"/>
                    </w:rPr>
                    <w:t>）</w:t>
                  </w:r>
                </w:p>
              </w:tc>
              <w:tc>
                <w:tcPr>
                  <w:tcW w:w="747" w:type="pct"/>
                  <w:tcBorders>
                    <w:tl2br w:val="nil"/>
                    <w:tr2bl w:val="nil"/>
                  </w:tcBorders>
                  <w:vAlign w:val="center"/>
                </w:tcPr>
                <w:p w14:paraId="66B570B8">
                  <w:pPr>
                    <w:keepNext w:val="0"/>
                    <w:keepLines w:val="0"/>
                    <w:pageBreakBefore w:val="0"/>
                    <w:kinsoku/>
                    <w:wordWrap/>
                    <w:overflowPunct/>
                    <w:topLinePunct w:val="0"/>
                    <w:autoSpaceDE/>
                    <w:autoSpaceDN/>
                    <w:bidi w:val="0"/>
                    <w:adjustRightInd/>
                    <w:snapToGrid/>
                    <w:spacing w:line="240" w:lineRule="auto"/>
                    <w:ind w:firstLine="0" w:firstLineChars="0"/>
                    <w:jc w:val="center"/>
                    <w:rPr>
                      <w:b/>
                      <w:bCs/>
                      <w:sz w:val="21"/>
                      <w:szCs w:val="21"/>
                    </w:rPr>
                  </w:pPr>
                  <w:r>
                    <w:rPr>
                      <w:b/>
                      <w:bCs/>
                      <w:sz w:val="21"/>
                      <w:szCs w:val="21"/>
                    </w:rPr>
                    <w:t>标准值（μg/m</w:t>
                  </w:r>
                  <w:r>
                    <w:rPr>
                      <w:b/>
                      <w:bCs/>
                      <w:sz w:val="21"/>
                      <w:szCs w:val="21"/>
                      <w:vertAlign w:val="superscript"/>
                    </w:rPr>
                    <w:t>3</w:t>
                  </w:r>
                  <w:r>
                    <w:rPr>
                      <w:b/>
                      <w:bCs/>
                      <w:sz w:val="21"/>
                      <w:szCs w:val="21"/>
                    </w:rPr>
                    <w:t>）</w:t>
                  </w:r>
                </w:p>
              </w:tc>
              <w:tc>
                <w:tcPr>
                  <w:tcW w:w="718" w:type="pct"/>
                  <w:tcBorders>
                    <w:tl2br w:val="nil"/>
                    <w:tr2bl w:val="nil"/>
                  </w:tcBorders>
                  <w:vAlign w:val="center"/>
                </w:tcPr>
                <w:p w14:paraId="1811436D">
                  <w:pPr>
                    <w:keepNext w:val="0"/>
                    <w:keepLines w:val="0"/>
                    <w:pageBreakBefore w:val="0"/>
                    <w:kinsoku/>
                    <w:wordWrap/>
                    <w:overflowPunct/>
                    <w:topLinePunct w:val="0"/>
                    <w:autoSpaceDE/>
                    <w:autoSpaceDN/>
                    <w:bidi w:val="0"/>
                    <w:adjustRightInd/>
                    <w:snapToGrid/>
                    <w:spacing w:line="240" w:lineRule="auto"/>
                    <w:ind w:firstLine="0" w:firstLineChars="0"/>
                    <w:jc w:val="center"/>
                    <w:rPr>
                      <w:b/>
                      <w:bCs/>
                      <w:sz w:val="21"/>
                      <w:szCs w:val="21"/>
                    </w:rPr>
                  </w:pPr>
                  <w:r>
                    <w:rPr>
                      <w:b/>
                      <w:bCs/>
                      <w:sz w:val="21"/>
                      <w:szCs w:val="21"/>
                    </w:rPr>
                    <w:t>占标率</w:t>
                  </w:r>
                </w:p>
              </w:tc>
              <w:tc>
                <w:tcPr>
                  <w:tcW w:w="629" w:type="pct"/>
                  <w:tcBorders>
                    <w:tl2br w:val="nil"/>
                    <w:tr2bl w:val="nil"/>
                  </w:tcBorders>
                  <w:vAlign w:val="center"/>
                </w:tcPr>
                <w:p w14:paraId="2B60BA4E">
                  <w:pPr>
                    <w:keepNext w:val="0"/>
                    <w:keepLines w:val="0"/>
                    <w:pageBreakBefore w:val="0"/>
                    <w:kinsoku/>
                    <w:wordWrap/>
                    <w:overflowPunct/>
                    <w:topLinePunct w:val="0"/>
                    <w:autoSpaceDE/>
                    <w:autoSpaceDN/>
                    <w:bidi w:val="0"/>
                    <w:adjustRightInd/>
                    <w:snapToGrid/>
                    <w:spacing w:line="240" w:lineRule="auto"/>
                    <w:ind w:firstLine="0" w:firstLineChars="0"/>
                    <w:jc w:val="center"/>
                    <w:rPr>
                      <w:b/>
                      <w:bCs/>
                      <w:sz w:val="21"/>
                      <w:szCs w:val="21"/>
                    </w:rPr>
                  </w:pPr>
                  <w:r>
                    <w:rPr>
                      <w:b/>
                      <w:bCs/>
                      <w:sz w:val="21"/>
                      <w:szCs w:val="21"/>
                    </w:rPr>
                    <w:t>达标</w:t>
                  </w:r>
                </w:p>
                <w:p w14:paraId="3DFD1F6F">
                  <w:pPr>
                    <w:keepNext w:val="0"/>
                    <w:keepLines w:val="0"/>
                    <w:pageBreakBefore w:val="0"/>
                    <w:kinsoku/>
                    <w:wordWrap/>
                    <w:overflowPunct/>
                    <w:topLinePunct w:val="0"/>
                    <w:autoSpaceDE/>
                    <w:autoSpaceDN/>
                    <w:bidi w:val="0"/>
                    <w:adjustRightInd/>
                    <w:snapToGrid/>
                    <w:spacing w:line="240" w:lineRule="auto"/>
                    <w:ind w:firstLine="0" w:firstLineChars="0"/>
                    <w:jc w:val="center"/>
                    <w:rPr>
                      <w:b/>
                      <w:bCs/>
                      <w:sz w:val="21"/>
                      <w:szCs w:val="21"/>
                    </w:rPr>
                  </w:pPr>
                  <w:r>
                    <w:rPr>
                      <w:b/>
                      <w:bCs/>
                      <w:sz w:val="21"/>
                      <w:szCs w:val="21"/>
                    </w:rPr>
                    <w:t>情况</w:t>
                  </w:r>
                </w:p>
              </w:tc>
            </w:tr>
            <w:tr w14:paraId="0A55B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36527201">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SO</w:t>
                  </w:r>
                  <w:r>
                    <w:rPr>
                      <w:sz w:val="21"/>
                      <w:szCs w:val="21"/>
                      <w:vertAlign w:val="subscript"/>
                    </w:rPr>
                    <w:t>2</w:t>
                  </w:r>
                </w:p>
              </w:tc>
              <w:tc>
                <w:tcPr>
                  <w:tcW w:w="1529" w:type="pct"/>
                  <w:tcBorders>
                    <w:tl2br w:val="nil"/>
                    <w:tr2bl w:val="nil"/>
                  </w:tcBorders>
                  <w:vAlign w:val="center"/>
                </w:tcPr>
                <w:p w14:paraId="25FCF89F">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年平均质量浓度</w:t>
                  </w:r>
                </w:p>
              </w:tc>
              <w:tc>
                <w:tcPr>
                  <w:tcW w:w="782" w:type="pct"/>
                  <w:tcBorders>
                    <w:tl2br w:val="nil"/>
                    <w:tr2bl w:val="nil"/>
                  </w:tcBorders>
                  <w:vAlign w:val="center"/>
                </w:tcPr>
                <w:p w14:paraId="68CE4801">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rFonts w:hint="eastAsia"/>
                      <w:sz w:val="21"/>
                      <w:szCs w:val="21"/>
                    </w:rPr>
                    <w:t>5</w:t>
                  </w:r>
                </w:p>
              </w:tc>
              <w:tc>
                <w:tcPr>
                  <w:tcW w:w="747" w:type="pct"/>
                  <w:tcBorders>
                    <w:tl2br w:val="nil"/>
                    <w:tr2bl w:val="nil"/>
                  </w:tcBorders>
                  <w:vAlign w:val="center"/>
                </w:tcPr>
                <w:p w14:paraId="1839657F">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60</w:t>
                  </w:r>
                </w:p>
              </w:tc>
              <w:tc>
                <w:tcPr>
                  <w:tcW w:w="718" w:type="pct"/>
                  <w:tcBorders>
                    <w:tl2br w:val="nil"/>
                    <w:tr2bl w:val="nil"/>
                  </w:tcBorders>
                  <w:vAlign w:val="center"/>
                </w:tcPr>
                <w:p w14:paraId="0FE735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sz w:val="21"/>
                      <w:szCs w:val="21"/>
                    </w:rPr>
                  </w:pPr>
                  <w:r>
                    <w:rPr>
                      <w:rFonts w:hint="eastAsia"/>
                      <w:sz w:val="21"/>
                      <w:szCs w:val="21"/>
                    </w:rPr>
                    <w:t>8.33</w:t>
                  </w:r>
                  <w:r>
                    <w:rPr>
                      <w:sz w:val="21"/>
                      <w:szCs w:val="21"/>
                    </w:rPr>
                    <w:t>%</w:t>
                  </w:r>
                </w:p>
              </w:tc>
              <w:tc>
                <w:tcPr>
                  <w:tcW w:w="629" w:type="pct"/>
                  <w:tcBorders>
                    <w:tl2br w:val="nil"/>
                    <w:tr2bl w:val="nil"/>
                  </w:tcBorders>
                  <w:vAlign w:val="center"/>
                </w:tcPr>
                <w:p w14:paraId="4BC4E1A2">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达标</w:t>
                  </w:r>
                </w:p>
              </w:tc>
            </w:tr>
            <w:tr w14:paraId="18152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4A3987E7">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NO</w:t>
                  </w:r>
                  <w:r>
                    <w:rPr>
                      <w:sz w:val="21"/>
                      <w:szCs w:val="21"/>
                      <w:vertAlign w:val="subscript"/>
                    </w:rPr>
                    <w:t>2</w:t>
                  </w:r>
                </w:p>
              </w:tc>
              <w:tc>
                <w:tcPr>
                  <w:tcW w:w="1529" w:type="pct"/>
                  <w:tcBorders>
                    <w:tl2br w:val="nil"/>
                    <w:tr2bl w:val="nil"/>
                  </w:tcBorders>
                  <w:vAlign w:val="center"/>
                </w:tcPr>
                <w:p w14:paraId="23F4F33C">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年平均质量浓度</w:t>
                  </w:r>
                </w:p>
              </w:tc>
              <w:tc>
                <w:tcPr>
                  <w:tcW w:w="782" w:type="pct"/>
                  <w:tcBorders>
                    <w:tl2br w:val="nil"/>
                    <w:tr2bl w:val="nil"/>
                  </w:tcBorders>
                  <w:vAlign w:val="center"/>
                </w:tcPr>
                <w:p w14:paraId="6C7112D8">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rFonts w:hint="eastAsia"/>
                      <w:sz w:val="21"/>
                      <w:szCs w:val="21"/>
                    </w:rPr>
                    <w:t>31</w:t>
                  </w:r>
                </w:p>
              </w:tc>
              <w:tc>
                <w:tcPr>
                  <w:tcW w:w="747" w:type="pct"/>
                  <w:tcBorders>
                    <w:tl2br w:val="nil"/>
                    <w:tr2bl w:val="nil"/>
                  </w:tcBorders>
                  <w:vAlign w:val="center"/>
                </w:tcPr>
                <w:p w14:paraId="1A0BD1CD">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40</w:t>
                  </w:r>
                </w:p>
              </w:tc>
              <w:tc>
                <w:tcPr>
                  <w:tcW w:w="718" w:type="pct"/>
                  <w:tcBorders>
                    <w:tl2br w:val="nil"/>
                    <w:tr2bl w:val="nil"/>
                  </w:tcBorders>
                  <w:vAlign w:val="center"/>
                </w:tcPr>
                <w:p w14:paraId="730A85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sz w:val="21"/>
                      <w:szCs w:val="21"/>
                    </w:rPr>
                  </w:pPr>
                  <w:r>
                    <w:rPr>
                      <w:rFonts w:hint="eastAsia"/>
                      <w:sz w:val="21"/>
                      <w:szCs w:val="21"/>
                    </w:rPr>
                    <w:t>77.5</w:t>
                  </w:r>
                  <w:r>
                    <w:rPr>
                      <w:sz w:val="21"/>
                      <w:szCs w:val="21"/>
                    </w:rPr>
                    <w:t>%</w:t>
                  </w:r>
                </w:p>
              </w:tc>
              <w:tc>
                <w:tcPr>
                  <w:tcW w:w="629" w:type="pct"/>
                  <w:tcBorders>
                    <w:tl2br w:val="nil"/>
                    <w:tr2bl w:val="nil"/>
                  </w:tcBorders>
                  <w:vAlign w:val="center"/>
                </w:tcPr>
                <w:p w14:paraId="5DE01700">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达标</w:t>
                  </w:r>
                </w:p>
              </w:tc>
            </w:tr>
            <w:tr w14:paraId="3F7AD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6FBC71B6">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CO</w:t>
                  </w:r>
                </w:p>
              </w:tc>
              <w:tc>
                <w:tcPr>
                  <w:tcW w:w="1529" w:type="pct"/>
                  <w:tcBorders>
                    <w:tl2br w:val="nil"/>
                    <w:tr2bl w:val="nil"/>
                  </w:tcBorders>
                  <w:vAlign w:val="center"/>
                </w:tcPr>
                <w:p w14:paraId="26DA072B">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24小时平均第95百分位浓度</w:t>
                  </w:r>
                </w:p>
              </w:tc>
              <w:tc>
                <w:tcPr>
                  <w:tcW w:w="782" w:type="pct"/>
                  <w:tcBorders>
                    <w:tl2br w:val="nil"/>
                    <w:tr2bl w:val="nil"/>
                  </w:tcBorders>
                  <w:vAlign w:val="center"/>
                </w:tcPr>
                <w:p w14:paraId="0244B800">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rFonts w:hint="eastAsia"/>
                      <w:sz w:val="21"/>
                      <w:szCs w:val="21"/>
                    </w:rPr>
                    <w:t>1100</w:t>
                  </w:r>
                </w:p>
              </w:tc>
              <w:tc>
                <w:tcPr>
                  <w:tcW w:w="747" w:type="pct"/>
                  <w:tcBorders>
                    <w:tl2br w:val="nil"/>
                    <w:tr2bl w:val="nil"/>
                  </w:tcBorders>
                  <w:vAlign w:val="center"/>
                </w:tcPr>
                <w:p w14:paraId="5D766836">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4000</w:t>
                  </w:r>
                </w:p>
              </w:tc>
              <w:tc>
                <w:tcPr>
                  <w:tcW w:w="718" w:type="pct"/>
                  <w:tcBorders>
                    <w:tl2br w:val="nil"/>
                    <w:tr2bl w:val="nil"/>
                  </w:tcBorders>
                  <w:vAlign w:val="center"/>
                </w:tcPr>
                <w:p w14:paraId="14AE8C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sz w:val="21"/>
                      <w:szCs w:val="21"/>
                    </w:rPr>
                  </w:pPr>
                  <w:r>
                    <w:rPr>
                      <w:rFonts w:hint="eastAsia"/>
                      <w:sz w:val="21"/>
                      <w:szCs w:val="21"/>
                    </w:rPr>
                    <w:t>27</w:t>
                  </w:r>
                  <w:r>
                    <w:rPr>
                      <w:sz w:val="21"/>
                      <w:szCs w:val="21"/>
                    </w:rPr>
                    <w:t>.5%</w:t>
                  </w:r>
                </w:p>
              </w:tc>
              <w:tc>
                <w:tcPr>
                  <w:tcW w:w="629" w:type="pct"/>
                  <w:tcBorders>
                    <w:tl2br w:val="nil"/>
                    <w:tr2bl w:val="nil"/>
                  </w:tcBorders>
                  <w:vAlign w:val="center"/>
                </w:tcPr>
                <w:p w14:paraId="3009EBEC">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达标</w:t>
                  </w:r>
                </w:p>
              </w:tc>
            </w:tr>
            <w:tr w14:paraId="3EE54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0B81365B">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O</w:t>
                  </w:r>
                  <w:r>
                    <w:rPr>
                      <w:sz w:val="21"/>
                      <w:szCs w:val="21"/>
                      <w:vertAlign w:val="subscript"/>
                    </w:rPr>
                    <w:t>3</w:t>
                  </w:r>
                </w:p>
              </w:tc>
              <w:tc>
                <w:tcPr>
                  <w:tcW w:w="1529" w:type="pct"/>
                  <w:tcBorders>
                    <w:tl2br w:val="nil"/>
                    <w:tr2bl w:val="nil"/>
                  </w:tcBorders>
                  <w:vAlign w:val="center"/>
                </w:tcPr>
                <w:p w14:paraId="01C8F587">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日最大8小时平均第90百分位浓度</w:t>
                  </w:r>
                </w:p>
              </w:tc>
              <w:tc>
                <w:tcPr>
                  <w:tcW w:w="782" w:type="pct"/>
                  <w:tcBorders>
                    <w:tl2br w:val="nil"/>
                    <w:tr2bl w:val="nil"/>
                  </w:tcBorders>
                  <w:vAlign w:val="center"/>
                </w:tcPr>
                <w:p w14:paraId="7810470F">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rFonts w:hint="eastAsia"/>
                      <w:sz w:val="21"/>
                      <w:szCs w:val="21"/>
                    </w:rPr>
                    <w:t>168</w:t>
                  </w:r>
                </w:p>
              </w:tc>
              <w:tc>
                <w:tcPr>
                  <w:tcW w:w="747" w:type="pct"/>
                  <w:tcBorders>
                    <w:tl2br w:val="nil"/>
                    <w:tr2bl w:val="nil"/>
                  </w:tcBorders>
                  <w:vAlign w:val="center"/>
                </w:tcPr>
                <w:p w14:paraId="47D8CB91">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160</w:t>
                  </w:r>
                </w:p>
              </w:tc>
              <w:tc>
                <w:tcPr>
                  <w:tcW w:w="718" w:type="pct"/>
                  <w:tcBorders>
                    <w:tl2br w:val="nil"/>
                    <w:tr2bl w:val="nil"/>
                  </w:tcBorders>
                  <w:vAlign w:val="center"/>
                </w:tcPr>
                <w:p w14:paraId="29B617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sz w:val="21"/>
                      <w:szCs w:val="21"/>
                    </w:rPr>
                  </w:pPr>
                  <w:r>
                    <w:rPr>
                      <w:sz w:val="21"/>
                      <w:szCs w:val="21"/>
                    </w:rPr>
                    <w:t>10</w:t>
                  </w:r>
                  <w:r>
                    <w:rPr>
                      <w:rFonts w:hint="eastAsia"/>
                      <w:sz w:val="21"/>
                      <w:szCs w:val="21"/>
                    </w:rPr>
                    <w:t>5</w:t>
                  </w:r>
                  <w:r>
                    <w:rPr>
                      <w:sz w:val="21"/>
                      <w:szCs w:val="21"/>
                    </w:rPr>
                    <w:t>%</w:t>
                  </w:r>
                </w:p>
              </w:tc>
              <w:tc>
                <w:tcPr>
                  <w:tcW w:w="629" w:type="pct"/>
                  <w:tcBorders>
                    <w:tl2br w:val="nil"/>
                    <w:tr2bl w:val="nil"/>
                  </w:tcBorders>
                  <w:vAlign w:val="center"/>
                </w:tcPr>
                <w:p w14:paraId="77B38F4B">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不达标</w:t>
                  </w:r>
                </w:p>
              </w:tc>
            </w:tr>
            <w:tr w14:paraId="13088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782A28D6">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PM</w:t>
                  </w:r>
                  <w:r>
                    <w:rPr>
                      <w:sz w:val="21"/>
                      <w:szCs w:val="21"/>
                      <w:vertAlign w:val="subscript"/>
                    </w:rPr>
                    <w:t>10</w:t>
                  </w:r>
                </w:p>
              </w:tc>
              <w:tc>
                <w:tcPr>
                  <w:tcW w:w="1529" w:type="pct"/>
                  <w:tcBorders>
                    <w:tl2br w:val="nil"/>
                    <w:tr2bl w:val="nil"/>
                  </w:tcBorders>
                  <w:vAlign w:val="center"/>
                </w:tcPr>
                <w:p w14:paraId="2DCF82D7">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年平均质量浓度</w:t>
                  </w:r>
                </w:p>
              </w:tc>
              <w:tc>
                <w:tcPr>
                  <w:tcW w:w="782" w:type="pct"/>
                  <w:tcBorders>
                    <w:tl2br w:val="nil"/>
                    <w:tr2bl w:val="nil"/>
                  </w:tcBorders>
                  <w:vAlign w:val="center"/>
                </w:tcPr>
                <w:p w14:paraId="6F549127">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rFonts w:hint="eastAsia"/>
                      <w:sz w:val="21"/>
                      <w:szCs w:val="21"/>
                    </w:rPr>
                    <w:t>74</w:t>
                  </w:r>
                </w:p>
              </w:tc>
              <w:tc>
                <w:tcPr>
                  <w:tcW w:w="747" w:type="pct"/>
                  <w:tcBorders>
                    <w:tl2br w:val="nil"/>
                    <w:tr2bl w:val="nil"/>
                  </w:tcBorders>
                  <w:vAlign w:val="center"/>
                </w:tcPr>
                <w:p w14:paraId="7470B294">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70</w:t>
                  </w:r>
                </w:p>
              </w:tc>
              <w:tc>
                <w:tcPr>
                  <w:tcW w:w="718" w:type="pct"/>
                  <w:tcBorders>
                    <w:tl2br w:val="nil"/>
                    <w:tr2bl w:val="nil"/>
                  </w:tcBorders>
                  <w:vAlign w:val="center"/>
                </w:tcPr>
                <w:p w14:paraId="4B4B7B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sz w:val="21"/>
                      <w:szCs w:val="21"/>
                    </w:rPr>
                  </w:pPr>
                  <w:r>
                    <w:rPr>
                      <w:sz w:val="21"/>
                      <w:szCs w:val="21"/>
                    </w:rPr>
                    <w:t>1</w:t>
                  </w:r>
                  <w:r>
                    <w:rPr>
                      <w:rFonts w:hint="eastAsia"/>
                      <w:sz w:val="21"/>
                      <w:szCs w:val="21"/>
                    </w:rPr>
                    <w:t>05.71</w:t>
                  </w:r>
                  <w:r>
                    <w:rPr>
                      <w:sz w:val="21"/>
                      <w:szCs w:val="21"/>
                    </w:rPr>
                    <w:t>%</w:t>
                  </w:r>
                </w:p>
              </w:tc>
              <w:tc>
                <w:tcPr>
                  <w:tcW w:w="629" w:type="pct"/>
                  <w:tcBorders>
                    <w:tl2br w:val="nil"/>
                    <w:tr2bl w:val="nil"/>
                  </w:tcBorders>
                  <w:vAlign w:val="center"/>
                </w:tcPr>
                <w:p w14:paraId="2CC9A2E0">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不达标</w:t>
                  </w:r>
                </w:p>
              </w:tc>
            </w:tr>
            <w:tr w14:paraId="70A28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7FB34D73">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PM</w:t>
                  </w:r>
                  <w:r>
                    <w:rPr>
                      <w:sz w:val="21"/>
                      <w:szCs w:val="21"/>
                      <w:vertAlign w:val="subscript"/>
                    </w:rPr>
                    <w:t>2.5</w:t>
                  </w:r>
                </w:p>
              </w:tc>
              <w:tc>
                <w:tcPr>
                  <w:tcW w:w="1529" w:type="pct"/>
                  <w:tcBorders>
                    <w:tl2br w:val="nil"/>
                    <w:tr2bl w:val="nil"/>
                  </w:tcBorders>
                  <w:vAlign w:val="center"/>
                </w:tcPr>
                <w:p w14:paraId="71E19DD2">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年平均质量浓度</w:t>
                  </w:r>
                </w:p>
              </w:tc>
              <w:tc>
                <w:tcPr>
                  <w:tcW w:w="782" w:type="pct"/>
                  <w:tcBorders>
                    <w:tl2br w:val="nil"/>
                    <w:tr2bl w:val="nil"/>
                  </w:tcBorders>
                  <w:vAlign w:val="center"/>
                </w:tcPr>
                <w:p w14:paraId="768F2E70">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rFonts w:hint="eastAsia"/>
                      <w:sz w:val="21"/>
                      <w:szCs w:val="21"/>
                    </w:rPr>
                    <w:t>43</w:t>
                  </w:r>
                </w:p>
              </w:tc>
              <w:tc>
                <w:tcPr>
                  <w:tcW w:w="747" w:type="pct"/>
                  <w:tcBorders>
                    <w:tl2br w:val="nil"/>
                    <w:tr2bl w:val="nil"/>
                  </w:tcBorders>
                  <w:vAlign w:val="center"/>
                </w:tcPr>
                <w:p w14:paraId="36B2B8C5">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35</w:t>
                  </w:r>
                </w:p>
              </w:tc>
              <w:tc>
                <w:tcPr>
                  <w:tcW w:w="718" w:type="pct"/>
                  <w:tcBorders>
                    <w:tl2br w:val="nil"/>
                    <w:tr2bl w:val="nil"/>
                  </w:tcBorders>
                  <w:vAlign w:val="center"/>
                </w:tcPr>
                <w:p w14:paraId="10C203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sz w:val="21"/>
                      <w:szCs w:val="21"/>
                    </w:rPr>
                  </w:pPr>
                  <w:r>
                    <w:rPr>
                      <w:rFonts w:hint="eastAsia"/>
                      <w:sz w:val="21"/>
                      <w:szCs w:val="21"/>
                    </w:rPr>
                    <w:t>122.86</w:t>
                  </w:r>
                  <w:r>
                    <w:rPr>
                      <w:sz w:val="21"/>
                      <w:szCs w:val="21"/>
                    </w:rPr>
                    <w:t>%</w:t>
                  </w:r>
                </w:p>
              </w:tc>
              <w:tc>
                <w:tcPr>
                  <w:tcW w:w="629" w:type="pct"/>
                  <w:tcBorders>
                    <w:tl2br w:val="nil"/>
                    <w:tr2bl w:val="nil"/>
                  </w:tcBorders>
                  <w:vAlign w:val="center"/>
                </w:tcPr>
                <w:p w14:paraId="188DB8A2">
                  <w:pPr>
                    <w:keepNext w:val="0"/>
                    <w:keepLines w:val="0"/>
                    <w:pageBreakBefore w:val="0"/>
                    <w:kinsoku/>
                    <w:wordWrap/>
                    <w:overflowPunct/>
                    <w:topLinePunct w:val="0"/>
                    <w:autoSpaceDE/>
                    <w:autoSpaceDN/>
                    <w:bidi w:val="0"/>
                    <w:adjustRightInd/>
                    <w:snapToGrid/>
                    <w:spacing w:line="240" w:lineRule="auto"/>
                    <w:ind w:firstLine="0" w:firstLineChars="0"/>
                    <w:jc w:val="center"/>
                    <w:rPr>
                      <w:sz w:val="21"/>
                      <w:szCs w:val="21"/>
                    </w:rPr>
                  </w:pPr>
                  <w:r>
                    <w:rPr>
                      <w:sz w:val="21"/>
                      <w:szCs w:val="21"/>
                    </w:rPr>
                    <w:t>不达标</w:t>
                  </w:r>
                </w:p>
              </w:tc>
            </w:tr>
          </w:tbl>
          <w:p w14:paraId="04E0F54A">
            <w:pPr>
              <w:adjustRightInd w:val="0"/>
              <w:snapToGrid w:val="0"/>
              <w:spacing w:line="360" w:lineRule="auto"/>
              <w:ind w:firstLine="480" w:firstLineChars="200"/>
              <w:rPr>
                <w:rFonts w:hAnsi="宋体"/>
                <w:sz w:val="24"/>
              </w:rPr>
            </w:pPr>
            <w:r>
              <w:rPr>
                <w:sz w:val="24"/>
              </w:rPr>
              <w:t>由</w:t>
            </w:r>
            <w:r>
              <w:rPr>
                <w:rFonts w:hint="eastAsia"/>
                <w:sz w:val="24"/>
              </w:rPr>
              <w:t>表中数据可知</w:t>
            </w:r>
            <w:r>
              <w:rPr>
                <w:sz w:val="24"/>
              </w:rPr>
              <w:t>，项目所在区域SO</w:t>
            </w:r>
            <w:r>
              <w:rPr>
                <w:sz w:val="24"/>
                <w:vertAlign w:val="subscript"/>
              </w:rPr>
              <w:t>2</w:t>
            </w:r>
            <w:r>
              <w:rPr>
                <w:sz w:val="24"/>
              </w:rPr>
              <w:t>年平均质量浓度</w:t>
            </w:r>
            <w:r>
              <w:rPr>
                <w:rFonts w:hint="eastAsia"/>
                <w:sz w:val="24"/>
              </w:rPr>
              <w:t>、N</w:t>
            </w:r>
            <w:r>
              <w:rPr>
                <w:sz w:val="24"/>
              </w:rPr>
              <w:t>O</w:t>
            </w:r>
            <w:r>
              <w:rPr>
                <w:sz w:val="24"/>
                <w:vertAlign w:val="subscript"/>
              </w:rPr>
              <w:t>2</w:t>
            </w:r>
            <w:r>
              <w:rPr>
                <w:sz w:val="24"/>
              </w:rPr>
              <w:t>年平均质量浓度</w:t>
            </w:r>
            <w:r>
              <w:rPr>
                <w:rFonts w:hint="eastAsia"/>
                <w:sz w:val="24"/>
              </w:rPr>
              <w:t>以及</w:t>
            </w:r>
            <w:r>
              <w:rPr>
                <w:sz w:val="24"/>
              </w:rPr>
              <w:t>CO</w:t>
            </w:r>
            <w:r>
              <w:rPr>
                <w:rFonts w:hint="eastAsia"/>
                <w:sz w:val="24"/>
              </w:rPr>
              <w:t>24小时平均第95百分位浓度均</w:t>
            </w:r>
            <w:r>
              <w:rPr>
                <w:sz w:val="24"/>
              </w:rPr>
              <w:t>满足《环境空气质量标准》（GB3095-2012）中二级标准，O</w:t>
            </w:r>
            <w:r>
              <w:rPr>
                <w:rFonts w:hint="eastAsia"/>
                <w:sz w:val="24"/>
                <w:vertAlign w:val="subscript"/>
              </w:rPr>
              <w:t>3</w:t>
            </w:r>
            <w:r>
              <w:rPr>
                <w:rFonts w:hint="eastAsia"/>
                <w:sz w:val="24"/>
              </w:rPr>
              <w:t>日最大8小时平均第90百分位浓度、PM</w:t>
            </w:r>
            <w:r>
              <w:rPr>
                <w:rFonts w:hint="eastAsia"/>
                <w:sz w:val="24"/>
                <w:vertAlign w:val="subscript"/>
              </w:rPr>
              <w:t>2.5</w:t>
            </w:r>
            <w:r>
              <w:rPr>
                <w:rFonts w:hint="eastAsia"/>
                <w:sz w:val="24"/>
              </w:rPr>
              <w:t>和PM</w:t>
            </w:r>
            <w:r>
              <w:rPr>
                <w:rFonts w:hint="eastAsia"/>
                <w:sz w:val="24"/>
                <w:vertAlign w:val="subscript"/>
              </w:rPr>
              <w:t>10</w:t>
            </w:r>
            <w:r>
              <w:rPr>
                <w:sz w:val="24"/>
              </w:rPr>
              <w:t>年平均质量浓度</w:t>
            </w:r>
            <w:r>
              <w:rPr>
                <w:rFonts w:hint="eastAsia"/>
                <w:sz w:val="24"/>
              </w:rPr>
              <w:t>均不</w:t>
            </w:r>
            <w:r>
              <w:rPr>
                <w:sz w:val="24"/>
              </w:rPr>
              <w:t>满足《环境空气质量标准》（GB3095-2012）中二级标准</w:t>
            </w:r>
            <w:r>
              <w:rPr>
                <w:rFonts w:hint="eastAsia"/>
                <w:sz w:val="24"/>
              </w:rPr>
              <w:t>，所以</w:t>
            </w:r>
            <w:r>
              <w:rPr>
                <w:sz w:val="24"/>
              </w:rPr>
              <w:t>本项目所在地属于环境空气</w:t>
            </w:r>
            <w:r>
              <w:rPr>
                <w:rFonts w:hint="eastAsia"/>
                <w:sz w:val="24"/>
              </w:rPr>
              <w:t>不</w:t>
            </w:r>
            <w:r>
              <w:rPr>
                <w:sz w:val="24"/>
              </w:rPr>
              <w:t>达标区</w:t>
            </w:r>
            <w:r>
              <w:rPr>
                <w:rFonts w:hAnsi="宋体"/>
                <w:sz w:val="24"/>
              </w:rPr>
              <w:t>。</w:t>
            </w:r>
          </w:p>
          <w:p w14:paraId="57F3BF05">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b/>
                <w:bCs/>
                <w:color w:val="auto"/>
                <w:highlight w:val="none"/>
                <w:lang w:eastAsia="zh-CN"/>
              </w:rPr>
            </w:pPr>
            <w:r>
              <w:rPr>
                <w:rFonts w:hint="default"/>
                <w:b/>
                <w:bCs/>
                <w:color w:val="auto"/>
                <w:highlight w:val="none"/>
                <w:lang w:val="en-US" w:eastAsia="zh-CN"/>
              </w:rPr>
              <w:t>2、</w:t>
            </w:r>
            <w:r>
              <w:rPr>
                <w:rFonts w:hint="default"/>
                <w:b/>
                <w:bCs/>
                <w:color w:val="auto"/>
                <w:highlight w:val="none"/>
              </w:rPr>
              <w:t>声环境</w:t>
            </w:r>
            <w:r>
              <w:rPr>
                <w:rFonts w:hint="default"/>
                <w:b/>
                <w:bCs/>
                <w:color w:val="auto"/>
                <w:highlight w:val="none"/>
                <w:lang w:eastAsia="zh-CN"/>
              </w:rPr>
              <w:t>质量现状</w:t>
            </w:r>
          </w:p>
          <w:p w14:paraId="0AAA32F6">
            <w:pPr>
              <w:pStyle w:val="15"/>
              <w:rPr>
                <w:rFonts w:hint="eastAsia"/>
                <w:color w:val="auto"/>
                <w:highlight w:val="none"/>
                <w:lang w:val="en-US" w:eastAsia="zh-CN"/>
              </w:rPr>
            </w:pPr>
            <w:r>
              <w:rPr>
                <w:rFonts w:hint="eastAsia"/>
                <w:color w:val="auto"/>
                <w:highlight w:val="none"/>
                <w:lang w:val="en-US" w:eastAsia="zh-CN"/>
              </w:rPr>
              <w:t>本项目厂界外周边50m范围内不存在声环境保护目标，因此不对声环境质量现状进行监测。</w:t>
            </w:r>
          </w:p>
          <w:p w14:paraId="2B7B24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b/>
                <w:bCs/>
                <w:color w:val="auto"/>
                <w:lang w:val="en-US" w:eastAsia="zh-CN"/>
              </w:rPr>
            </w:pPr>
            <w:r>
              <w:rPr>
                <w:rFonts w:hint="eastAsia"/>
                <w:b/>
                <w:bCs/>
                <w:color w:val="auto"/>
                <w:lang w:val="en-US" w:eastAsia="zh-CN"/>
              </w:rPr>
              <w:t>3、土壤、地下水环境质量现状</w:t>
            </w:r>
          </w:p>
          <w:p w14:paraId="7CBB0F8F">
            <w:pPr>
              <w:widowControl/>
              <w:spacing w:line="360" w:lineRule="auto"/>
              <w:ind w:firstLine="480" w:firstLineChars="200"/>
              <w:rPr>
                <w:rFonts w:cs="宋体"/>
                <w:color w:val="000000"/>
                <w:kern w:val="0"/>
                <w:sz w:val="24"/>
                <w:highlight w:val="none"/>
                <w:lang w:bidi="ar"/>
              </w:rPr>
            </w:pPr>
            <w:r>
              <w:rPr>
                <w:bCs/>
                <w:color w:val="000000"/>
                <w:sz w:val="24"/>
                <w:highlight w:val="none"/>
              </w:rPr>
              <w:t>根据《建设项目环境影响报告表编制技术指南》（污染影响类）可知，</w:t>
            </w:r>
            <w:r>
              <w:rPr>
                <w:rFonts w:cs="宋体"/>
                <w:color w:val="000000"/>
                <w:kern w:val="0"/>
                <w:sz w:val="24"/>
                <w:highlight w:val="none"/>
                <w:lang w:bidi="ar"/>
              </w:rPr>
              <w:t>原则上不开展环境质量现状调查。建设项目存在土壤、地下水环境污染途径的，应结合污染源、保护目标分布情况开展现状调查以留作背景值。</w:t>
            </w:r>
          </w:p>
          <w:p w14:paraId="5453E439">
            <w:pPr>
              <w:spacing w:line="360" w:lineRule="auto"/>
              <w:ind w:firstLine="480" w:firstLineChars="200"/>
              <w:rPr>
                <w:color w:val="000000"/>
                <w:sz w:val="24"/>
                <w:highlight w:val="none"/>
              </w:rPr>
            </w:pPr>
            <w:r>
              <w:rPr>
                <w:rFonts w:cs="宋体"/>
                <w:color w:val="000000"/>
                <w:kern w:val="0"/>
                <w:sz w:val="24"/>
                <w:highlight w:val="none"/>
                <w:lang w:bidi="ar"/>
              </w:rPr>
              <w:t>本项目厂界外</w:t>
            </w:r>
            <w:r>
              <w:rPr>
                <w:color w:val="000000"/>
                <w:kern w:val="0"/>
                <w:sz w:val="24"/>
                <w:highlight w:val="none"/>
                <w:lang w:bidi="ar"/>
              </w:rPr>
              <w:t>500</w:t>
            </w:r>
            <w:r>
              <w:rPr>
                <w:rFonts w:cs="宋体"/>
                <w:color w:val="000000"/>
                <w:kern w:val="0"/>
                <w:sz w:val="24"/>
                <w:highlight w:val="none"/>
                <w:lang w:bidi="ar"/>
              </w:rPr>
              <w:t>米范围内无地下水集中式饮用水水源和热水、矿泉水、温泉等特殊地下水资源，</w:t>
            </w:r>
            <w:r>
              <w:rPr>
                <w:color w:val="000000"/>
                <w:sz w:val="24"/>
                <w:highlight w:val="none"/>
              </w:rPr>
              <w:t>项目地下水、土壤环境污染途径主要为废水、各化学品垂直渗漏，本项目</w:t>
            </w:r>
            <w:r>
              <w:rPr>
                <w:rFonts w:hint="eastAsia"/>
                <w:color w:val="000000"/>
                <w:sz w:val="24"/>
                <w:highlight w:val="none"/>
                <w:lang w:val="en-US" w:eastAsia="zh-CN"/>
              </w:rPr>
              <w:t>化学品的使用</w:t>
            </w:r>
            <w:r>
              <w:rPr>
                <w:color w:val="000000"/>
                <w:sz w:val="24"/>
                <w:highlight w:val="none"/>
              </w:rPr>
              <w:t>位于</w:t>
            </w:r>
            <w:r>
              <w:rPr>
                <w:rFonts w:hint="eastAsia"/>
                <w:color w:val="000000"/>
                <w:sz w:val="24"/>
                <w:highlight w:val="none"/>
                <w:lang w:val="en-US" w:eastAsia="zh-CN"/>
              </w:rPr>
              <w:t>研发楼上</w:t>
            </w:r>
            <w:r>
              <w:rPr>
                <w:color w:val="000000"/>
                <w:sz w:val="24"/>
                <w:highlight w:val="none"/>
              </w:rPr>
              <w:t>，不直接与地面土壤、地下水接触，同时针对各功能单元建设单位将采取较为完善的防渗措施，切断了污染源与地下水、土壤的联系通道</w:t>
            </w:r>
            <w:r>
              <w:rPr>
                <w:rFonts w:hint="eastAsia"/>
                <w:color w:val="000000"/>
                <w:sz w:val="24"/>
                <w:highlight w:val="none"/>
              </w:rPr>
              <w:t>，</w:t>
            </w:r>
            <w:r>
              <w:rPr>
                <w:color w:val="000000"/>
                <w:sz w:val="24"/>
                <w:highlight w:val="none"/>
              </w:rPr>
              <w:t>本次不对地下水、土壤环境进行监测。</w:t>
            </w:r>
          </w:p>
          <w:p w14:paraId="5844E3AE">
            <w:pPr>
              <w:spacing w:line="360" w:lineRule="auto"/>
              <w:ind w:firstLine="482" w:firstLineChars="200"/>
              <w:rPr>
                <w:rFonts w:hint="default"/>
                <w:b/>
                <w:bCs/>
                <w:color w:val="auto"/>
                <w:lang w:val="en-US" w:eastAsia="zh-CN"/>
              </w:rPr>
            </w:pPr>
            <w:r>
              <w:rPr>
                <w:rFonts w:hint="eastAsia"/>
                <w:b/>
                <w:bCs/>
                <w:color w:val="auto"/>
                <w:lang w:val="en-US" w:eastAsia="zh-CN"/>
              </w:rPr>
              <w:t>4、生态环境</w:t>
            </w:r>
          </w:p>
          <w:p w14:paraId="2FA541E2">
            <w:pPr>
              <w:adjustRightInd w:val="0"/>
              <w:snapToGrid w:val="0"/>
              <w:spacing w:line="360" w:lineRule="auto"/>
              <w:ind w:firstLine="480" w:firstLineChars="200"/>
              <w:rPr>
                <w:rFonts w:hint="default"/>
                <w:color w:val="auto"/>
                <w:lang w:val="en-US" w:eastAsia="zh-CN"/>
              </w:rPr>
            </w:pPr>
            <w:r>
              <w:rPr>
                <w:color w:val="000000"/>
                <w:sz w:val="24"/>
                <w:highlight w:val="none"/>
              </w:rPr>
              <w:t>本项目</w:t>
            </w:r>
            <w:r>
              <w:rPr>
                <w:rFonts w:hint="eastAsia"/>
                <w:color w:val="000000"/>
                <w:sz w:val="24"/>
                <w:highlight w:val="none"/>
                <w:lang w:val="en-US" w:eastAsia="zh-CN"/>
              </w:rPr>
              <w:t>建设地区</w:t>
            </w:r>
            <w:r>
              <w:rPr>
                <w:color w:val="000000"/>
                <w:sz w:val="24"/>
                <w:highlight w:val="none"/>
              </w:rPr>
              <w:t>属于</w:t>
            </w:r>
            <w:r>
              <w:rPr>
                <w:rFonts w:hint="eastAsia"/>
                <w:color w:val="000000"/>
                <w:sz w:val="24"/>
                <w:highlight w:val="none"/>
                <w:lang w:val="en-US" w:eastAsia="zh-CN"/>
              </w:rPr>
              <w:t>科研用地</w:t>
            </w:r>
            <w:r>
              <w:rPr>
                <w:color w:val="000000"/>
                <w:sz w:val="24"/>
                <w:highlight w:val="none"/>
              </w:rPr>
              <w:t>，且用地范围内不含有生态环境保护目标，故不进行生态现状调查。</w:t>
            </w:r>
          </w:p>
        </w:tc>
      </w:tr>
      <w:tr w14:paraId="444451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62" w:hRule="atLeast"/>
          <w:jc w:val="center"/>
        </w:trPr>
        <w:tc>
          <w:tcPr>
            <w:tcW w:w="574" w:type="pct"/>
            <w:noWrap w:val="0"/>
            <w:vAlign w:val="center"/>
          </w:tcPr>
          <w:p w14:paraId="682AFDD2">
            <w:pPr>
              <w:ind w:firstLine="0" w:firstLineChars="0"/>
              <w:jc w:val="center"/>
              <w:rPr>
                <w:color w:val="auto"/>
                <w:kern w:val="0"/>
              </w:rPr>
            </w:pPr>
            <w:r>
              <w:rPr>
                <w:color w:val="auto"/>
                <w:kern w:val="0"/>
              </w:rPr>
              <w:t>环境</w:t>
            </w:r>
          </w:p>
          <w:p w14:paraId="1431E4B1">
            <w:pPr>
              <w:ind w:firstLine="0" w:firstLineChars="0"/>
              <w:jc w:val="center"/>
              <w:rPr>
                <w:color w:val="auto"/>
                <w:kern w:val="0"/>
              </w:rPr>
            </w:pPr>
            <w:r>
              <w:rPr>
                <w:color w:val="auto"/>
                <w:kern w:val="0"/>
              </w:rPr>
              <w:t>保护</w:t>
            </w:r>
          </w:p>
          <w:p w14:paraId="0964FCEE">
            <w:pPr>
              <w:ind w:firstLine="0" w:firstLineChars="0"/>
              <w:jc w:val="center"/>
              <w:rPr>
                <w:color w:val="auto"/>
                <w:kern w:val="0"/>
              </w:rPr>
            </w:pPr>
            <w:r>
              <w:rPr>
                <w:color w:val="auto"/>
                <w:kern w:val="0"/>
              </w:rPr>
              <w:t>目标</w:t>
            </w:r>
          </w:p>
        </w:tc>
        <w:tc>
          <w:tcPr>
            <w:tcW w:w="4425" w:type="pct"/>
            <w:noWrap w:val="0"/>
            <w:vAlign w:val="top"/>
          </w:tcPr>
          <w:p w14:paraId="03B4AD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lang w:val="en-US" w:eastAsia="zh-CN"/>
              </w:rPr>
            </w:pPr>
            <w:r>
              <w:rPr>
                <w:rFonts w:hint="eastAsia" w:eastAsia="宋体" w:cs="宋体"/>
                <w:color w:val="000000"/>
                <w:kern w:val="0"/>
                <w:sz w:val="24"/>
                <w:highlight w:val="none"/>
                <w:lang w:val="en-US" w:eastAsia="zh-CN" w:bidi="ar"/>
              </w:rPr>
              <w:t>根据现场勘察，</w:t>
            </w:r>
            <w:r>
              <w:rPr>
                <w:rFonts w:hint="eastAsia" w:eastAsia="宋体" w:cs="宋体"/>
                <w:color w:val="000000"/>
                <w:kern w:val="0"/>
                <w:sz w:val="24"/>
                <w:highlight w:val="none"/>
                <w:lang w:eastAsia="zh-CN" w:bidi="ar"/>
              </w:rPr>
              <w:t>本项目环境保护目标主要涉及大气环境，</w:t>
            </w:r>
            <w:r>
              <w:rPr>
                <w:rFonts w:hint="eastAsia" w:eastAsia="宋体" w:cs="宋体"/>
                <w:color w:val="000000"/>
                <w:kern w:val="0"/>
                <w:sz w:val="24"/>
                <w:highlight w:val="none"/>
                <w:lang w:bidi="ar"/>
              </w:rPr>
              <w:t>50m范围内不存在声环境保护目标；500m范围内不存在地下水集中式饮用水水源、矿泉水、温泉等特殊地下水资源</w:t>
            </w:r>
            <w:r>
              <w:rPr>
                <w:rFonts w:hint="eastAsia" w:eastAsia="宋体" w:cs="宋体"/>
                <w:color w:val="000000"/>
                <w:kern w:val="0"/>
                <w:sz w:val="24"/>
                <w:highlight w:val="none"/>
                <w:lang w:eastAsia="zh-CN" w:bidi="ar"/>
              </w:rPr>
              <w:t>。结合工程建设规模，主要保护对象及目标见表</w:t>
            </w:r>
            <w:r>
              <w:rPr>
                <w:rFonts w:hint="eastAsia" w:eastAsia="宋体" w:cs="宋体"/>
                <w:color w:val="000000"/>
                <w:kern w:val="0"/>
                <w:sz w:val="24"/>
                <w:highlight w:val="none"/>
                <w:lang w:val="en-US" w:eastAsia="zh-CN" w:bidi="ar"/>
              </w:rPr>
              <w:t>3-</w:t>
            </w:r>
            <w:r>
              <w:rPr>
                <w:rFonts w:hint="eastAsia" w:cs="宋体"/>
                <w:color w:val="000000"/>
                <w:kern w:val="0"/>
                <w:sz w:val="24"/>
                <w:highlight w:val="none"/>
                <w:lang w:val="en-US" w:eastAsia="zh-CN" w:bidi="ar"/>
              </w:rPr>
              <w:t>2</w:t>
            </w:r>
            <w:r>
              <w:rPr>
                <w:rFonts w:hint="eastAsia" w:eastAsia="宋体" w:cs="宋体"/>
                <w:color w:val="000000"/>
                <w:kern w:val="0"/>
                <w:sz w:val="24"/>
                <w:highlight w:val="none"/>
                <w:lang w:val="en-US" w:eastAsia="zh-CN" w:bidi="ar"/>
              </w:rPr>
              <w:t>。</w:t>
            </w:r>
          </w:p>
          <w:p w14:paraId="24D552B5">
            <w:pPr>
              <w:pStyle w:val="2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4"/>
                <w:szCs w:val="24"/>
              </w:rPr>
            </w:pPr>
            <w:r>
              <w:rPr>
                <w:rFonts w:hint="eastAsia"/>
                <w:color w:val="auto"/>
                <w:sz w:val="24"/>
                <w:szCs w:val="24"/>
              </w:rPr>
              <w:t>表3-</w:t>
            </w:r>
            <w:r>
              <w:rPr>
                <w:rFonts w:hint="eastAsia"/>
                <w:color w:val="auto"/>
                <w:sz w:val="24"/>
                <w:szCs w:val="24"/>
                <w:lang w:val="en-US" w:eastAsia="zh-CN"/>
              </w:rPr>
              <w:t>2</w:t>
            </w:r>
            <w:r>
              <w:rPr>
                <w:rFonts w:hint="eastAsia"/>
                <w:color w:val="auto"/>
                <w:sz w:val="24"/>
                <w:szCs w:val="24"/>
              </w:rPr>
              <w:t xml:space="preserve">  环境保护目标</w:t>
            </w:r>
          </w:p>
          <w:tbl>
            <w:tblPr>
              <w:tblStyle w:val="1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146"/>
              <w:gridCol w:w="1065"/>
              <w:gridCol w:w="750"/>
              <w:gridCol w:w="1155"/>
              <w:gridCol w:w="797"/>
              <w:gridCol w:w="767"/>
              <w:gridCol w:w="995"/>
            </w:tblGrid>
            <w:tr w14:paraId="5CAF5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5" w:type="pct"/>
                  <w:vMerge w:val="restart"/>
                  <w:tcBorders>
                    <w:top w:val="single" w:color="auto" w:sz="4" w:space="0"/>
                    <w:left w:val="single" w:color="auto" w:sz="4" w:space="0"/>
                    <w:right w:val="single" w:color="auto" w:sz="4" w:space="0"/>
                  </w:tcBorders>
                  <w:noWrap w:val="0"/>
                  <w:vAlign w:val="center"/>
                </w:tcPr>
                <w:p w14:paraId="4CCBF1D3">
                  <w:pPr>
                    <w:spacing w:line="360" w:lineRule="atLeast"/>
                    <w:ind w:firstLine="0" w:firstLineChars="0"/>
                    <w:jc w:val="center"/>
                    <w:rPr>
                      <w:b/>
                      <w:bCs/>
                      <w:color w:val="auto"/>
                      <w:sz w:val="21"/>
                      <w:szCs w:val="21"/>
                    </w:rPr>
                  </w:pPr>
                  <w:r>
                    <w:rPr>
                      <w:b/>
                      <w:bCs/>
                      <w:color w:val="auto"/>
                      <w:sz w:val="21"/>
                      <w:szCs w:val="21"/>
                    </w:rPr>
                    <w:t>名称</w:t>
                  </w:r>
                </w:p>
              </w:tc>
              <w:tc>
                <w:tcPr>
                  <w:tcW w:w="1419" w:type="pct"/>
                  <w:gridSpan w:val="2"/>
                  <w:tcBorders>
                    <w:top w:val="single" w:color="auto" w:sz="4" w:space="0"/>
                    <w:left w:val="single" w:color="auto" w:sz="4" w:space="0"/>
                    <w:bottom w:val="single" w:color="auto" w:sz="4" w:space="0"/>
                    <w:right w:val="single" w:color="auto" w:sz="4" w:space="0"/>
                  </w:tcBorders>
                  <w:noWrap w:val="0"/>
                  <w:vAlign w:val="center"/>
                </w:tcPr>
                <w:p w14:paraId="0D1A177C">
                  <w:pPr>
                    <w:spacing w:line="360" w:lineRule="atLeast"/>
                    <w:ind w:firstLine="0" w:firstLineChars="0"/>
                    <w:jc w:val="center"/>
                    <w:rPr>
                      <w:b/>
                      <w:bCs/>
                      <w:color w:val="auto"/>
                      <w:sz w:val="21"/>
                      <w:szCs w:val="21"/>
                    </w:rPr>
                  </w:pPr>
                  <w:r>
                    <w:rPr>
                      <w:b/>
                      <w:bCs/>
                      <w:color w:val="auto"/>
                      <w:sz w:val="21"/>
                      <w:szCs w:val="21"/>
                    </w:rPr>
                    <w:t>坐标/（°）</w:t>
                  </w:r>
                </w:p>
              </w:tc>
              <w:tc>
                <w:tcPr>
                  <w:tcW w:w="481" w:type="pct"/>
                  <w:vMerge w:val="restart"/>
                  <w:tcBorders>
                    <w:top w:val="single" w:color="auto" w:sz="4" w:space="0"/>
                    <w:left w:val="single" w:color="auto" w:sz="4" w:space="0"/>
                    <w:right w:val="single" w:color="auto" w:sz="4" w:space="0"/>
                  </w:tcBorders>
                  <w:noWrap w:val="0"/>
                  <w:vAlign w:val="center"/>
                </w:tcPr>
                <w:p w14:paraId="385B2A68">
                  <w:pPr>
                    <w:spacing w:line="360" w:lineRule="atLeast"/>
                    <w:ind w:firstLine="0" w:firstLineChars="0"/>
                    <w:jc w:val="center"/>
                    <w:rPr>
                      <w:b/>
                      <w:bCs/>
                      <w:color w:val="auto"/>
                      <w:sz w:val="21"/>
                      <w:szCs w:val="21"/>
                    </w:rPr>
                  </w:pPr>
                  <w:r>
                    <w:rPr>
                      <w:b/>
                      <w:bCs/>
                      <w:color w:val="auto"/>
                      <w:sz w:val="21"/>
                      <w:szCs w:val="21"/>
                    </w:rPr>
                    <w:t>保护</w:t>
                  </w:r>
                </w:p>
                <w:p w14:paraId="1627E095">
                  <w:pPr>
                    <w:spacing w:line="360" w:lineRule="atLeast"/>
                    <w:ind w:firstLine="0" w:firstLineChars="0"/>
                    <w:jc w:val="center"/>
                    <w:rPr>
                      <w:b/>
                      <w:bCs/>
                      <w:color w:val="auto"/>
                      <w:sz w:val="21"/>
                      <w:szCs w:val="21"/>
                    </w:rPr>
                  </w:pPr>
                  <w:r>
                    <w:rPr>
                      <w:b/>
                      <w:bCs/>
                      <w:color w:val="auto"/>
                      <w:sz w:val="21"/>
                      <w:szCs w:val="21"/>
                    </w:rPr>
                    <w:t>对象</w:t>
                  </w:r>
                </w:p>
              </w:tc>
              <w:tc>
                <w:tcPr>
                  <w:tcW w:w="741" w:type="pct"/>
                  <w:vMerge w:val="restart"/>
                  <w:tcBorders>
                    <w:top w:val="single" w:color="auto" w:sz="4" w:space="0"/>
                    <w:left w:val="single" w:color="auto" w:sz="4" w:space="0"/>
                    <w:right w:val="single" w:color="auto" w:sz="4" w:space="0"/>
                  </w:tcBorders>
                  <w:noWrap w:val="0"/>
                  <w:vAlign w:val="center"/>
                </w:tcPr>
                <w:p w14:paraId="0ED5E484">
                  <w:pPr>
                    <w:spacing w:line="360" w:lineRule="atLeast"/>
                    <w:ind w:firstLine="0" w:firstLineChars="0"/>
                    <w:jc w:val="center"/>
                    <w:rPr>
                      <w:b/>
                      <w:bCs/>
                      <w:color w:val="auto"/>
                      <w:sz w:val="21"/>
                      <w:szCs w:val="21"/>
                    </w:rPr>
                  </w:pPr>
                  <w:r>
                    <w:rPr>
                      <w:b/>
                      <w:bCs/>
                      <w:color w:val="auto"/>
                      <w:sz w:val="21"/>
                      <w:szCs w:val="21"/>
                    </w:rPr>
                    <w:t>保护</w:t>
                  </w:r>
                </w:p>
                <w:p w14:paraId="77DC4511">
                  <w:pPr>
                    <w:spacing w:line="360" w:lineRule="atLeast"/>
                    <w:ind w:firstLine="0" w:firstLineChars="0"/>
                    <w:jc w:val="center"/>
                    <w:rPr>
                      <w:b/>
                      <w:bCs/>
                      <w:color w:val="auto"/>
                      <w:sz w:val="21"/>
                      <w:szCs w:val="21"/>
                    </w:rPr>
                  </w:pPr>
                  <w:r>
                    <w:rPr>
                      <w:b/>
                      <w:bCs/>
                      <w:color w:val="auto"/>
                      <w:sz w:val="21"/>
                      <w:szCs w:val="21"/>
                    </w:rPr>
                    <w:t>内容</w:t>
                  </w:r>
                </w:p>
              </w:tc>
              <w:tc>
                <w:tcPr>
                  <w:tcW w:w="511" w:type="pct"/>
                  <w:vMerge w:val="restart"/>
                  <w:tcBorders>
                    <w:top w:val="single" w:color="auto" w:sz="4" w:space="0"/>
                    <w:left w:val="single" w:color="auto" w:sz="4" w:space="0"/>
                    <w:right w:val="single" w:color="auto" w:sz="4" w:space="0"/>
                  </w:tcBorders>
                  <w:noWrap w:val="0"/>
                  <w:vAlign w:val="center"/>
                </w:tcPr>
                <w:p w14:paraId="6416AD08">
                  <w:pPr>
                    <w:spacing w:line="360" w:lineRule="atLeast"/>
                    <w:ind w:firstLine="0" w:firstLineChars="0"/>
                    <w:jc w:val="center"/>
                    <w:rPr>
                      <w:b/>
                      <w:bCs/>
                      <w:color w:val="auto"/>
                      <w:sz w:val="21"/>
                      <w:szCs w:val="21"/>
                    </w:rPr>
                  </w:pPr>
                  <w:r>
                    <w:rPr>
                      <w:b/>
                      <w:bCs/>
                      <w:color w:val="auto"/>
                      <w:sz w:val="21"/>
                      <w:szCs w:val="21"/>
                    </w:rPr>
                    <w:t>环境功能区</w:t>
                  </w:r>
                </w:p>
              </w:tc>
              <w:tc>
                <w:tcPr>
                  <w:tcW w:w="492" w:type="pct"/>
                  <w:vMerge w:val="restart"/>
                  <w:tcBorders>
                    <w:top w:val="single" w:color="auto" w:sz="4" w:space="0"/>
                    <w:left w:val="single" w:color="auto" w:sz="4" w:space="0"/>
                    <w:right w:val="single" w:color="auto" w:sz="4" w:space="0"/>
                  </w:tcBorders>
                  <w:noWrap w:val="0"/>
                  <w:vAlign w:val="center"/>
                </w:tcPr>
                <w:p w14:paraId="28CA4163">
                  <w:pPr>
                    <w:spacing w:line="360" w:lineRule="atLeast"/>
                    <w:ind w:firstLine="0" w:firstLineChars="0"/>
                    <w:jc w:val="center"/>
                    <w:rPr>
                      <w:b/>
                      <w:bCs/>
                      <w:color w:val="auto"/>
                      <w:sz w:val="21"/>
                      <w:szCs w:val="21"/>
                    </w:rPr>
                  </w:pPr>
                  <w:r>
                    <w:rPr>
                      <w:b/>
                      <w:bCs/>
                      <w:color w:val="auto"/>
                      <w:sz w:val="21"/>
                      <w:szCs w:val="21"/>
                    </w:rPr>
                    <w:t>相对厂址方位</w:t>
                  </w:r>
                </w:p>
              </w:tc>
              <w:tc>
                <w:tcPr>
                  <w:tcW w:w="638" w:type="pct"/>
                  <w:vMerge w:val="restart"/>
                  <w:tcBorders>
                    <w:top w:val="single" w:color="auto" w:sz="4" w:space="0"/>
                    <w:left w:val="single" w:color="auto" w:sz="4" w:space="0"/>
                    <w:right w:val="single" w:color="auto" w:sz="4" w:space="0"/>
                  </w:tcBorders>
                  <w:noWrap w:val="0"/>
                  <w:vAlign w:val="center"/>
                </w:tcPr>
                <w:p w14:paraId="04D67701">
                  <w:pPr>
                    <w:spacing w:line="360" w:lineRule="atLeast"/>
                    <w:ind w:firstLine="0" w:firstLineChars="0"/>
                    <w:jc w:val="center"/>
                    <w:rPr>
                      <w:b/>
                      <w:bCs/>
                      <w:color w:val="auto"/>
                      <w:sz w:val="21"/>
                      <w:szCs w:val="21"/>
                    </w:rPr>
                  </w:pPr>
                  <w:r>
                    <w:rPr>
                      <w:b/>
                      <w:bCs/>
                      <w:color w:val="auto"/>
                      <w:sz w:val="21"/>
                      <w:szCs w:val="21"/>
                    </w:rPr>
                    <w:t>相对厂界距离/m</w:t>
                  </w:r>
                </w:p>
              </w:tc>
            </w:tr>
            <w:tr w14:paraId="2669B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5" w:type="pct"/>
                  <w:vMerge w:val="continue"/>
                  <w:tcBorders>
                    <w:left w:val="single" w:color="auto" w:sz="4" w:space="0"/>
                    <w:bottom w:val="single" w:color="auto" w:sz="4" w:space="0"/>
                    <w:right w:val="single" w:color="auto" w:sz="4" w:space="0"/>
                  </w:tcBorders>
                  <w:noWrap w:val="0"/>
                  <w:vAlign w:val="center"/>
                </w:tcPr>
                <w:p w14:paraId="458C2BDB">
                  <w:pPr>
                    <w:spacing w:line="360" w:lineRule="atLeast"/>
                    <w:ind w:firstLine="0" w:firstLineChars="0"/>
                    <w:jc w:val="center"/>
                    <w:rPr>
                      <w:color w:val="auto"/>
                      <w:sz w:val="21"/>
                      <w:szCs w:val="21"/>
                    </w:rPr>
                  </w:pPr>
                </w:p>
              </w:tc>
              <w:tc>
                <w:tcPr>
                  <w:tcW w:w="735" w:type="pct"/>
                  <w:tcBorders>
                    <w:top w:val="single" w:color="auto" w:sz="4" w:space="0"/>
                    <w:left w:val="single" w:color="auto" w:sz="4" w:space="0"/>
                    <w:bottom w:val="single" w:color="auto" w:sz="4" w:space="0"/>
                    <w:right w:val="single" w:color="auto" w:sz="4" w:space="0"/>
                  </w:tcBorders>
                  <w:noWrap w:val="0"/>
                  <w:vAlign w:val="center"/>
                </w:tcPr>
                <w:p w14:paraId="49BCBD26">
                  <w:pPr>
                    <w:spacing w:line="360" w:lineRule="atLeast"/>
                    <w:ind w:firstLine="0" w:firstLineChars="0"/>
                    <w:jc w:val="center"/>
                    <w:rPr>
                      <w:b/>
                      <w:bCs/>
                      <w:color w:val="auto"/>
                      <w:sz w:val="21"/>
                      <w:szCs w:val="21"/>
                    </w:rPr>
                  </w:pPr>
                  <w:r>
                    <w:rPr>
                      <w:b/>
                      <w:bCs/>
                      <w:color w:val="auto"/>
                      <w:sz w:val="21"/>
                      <w:szCs w:val="21"/>
                    </w:rPr>
                    <w:t>X</w:t>
                  </w:r>
                  <w:r>
                    <w:rPr>
                      <w:b/>
                      <w:bCs/>
                      <w:color w:val="auto"/>
                      <w:sz w:val="21"/>
                      <w:szCs w:val="21"/>
                    </w:rPr>
                    <w:cr/>
                  </w:r>
                </w:p>
              </w:tc>
              <w:tc>
                <w:tcPr>
                  <w:tcW w:w="683" w:type="pct"/>
                  <w:tcBorders>
                    <w:left w:val="single" w:color="auto" w:sz="4" w:space="0"/>
                    <w:bottom w:val="single" w:color="auto" w:sz="4" w:space="0"/>
                    <w:right w:val="single" w:color="auto" w:sz="4" w:space="0"/>
                  </w:tcBorders>
                  <w:noWrap w:val="0"/>
                  <w:vAlign w:val="center"/>
                </w:tcPr>
                <w:p w14:paraId="4055BD23">
                  <w:pPr>
                    <w:spacing w:line="360" w:lineRule="atLeast"/>
                    <w:ind w:firstLine="0" w:firstLineChars="0"/>
                    <w:jc w:val="center"/>
                    <w:rPr>
                      <w:b/>
                      <w:bCs/>
                      <w:color w:val="auto"/>
                      <w:sz w:val="21"/>
                      <w:szCs w:val="21"/>
                    </w:rPr>
                  </w:pPr>
                  <w:r>
                    <w:rPr>
                      <w:b/>
                      <w:bCs/>
                      <w:color w:val="auto"/>
                      <w:sz w:val="21"/>
                      <w:szCs w:val="21"/>
                    </w:rPr>
                    <w:t>Y</w:t>
                  </w:r>
                </w:p>
              </w:tc>
              <w:tc>
                <w:tcPr>
                  <w:tcW w:w="481" w:type="pct"/>
                  <w:vMerge w:val="continue"/>
                  <w:tcBorders>
                    <w:left w:val="single" w:color="auto" w:sz="4" w:space="0"/>
                    <w:bottom w:val="single" w:color="auto" w:sz="4" w:space="0"/>
                    <w:right w:val="single" w:color="auto" w:sz="4" w:space="0"/>
                  </w:tcBorders>
                  <w:noWrap w:val="0"/>
                  <w:vAlign w:val="center"/>
                </w:tcPr>
                <w:p w14:paraId="1C7F5439">
                  <w:pPr>
                    <w:adjustRightInd/>
                    <w:snapToGrid/>
                    <w:spacing w:beforeLines="0" w:afterLines="0" w:line="360" w:lineRule="atLeast"/>
                    <w:ind w:firstLine="0" w:firstLineChars="0"/>
                    <w:jc w:val="center"/>
                    <w:rPr>
                      <w:rFonts w:ascii="Times New Roman"/>
                      <w:color w:val="auto"/>
                      <w:kern w:val="2"/>
                      <w:szCs w:val="21"/>
                    </w:rPr>
                  </w:pPr>
                </w:p>
              </w:tc>
              <w:tc>
                <w:tcPr>
                  <w:tcW w:w="741" w:type="pct"/>
                  <w:vMerge w:val="continue"/>
                  <w:tcBorders>
                    <w:left w:val="single" w:color="auto" w:sz="4" w:space="0"/>
                    <w:bottom w:val="single" w:color="auto" w:sz="4" w:space="0"/>
                    <w:right w:val="single" w:color="auto" w:sz="4" w:space="0"/>
                  </w:tcBorders>
                  <w:noWrap w:val="0"/>
                  <w:vAlign w:val="center"/>
                </w:tcPr>
                <w:p w14:paraId="03080FD1">
                  <w:pPr>
                    <w:adjustRightInd/>
                    <w:snapToGrid/>
                    <w:spacing w:beforeLines="0" w:afterLines="0" w:line="360" w:lineRule="atLeast"/>
                    <w:ind w:firstLine="0" w:firstLineChars="0"/>
                    <w:jc w:val="center"/>
                    <w:rPr>
                      <w:rFonts w:ascii="Times New Roman"/>
                      <w:color w:val="auto"/>
                      <w:kern w:val="2"/>
                      <w:szCs w:val="21"/>
                    </w:rPr>
                  </w:pPr>
                </w:p>
              </w:tc>
              <w:tc>
                <w:tcPr>
                  <w:tcW w:w="511" w:type="pct"/>
                  <w:vMerge w:val="continue"/>
                  <w:tcBorders>
                    <w:left w:val="single" w:color="auto" w:sz="4" w:space="0"/>
                    <w:bottom w:val="single" w:color="auto" w:sz="4" w:space="0"/>
                    <w:right w:val="single" w:color="auto" w:sz="4" w:space="0"/>
                  </w:tcBorders>
                  <w:noWrap w:val="0"/>
                  <w:vAlign w:val="center"/>
                </w:tcPr>
                <w:p w14:paraId="56C4CC15">
                  <w:pPr>
                    <w:adjustRightInd/>
                    <w:snapToGrid/>
                    <w:spacing w:beforeLines="0" w:afterLines="0" w:line="360" w:lineRule="atLeast"/>
                    <w:ind w:firstLine="0" w:firstLineChars="0"/>
                    <w:jc w:val="center"/>
                    <w:rPr>
                      <w:rFonts w:ascii="Times New Roman"/>
                      <w:color w:val="auto"/>
                      <w:kern w:val="2"/>
                      <w:szCs w:val="21"/>
                    </w:rPr>
                  </w:pPr>
                </w:p>
              </w:tc>
              <w:tc>
                <w:tcPr>
                  <w:tcW w:w="492" w:type="pct"/>
                  <w:vMerge w:val="continue"/>
                  <w:tcBorders>
                    <w:left w:val="single" w:color="auto" w:sz="4" w:space="0"/>
                    <w:bottom w:val="single" w:color="auto" w:sz="4" w:space="0"/>
                    <w:right w:val="single" w:color="auto" w:sz="4" w:space="0"/>
                  </w:tcBorders>
                  <w:noWrap w:val="0"/>
                  <w:vAlign w:val="center"/>
                </w:tcPr>
                <w:p w14:paraId="2C938C4E">
                  <w:pPr>
                    <w:adjustRightInd/>
                    <w:snapToGrid/>
                    <w:spacing w:beforeLines="0" w:afterLines="0" w:line="360" w:lineRule="atLeast"/>
                    <w:ind w:firstLine="0" w:firstLineChars="0"/>
                    <w:jc w:val="center"/>
                    <w:rPr>
                      <w:rFonts w:ascii="Times New Roman"/>
                      <w:color w:val="auto"/>
                      <w:kern w:val="2"/>
                      <w:szCs w:val="21"/>
                    </w:rPr>
                  </w:pPr>
                </w:p>
              </w:tc>
              <w:tc>
                <w:tcPr>
                  <w:tcW w:w="638" w:type="pct"/>
                  <w:vMerge w:val="continue"/>
                  <w:tcBorders>
                    <w:left w:val="single" w:color="auto" w:sz="4" w:space="0"/>
                    <w:bottom w:val="single" w:color="auto" w:sz="4" w:space="0"/>
                    <w:right w:val="single" w:color="auto" w:sz="4" w:space="0"/>
                  </w:tcBorders>
                  <w:noWrap w:val="0"/>
                  <w:vAlign w:val="center"/>
                </w:tcPr>
                <w:p w14:paraId="7FD6B9FF">
                  <w:pPr>
                    <w:adjustRightInd/>
                    <w:snapToGrid/>
                    <w:spacing w:beforeLines="0" w:afterLines="0" w:line="360" w:lineRule="atLeast"/>
                    <w:ind w:firstLine="0" w:firstLineChars="0"/>
                    <w:jc w:val="center"/>
                    <w:rPr>
                      <w:rFonts w:ascii="Times New Roman"/>
                      <w:color w:val="auto"/>
                      <w:kern w:val="2"/>
                      <w:szCs w:val="21"/>
                    </w:rPr>
                  </w:pPr>
                </w:p>
              </w:tc>
            </w:tr>
            <w:tr w14:paraId="06C6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20" w:hRule="atLeast"/>
                <w:jc w:val="center"/>
              </w:trPr>
              <w:tc>
                <w:tcPr>
                  <w:tcW w:w="715" w:type="pct"/>
                  <w:tcBorders>
                    <w:top w:val="single" w:color="auto" w:sz="4" w:space="0"/>
                    <w:left w:val="single" w:color="auto" w:sz="4" w:space="0"/>
                    <w:right w:val="single" w:color="auto" w:sz="4" w:space="0"/>
                  </w:tcBorders>
                  <w:noWrap w:val="0"/>
                  <w:vAlign w:val="center"/>
                </w:tcPr>
                <w:p w14:paraId="78ADDA86">
                  <w:pPr>
                    <w:spacing w:line="360" w:lineRule="atLeas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沣东</w:t>
                  </w:r>
                  <w:r>
                    <w:rPr>
                      <w:color w:val="000000"/>
                      <w:highlight w:val="none"/>
                    </w:rPr>
                    <w:t>·</w:t>
                  </w:r>
                  <w:r>
                    <w:rPr>
                      <w:rFonts w:hint="eastAsia" w:cs="Times New Roman"/>
                      <w:color w:val="auto"/>
                      <w:sz w:val="21"/>
                      <w:szCs w:val="21"/>
                      <w:lang w:val="en-US" w:eastAsia="zh-CN"/>
                    </w:rPr>
                    <w:t>旺城</w:t>
                  </w:r>
                </w:p>
              </w:tc>
              <w:tc>
                <w:tcPr>
                  <w:tcW w:w="735" w:type="pct"/>
                  <w:tcBorders>
                    <w:top w:val="single" w:color="auto" w:sz="4" w:space="0"/>
                    <w:left w:val="single" w:color="auto" w:sz="4" w:space="0"/>
                    <w:right w:val="single" w:color="auto" w:sz="4" w:space="0"/>
                  </w:tcBorders>
                  <w:noWrap w:val="0"/>
                  <w:vAlign w:val="center"/>
                </w:tcPr>
                <w:p w14:paraId="0B568187">
                  <w:pPr>
                    <w:spacing w:line="360" w:lineRule="atLeas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108.98295</w:t>
                  </w:r>
                </w:p>
              </w:tc>
              <w:tc>
                <w:tcPr>
                  <w:tcW w:w="683" w:type="pct"/>
                  <w:tcBorders>
                    <w:top w:val="single" w:color="auto" w:sz="4" w:space="0"/>
                    <w:left w:val="single" w:color="auto" w:sz="4" w:space="0"/>
                    <w:right w:val="single" w:color="auto" w:sz="4" w:space="0"/>
                  </w:tcBorders>
                  <w:noWrap w:val="0"/>
                  <w:vAlign w:val="center"/>
                </w:tcPr>
                <w:p w14:paraId="2CCFF205">
                  <w:pPr>
                    <w:spacing w:line="360" w:lineRule="atLeas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34.48947</w:t>
                  </w:r>
                </w:p>
              </w:tc>
              <w:tc>
                <w:tcPr>
                  <w:tcW w:w="481" w:type="pct"/>
                  <w:tcBorders>
                    <w:top w:val="single" w:color="auto" w:sz="4" w:space="0"/>
                    <w:left w:val="single" w:color="auto" w:sz="4" w:space="0"/>
                    <w:right w:val="single" w:color="auto" w:sz="4" w:space="0"/>
                  </w:tcBorders>
                  <w:noWrap w:val="0"/>
                  <w:vAlign w:val="center"/>
                </w:tcPr>
                <w:p w14:paraId="36C8D199">
                  <w:pPr>
                    <w:spacing w:line="360" w:lineRule="atLeast"/>
                    <w:ind w:firstLine="0" w:firstLineChars="0"/>
                    <w:jc w:val="center"/>
                    <w:rPr>
                      <w:color w:val="auto"/>
                      <w:sz w:val="21"/>
                      <w:szCs w:val="21"/>
                    </w:rPr>
                  </w:pPr>
                  <w:r>
                    <w:rPr>
                      <w:color w:val="auto"/>
                      <w:sz w:val="21"/>
                      <w:szCs w:val="21"/>
                    </w:rPr>
                    <w:t>居民</w:t>
                  </w:r>
                </w:p>
              </w:tc>
              <w:tc>
                <w:tcPr>
                  <w:tcW w:w="741" w:type="pct"/>
                  <w:tcBorders>
                    <w:top w:val="single" w:color="auto" w:sz="4" w:space="0"/>
                    <w:left w:val="single" w:color="auto" w:sz="4" w:space="0"/>
                    <w:right w:val="single" w:color="auto" w:sz="4" w:space="0"/>
                  </w:tcBorders>
                  <w:noWrap w:val="0"/>
                  <w:vAlign w:val="center"/>
                </w:tcPr>
                <w:p w14:paraId="5B8346E7">
                  <w:pPr>
                    <w:spacing w:line="360" w:lineRule="atLeast"/>
                    <w:ind w:firstLine="0" w:firstLineChars="0"/>
                    <w:jc w:val="center"/>
                    <w:rPr>
                      <w:rFonts w:hint="default" w:eastAsia="宋体"/>
                      <w:color w:val="auto"/>
                      <w:sz w:val="21"/>
                      <w:szCs w:val="21"/>
                      <w:lang w:val="en-US" w:eastAsia="zh-CN"/>
                    </w:rPr>
                  </w:pPr>
                  <w:r>
                    <w:rPr>
                      <w:rFonts w:hint="eastAsia"/>
                      <w:color w:val="auto"/>
                      <w:sz w:val="21"/>
                      <w:szCs w:val="21"/>
                      <w:lang w:val="en-US" w:eastAsia="zh-CN"/>
                    </w:rPr>
                    <w:t>约1000人</w:t>
                  </w:r>
                </w:p>
              </w:tc>
              <w:tc>
                <w:tcPr>
                  <w:tcW w:w="511" w:type="pct"/>
                  <w:tcBorders>
                    <w:top w:val="single" w:color="auto" w:sz="4" w:space="0"/>
                    <w:left w:val="single" w:color="auto" w:sz="4" w:space="0"/>
                    <w:right w:val="single" w:color="auto" w:sz="4" w:space="0"/>
                  </w:tcBorders>
                  <w:noWrap w:val="0"/>
                  <w:vAlign w:val="center"/>
                </w:tcPr>
                <w:p w14:paraId="0A7D3F8D">
                  <w:pPr>
                    <w:spacing w:line="360" w:lineRule="atLeast"/>
                    <w:ind w:firstLine="0" w:firstLineChars="0"/>
                    <w:jc w:val="center"/>
                    <w:rPr>
                      <w:color w:val="auto"/>
                      <w:sz w:val="21"/>
                      <w:szCs w:val="21"/>
                    </w:rPr>
                  </w:pPr>
                  <w:r>
                    <w:rPr>
                      <w:color w:val="auto"/>
                      <w:sz w:val="21"/>
                      <w:szCs w:val="21"/>
                    </w:rPr>
                    <w:t>环境空气二类区</w:t>
                  </w:r>
                </w:p>
              </w:tc>
              <w:tc>
                <w:tcPr>
                  <w:tcW w:w="492" w:type="pct"/>
                  <w:tcBorders>
                    <w:top w:val="single" w:color="auto" w:sz="4" w:space="0"/>
                    <w:left w:val="single" w:color="auto" w:sz="4" w:space="0"/>
                    <w:right w:val="single" w:color="auto" w:sz="4" w:space="0"/>
                  </w:tcBorders>
                  <w:noWrap w:val="0"/>
                  <w:vAlign w:val="center"/>
                </w:tcPr>
                <w:p w14:paraId="0F373ECD">
                  <w:pPr>
                    <w:spacing w:line="360" w:lineRule="atLeas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北</w:t>
                  </w:r>
                </w:p>
              </w:tc>
              <w:tc>
                <w:tcPr>
                  <w:tcW w:w="638" w:type="pct"/>
                  <w:tcBorders>
                    <w:top w:val="single" w:color="auto" w:sz="4" w:space="0"/>
                    <w:left w:val="single" w:color="auto" w:sz="4" w:space="0"/>
                    <w:bottom w:val="single" w:color="auto" w:sz="4" w:space="0"/>
                    <w:right w:val="single" w:color="auto" w:sz="4" w:space="0"/>
                  </w:tcBorders>
                  <w:noWrap w:val="0"/>
                  <w:vAlign w:val="center"/>
                </w:tcPr>
                <w:p w14:paraId="2A74869B">
                  <w:pPr>
                    <w:spacing w:line="360" w:lineRule="atLeast"/>
                    <w:ind w:firstLine="0" w:firstLineChars="0"/>
                    <w:jc w:val="center"/>
                    <w:rPr>
                      <w:rFonts w:hint="default" w:ascii="Times New Roman" w:hAnsi="Times New Roman" w:eastAsia="宋体" w:cs="Times New Roman"/>
                      <w:color w:val="auto"/>
                      <w:sz w:val="21"/>
                      <w:szCs w:val="21"/>
                      <w:lang w:val="en-US"/>
                    </w:rPr>
                  </w:pPr>
                  <w:r>
                    <w:rPr>
                      <w:rFonts w:hint="eastAsia" w:cs="Times New Roman"/>
                      <w:color w:val="auto"/>
                      <w:sz w:val="21"/>
                      <w:szCs w:val="21"/>
                      <w:lang w:val="en-US" w:eastAsia="zh-CN"/>
                    </w:rPr>
                    <w:t>420</w:t>
                  </w:r>
                </w:p>
              </w:tc>
            </w:tr>
          </w:tbl>
          <w:p w14:paraId="77FCFFDE">
            <w:pPr>
              <w:ind w:left="0" w:leftChars="0" w:firstLine="0" w:firstLineChars="0"/>
              <w:rPr>
                <w:color w:val="auto"/>
                <w:kern w:val="0"/>
              </w:rPr>
            </w:pPr>
          </w:p>
        </w:tc>
      </w:tr>
      <w:tr w14:paraId="19F778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4" w:type="pct"/>
            <w:noWrap w:val="0"/>
            <w:tcMar>
              <w:left w:w="28" w:type="dxa"/>
              <w:right w:w="28" w:type="dxa"/>
            </w:tcMar>
            <w:vAlign w:val="center"/>
          </w:tcPr>
          <w:p w14:paraId="5E30987D">
            <w:pPr>
              <w:ind w:firstLine="0" w:firstLineChars="0"/>
              <w:jc w:val="center"/>
              <w:rPr>
                <w:color w:val="auto"/>
                <w:kern w:val="0"/>
              </w:rPr>
            </w:pPr>
            <w:r>
              <w:rPr>
                <w:color w:val="auto"/>
                <w:kern w:val="0"/>
              </w:rPr>
              <w:t>污染</w:t>
            </w:r>
          </w:p>
          <w:p w14:paraId="138295DD">
            <w:pPr>
              <w:ind w:firstLine="0" w:firstLineChars="0"/>
              <w:jc w:val="center"/>
              <w:rPr>
                <w:color w:val="auto"/>
                <w:kern w:val="0"/>
              </w:rPr>
            </w:pPr>
            <w:r>
              <w:rPr>
                <w:color w:val="auto"/>
                <w:kern w:val="0"/>
              </w:rPr>
              <w:t>物排</w:t>
            </w:r>
          </w:p>
          <w:p w14:paraId="2FB0B6A2">
            <w:pPr>
              <w:ind w:firstLine="0" w:firstLineChars="0"/>
              <w:jc w:val="center"/>
              <w:rPr>
                <w:color w:val="auto"/>
                <w:kern w:val="0"/>
              </w:rPr>
            </w:pPr>
            <w:r>
              <w:rPr>
                <w:color w:val="auto"/>
                <w:kern w:val="0"/>
              </w:rPr>
              <w:t>放控</w:t>
            </w:r>
          </w:p>
          <w:p w14:paraId="730CC39F">
            <w:pPr>
              <w:ind w:firstLine="0" w:firstLineChars="0"/>
              <w:jc w:val="center"/>
              <w:rPr>
                <w:color w:val="auto"/>
                <w:kern w:val="0"/>
              </w:rPr>
            </w:pPr>
            <w:r>
              <w:rPr>
                <w:color w:val="auto"/>
                <w:kern w:val="0"/>
              </w:rPr>
              <w:t>制标</w:t>
            </w:r>
          </w:p>
          <w:p w14:paraId="3FD34155">
            <w:pPr>
              <w:ind w:firstLine="0" w:firstLineChars="0"/>
              <w:jc w:val="center"/>
              <w:rPr>
                <w:color w:val="auto"/>
                <w:kern w:val="0"/>
              </w:rPr>
            </w:pPr>
            <w:r>
              <w:rPr>
                <w:color w:val="auto"/>
                <w:kern w:val="0"/>
              </w:rPr>
              <w:t>准</w:t>
            </w:r>
          </w:p>
        </w:tc>
        <w:tc>
          <w:tcPr>
            <w:tcW w:w="4425" w:type="pct"/>
            <w:noWrap w:val="0"/>
            <w:vAlign w:val="center"/>
          </w:tcPr>
          <w:p w14:paraId="7F2B9F53">
            <w:pPr>
              <w:ind w:firstLine="482"/>
              <w:rPr>
                <w:b/>
                <w:bCs/>
                <w:color w:val="auto"/>
                <w:highlight w:val="none"/>
              </w:rPr>
            </w:pPr>
            <w:r>
              <w:rPr>
                <w:b/>
                <w:bCs/>
                <w:color w:val="auto"/>
                <w:highlight w:val="none"/>
              </w:rPr>
              <w:t>1、废气</w:t>
            </w:r>
          </w:p>
          <w:p w14:paraId="08ABC0E4">
            <w:pPr>
              <w:ind w:firstLine="480"/>
              <w:rPr>
                <w:color w:val="auto"/>
              </w:rPr>
            </w:pPr>
            <w:r>
              <w:rPr>
                <w:rFonts w:hint="eastAsia"/>
                <w:bCs/>
                <w:color w:val="auto"/>
                <w:sz w:val="24"/>
                <w:highlight w:val="none"/>
              </w:rPr>
              <w:t>施工期扬尘执行陕西省地方标准《施工场界扬尘排放限值》（DB61/1078-2017）中相关标准限值；</w:t>
            </w:r>
            <w:r>
              <w:rPr>
                <w:rFonts w:hint="default" w:ascii="Times New Roman" w:hAnsi="Times New Roman" w:cs="Times New Roman"/>
                <w:bCs/>
                <w:color w:val="auto"/>
                <w:sz w:val="24"/>
                <w:highlight w:val="none"/>
                <w:lang w:val="en-US" w:eastAsia="zh-CN"/>
              </w:rPr>
              <w:t>项目运营期颗粒物排放执行《大气污染物综合排放标准》（GB16297-1996）表2中</w:t>
            </w:r>
            <w:r>
              <w:rPr>
                <w:rFonts w:hint="eastAsia" w:ascii="Times New Roman" w:hAnsi="Times New Roman" w:cs="Times New Roman"/>
                <w:bCs/>
                <w:color w:val="auto"/>
                <w:sz w:val="24"/>
                <w:highlight w:val="none"/>
                <w:lang w:val="en-US" w:eastAsia="zh-CN"/>
              </w:rPr>
              <w:t>相关</w:t>
            </w:r>
            <w:r>
              <w:rPr>
                <w:rFonts w:hint="default" w:ascii="Times New Roman" w:hAnsi="Times New Roman" w:cs="Times New Roman"/>
                <w:bCs/>
                <w:color w:val="auto"/>
                <w:sz w:val="24"/>
                <w:highlight w:val="none"/>
                <w:lang w:val="en-US" w:eastAsia="zh-CN"/>
              </w:rPr>
              <w:t>要求；非甲烷总烃无组织排放监控点浓度执</w:t>
            </w:r>
            <w:r>
              <w:rPr>
                <w:rFonts w:hint="default" w:ascii="Times New Roman" w:hAnsi="Times New Roman" w:eastAsia="宋体" w:cs="Times New Roman"/>
                <w:bCs/>
                <w:color w:val="auto"/>
                <w:sz w:val="24"/>
                <w:highlight w:val="none"/>
                <w:lang w:val="en-US" w:eastAsia="zh-CN"/>
              </w:rPr>
              <w:t>行</w:t>
            </w:r>
            <w:r>
              <w:rPr>
                <w:rFonts w:hint="eastAsia" w:ascii="Times New Roman" w:hAnsi="Times New Roman" w:eastAsia="宋体" w:cs="Times New Roman"/>
                <w:bCs/>
                <w:color w:val="auto"/>
                <w:sz w:val="24"/>
                <w:highlight w:val="none"/>
                <w:lang w:val="en-US" w:eastAsia="zh-CN"/>
              </w:rPr>
              <w:t>《挥发性有机物无组织排放控制标准》（GB37822-2019）</w:t>
            </w:r>
            <w:r>
              <w:rPr>
                <w:rFonts w:hint="default" w:ascii="Times New Roman" w:hAnsi="Times New Roman" w:cs="Times New Roman"/>
                <w:bCs/>
                <w:color w:val="auto"/>
                <w:sz w:val="24"/>
                <w:highlight w:val="none"/>
                <w:lang w:val="en-US" w:eastAsia="zh-CN"/>
              </w:rPr>
              <w:t>表A.1</w:t>
            </w:r>
            <w:r>
              <w:rPr>
                <w:rFonts w:hint="eastAsia" w:ascii="Times New Roman" w:hAnsi="Times New Roman" w:eastAsia="宋体" w:cs="Times New Roman"/>
                <w:bCs/>
                <w:color w:val="auto"/>
                <w:sz w:val="24"/>
                <w:highlight w:val="none"/>
                <w:lang w:val="en-US" w:eastAsia="zh-CN"/>
              </w:rPr>
              <w:t>相关</w:t>
            </w:r>
            <w:r>
              <w:rPr>
                <w:rFonts w:hint="default" w:ascii="Times New Roman" w:hAnsi="Times New Roman" w:eastAsia="宋体" w:cs="Times New Roman"/>
                <w:bCs/>
                <w:color w:val="auto"/>
                <w:sz w:val="24"/>
                <w:highlight w:val="none"/>
                <w:lang w:val="en-US" w:eastAsia="zh-CN"/>
              </w:rPr>
              <w:t>标准要求</w:t>
            </w:r>
            <w:r>
              <w:rPr>
                <w:rFonts w:hint="eastAsia" w:cs="Times New Roman"/>
                <w:bCs/>
                <w:color w:val="auto"/>
                <w:sz w:val="24"/>
                <w:highlight w:val="none"/>
                <w:lang w:val="en-US" w:eastAsia="zh-CN"/>
              </w:rPr>
              <w:t>；</w:t>
            </w:r>
            <w:r>
              <w:rPr>
                <w:rFonts w:hint="eastAsia"/>
                <w:bCs/>
                <w:color w:val="auto"/>
                <w:highlight w:val="none"/>
                <w:lang w:eastAsia="zh-CN"/>
              </w:rPr>
              <w:t>酸性废气</w:t>
            </w:r>
            <w:r>
              <w:rPr>
                <w:color w:val="auto"/>
                <w:highlight w:val="none"/>
              </w:rPr>
              <w:t>执行《大气污染物综合排放标准》（GB16297-1996）</w:t>
            </w:r>
            <w:r>
              <w:rPr>
                <w:rFonts w:hint="eastAsia"/>
                <w:color w:val="auto"/>
                <w:highlight w:val="none"/>
                <w:lang w:val="en-US" w:eastAsia="zh-CN"/>
              </w:rPr>
              <w:t>表2中相关限值要求</w:t>
            </w:r>
            <w:r>
              <w:rPr>
                <w:color w:val="auto"/>
                <w:highlight w:val="none"/>
              </w:rPr>
              <w:t>。</w:t>
            </w:r>
            <w:r>
              <w:rPr>
                <w:rFonts w:hint="eastAsia"/>
                <w:bCs/>
                <w:color w:val="auto"/>
                <w:sz w:val="24"/>
                <w:highlight w:val="none"/>
                <w:lang w:val="en-US" w:eastAsia="zh-CN"/>
              </w:rPr>
              <w:t>本项目餐厅供应2400人用餐，共两层，基准灶台数大于6个，属于大型规模，</w:t>
            </w:r>
            <w:r>
              <w:rPr>
                <w:rFonts w:hint="eastAsia"/>
                <w:bCs/>
                <w:color w:val="auto"/>
                <w:sz w:val="24"/>
                <w:highlight w:val="none"/>
                <w:lang w:eastAsia="zh-CN"/>
              </w:rPr>
              <w:t>餐厅</w:t>
            </w:r>
            <w:r>
              <w:rPr>
                <w:rFonts w:hint="eastAsia"/>
                <w:bCs/>
                <w:color w:val="auto"/>
                <w:sz w:val="24"/>
                <w:highlight w:val="none"/>
              </w:rPr>
              <w:t>油烟执行《饮食业油烟排放标准（试行）》（GB18483-2001）相关限值</w:t>
            </w:r>
            <w:r>
              <w:rPr>
                <w:color w:val="auto"/>
                <w:sz w:val="24"/>
                <w:highlight w:val="none"/>
              </w:rPr>
              <w:t>。</w:t>
            </w:r>
          </w:p>
          <w:p w14:paraId="6F2129E5">
            <w:pPr>
              <w:pStyle w:val="24"/>
              <w:bidi w:val="0"/>
              <w:rPr>
                <w:rFonts w:hint="eastAsia"/>
                <w:color w:val="auto"/>
                <w:sz w:val="24"/>
                <w:szCs w:val="24"/>
                <w:highlight w:val="none"/>
              </w:rPr>
            </w:pPr>
            <w:r>
              <w:rPr>
                <w:rFonts w:hint="eastAsia"/>
                <w:color w:val="auto"/>
                <w:sz w:val="24"/>
                <w:szCs w:val="24"/>
                <w:highlight w:val="none"/>
              </w:rPr>
              <w:t>表3-</w:t>
            </w:r>
            <w:r>
              <w:rPr>
                <w:rFonts w:hint="eastAsia"/>
                <w:color w:val="auto"/>
                <w:sz w:val="24"/>
                <w:szCs w:val="24"/>
                <w:highlight w:val="none"/>
                <w:lang w:val="en-US" w:eastAsia="zh-CN"/>
              </w:rPr>
              <w:t>3</w:t>
            </w:r>
            <w:r>
              <w:rPr>
                <w:rFonts w:hint="eastAsia"/>
                <w:color w:val="auto"/>
                <w:sz w:val="24"/>
                <w:szCs w:val="24"/>
                <w:highlight w:val="none"/>
              </w:rPr>
              <w:t xml:space="preserve">  废气污染物排放标准</w:t>
            </w:r>
          </w:p>
          <w:tbl>
            <w:tblPr>
              <w:tblStyle w:val="16"/>
              <w:tblW w:w="4999"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191"/>
              <w:gridCol w:w="1592"/>
              <w:gridCol w:w="3004"/>
            </w:tblGrid>
            <w:tr w14:paraId="259CEF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12" w:hRule="atLeast"/>
                <w:jc w:val="center"/>
              </w:trPr>
              <w:tc>
                <w:tcPr>
                  <w:tcW w:w="2048" w:type="pct"/>
                  <w:vMerge w:val="restart"/>
                  <w:noWrap w:val="0"/>
                  <w:vAlign w:val="center"/>
                </w:tcPr>
                <w:p w14:paraId="0E758A2F">
                  <w:pPr>
                    <w:spacing w:line="360" w:lineRule="atLeast"/>
                    <w:ind w:firstLine="0" w:firstLineChars="0"/>
                    <w:jc w:val="center"/>
                    <w:rPr>
                      <w:b/>
                      <w:bCs/>
                      <w:color w:val="auto"/>
                      <w:sz w:val="21"/>
                      <w:szCs w:val="21"/>
                      <w:highlight w:val="none"/>
                    </w:rPr>
                  </w:pPr>
                  <w:r>
                    <w:rPr>
                      <w:b/>
                      <w:bCs/>
                      <w:color w:val="auto"/>
                      <w:sz w:val="21"/>
                      <w:szCs w:val="21"/>
                      <w:highlight w:val="none"/>
                    </w:rPr>
                    <w:t>标准</w:t>
                  </w:r>
                </w:p>
              </w:tc>
              <w:tc>
                <w:tcPr>
                  <w:tcW w:w="1022" w:type="pct"/>
                  <w:vMerge w:val="restart"/>
                  <w:noWrap w:val="0"/>
                  <w:vAlign w:val="center"/>
                </w:tcPr>
                <w:p w14:paraId="798E8B71">
                  <w:pPr>
                    <w:spacing w:line="360" w:lineRule="atLeast"/>
                    <w:ind w:firstLine="0" w:firstLineChars="0"/>
                    <w:jc w:val="center"/>
                    <w:rPr>
                      <w:b/>
                      <w:bCs/>
                      <w:color w:val="auto"/>
                      <w:sz w:val="21"/>
                      <w:szCs w:val="21"/>
                      <w:highlight w:val="none"/>
                    </w:rPr>
                  </w:pPr>
                  <w:r>
                    <w:rPr>
                      <w:b/>
                      <w:bCs/>
                      <w:color w:val="auto"/>
                      <w:sz w:val="21"/>
                      <w:szCs w:val="21"/>
                      <w:highlight w:val="none"/>
                    </w:rPr>
                    <w:t>污染物</w:t>
                  </w:r>
                </w:p>
              </w:tc>
              <w:tc>
                <w:tcPr>
                  <w:tcW w:w="1928" w:type="pct"/>
                  <w:vMerge w:val="restart"/>
                  <w:noWrap w:val="0"/>
                  <w:vAlign w:val="center"/>
                </w:tcPr>
                <w:p w14:paraId="7E35BA9B">
                  <w:pPr>
                    <w:spacing w:line="360" w:lineRule="atLeast"/>
                    <w:ind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无组织排放浓度最高点浓度限值(mg/Nm</w:t>
                  </w:r>
                  <w:r>
                    <w:rPr>
                      <w:rFonts w:ascii="Times New Roman" w:hAnsi="Times New Roman" w:cs="Times New Roman"/>
                      <w:b/>
                      <w:bCs/>
                      <w:color w:val="auto"/>
                      <w:sz w:val="21"/>
                      <w:szCs w:val="21"/>
                      <w:highlight w:val="none"/>
                      <w:vertAlign w:val="superscript"/>
                    </w:rPr>
                    <w:t>3</w:t>
                  </w:r>
                  <w:r>
                    <w:rPr>
                      <w:rFonts w:ascii="Times New Roman" w:hAnsi="Times New Roman" w:cs="Times New Roman"/>
                      <w:b/>
                      <w:bCs/>
                      <w:color w:val="auto"/>
                      <w:sz w:val="21"/>
                      <w:szCs w:val="21"/>
                      <w:highlight w:val="none"/>
                    </w:rPr>
                    <w:t>)</w:t>
                  </w:r>
                </w:p>
              </w:tc>
            </w:tr>
            <w:tr w14:paraId="2C7F99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12" w:hRule="atLeast"/>
                <w:jc w:val="center"/>
              </w:trPr>
              <w:tc>
                <w:tcPr>
                  <w:tcW w:w="2048" w:type="pct"/>
                  <w:vMerge w:val="continue"/>
                  <w:noWrap w:val="0"/>
                  <w:vAlign w:val="center"/>
                </w:tcPr>
                <w:p w14:paraId="3117C022">
                  <w:pPr>
                    <w:spacing w:line="360" w:lineRule="atLeast"/>
                    <w:ind w:firstLine="0" w:firstLineChars="0"/>
                    <w:jc w:val="center"/>
                    <w:rPr>
                      <w:color w:val="auto"/>
                      <w:highlight w:val="none"/>
                    </w:rPr>
                  </w:pPr>
                </w:p>
              </w:tc>
              <w:tc>
                <w:tcPr>
                  <w:tcW w:w="1022" w:type="pct"/>
                  <w:vMerge w:val="continue"/>
                  <w:noWrap w:val="0"/>
                  <w:vAlign w:val="center"/>
                </w:tcPr>
                <w:p w14:paraId="788CAC4B">
                  <w:pPr>
                    <w:spacing w:line="360" w:lineRule="atLeast"/>
                    <w:ind w:firstLine="0" w:firstLineChars="0"/>
                    <w:jc w:val="center"/>
                    <w:rPr>
                      <w:color w:val="auto"/>
                      <w:highlight w:val="none"/>
                    </w:rPr>
                  </w:pPr>
                </w:p>
              </w:tc>
              <w:tc>
                <w:tcPr>
                  <w:tcW w:w="1928" w:type="pct"/>
                  <w:vMerge w:val="continue"/>
                  <w:noWrap w:val="0"/>
                  <w:vAlign w:val="center"/>
                </w:tcPr>
                <w:p w14:paraId="1BEE6299">
                  <w:pPr>
                    <w:spacing w:line="360" w:lineRule="atLeast"/>
                    <w:ind w:firstLine="0" w:firstLineChars="0"/>
                    <w:jc w:val="center"/>
                    <w:rPr>
                      <w:rFonts w:ascii="Times New Roman" w:hAnsi="Times New Roman" w:cs="Times New Roman"/>
                      <w:color w:val="auto"/>
                      <w:sz w:val="21"/>
                      <w:szCs w:val="21"/>
                      <w:highlight w:val="none"/>
                    </w:rPr>
                  </w:pPr>
                </w:p>
              </w:tc>
            </w:tr>
            <w:tr w14:paraId="7AC1D4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048" w:type="pct"/>
                  <w:vMerge w:val="restart"/>
                  <w:noWrap w:val="0"/>
                  <w:vAlign w:val="center"/>
                </w:tcPr>
                <w:p w14:paraId="1C623FE8">
                  <w:pPr>
                    <w:spacing w:line="360" w:lineRule="atLeast"/>
                    <w:ind w:firstLine="0" w:firstLineChars="0"/>
                    <w:jc w:val="center"/>
                    <w:rPr>
                      <w:rFonts w:hint="eastAsia"/>
                      <w:color w:val="auto"/>
                      <w:sz w:val="21"/>
                      <w:szCs w:val="21"/>
                      <w:highlight w:val="none"/>
                    </w:rPr>
                  </w:pPr>
                  <w:r>
                    <w:rPr>
                      <w:rFonts w:hint="eastAsia"/>
                      <w:color w:val="auto"/>
                      <w:sz w:val="21"/>
                      <w:szCs w:val="21"/>
                      <w:highlight w:val="none"/>
                    </w:rPr>
                    <w:t>《大气污染物综合排放标准》</w:t>
                  </w:r>
                  <w:r>
                    <w:rPr>
                      <w:color w:val="auto"/>
                      <w:sz w:val="21"/>
                      <w:szCs w:val="21"/>
                      <w:highlight w:val="none"/>
                    </w:rPr>
                    <w:t>（GB16297-1996）</w:t>
                  </w:r>
                </w:p>
              </w:tc>
              <w:tc>
                <w:tcPr>
                  <w:tcW w:w="1022" w:type="pct"/>
                  <w:noWrap w:val="0"/>
                  <w:vAlign w:val="center"/>
                </w:tcPr>
                <w:p w14:paraId="63056917">
                  <w:pPr>
                    <w:spacing w:line="360" w:lineRule="atLeast"/>
                    <w:ind w:firstLine="0" w:firstLineChars="0"/>
                    <w:jc w:val="center"/>
                    <w:rPr>
                      <w:color w:val="auto"/>
                      <w:sz w:val="21"/>
                      <w:szCs w:val="21"/>
                      <w:highlight w:val="none"/>
                    </w:rPr>
                  </w:pPr>
                  <w:r>
                    <w:rPr>
                      <w:rFonts w:hint="eastAsia"/>
                      <w:color w:val="auto"/>
                      <w:sz w:val="21"/>
                      <w:szCs w:val="21"/>
                      <w:highlight w:val="none"/>
                      <w:lang w:eastAsia="zh-CN"/>
                    </w:rPr>
                    <w:t>氯化氢</w:t>
                  </w:r>
                </w:p>
              </w:tc>
              <w:tc>
                <w:tcPr>
                  <w:tcW w:w="1928" w:type="pct"/>
                  <w:noWrap w:val="0"/>
                  <w:vAlign w:val="center"/>
                </w:tcPr>
                <w:p w14:paraId="59FD257C">
                  <w:pPr>
                    <w:spacing w:line="360" w:lineRule="atLeast"/>
                    <w:ind w:firstLine="0" w:firstLineChars="0"/>
                    <w:jc w:val="center"/>
                    <w:rPr>
                      <w:rFonts w:hint="eastAsia"/>
                      <w:color w:val="auto"/>
                      <w:sz w:val="21"/>
                      <w:szCs w:val="21"/>
                      <w:highlight w:val="none"/>
                    </w:rPr>
                  </w:pPr>
                  <w:r>
                    <w:rPr>
                      <w:rFonts w:hint="eastAsia"/>
                      <w:color w:val="auto"/>
                      <w:sz w:val="21"/>
                      <w:szCs w:val="21"/>
                      <w:highlight w:val="none"/>
                      <w:lang w:val="en-US" w:eastAsia="zh-CN"/>
                    </w:rPr>
                    <w:t>0.20</w:t>
                  </w:r>
                </w:p>
              </w:tc>
            </w:tr>
            <w:tr w14:paraId="4E497F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048" w:type="pct"/>
                  <w:vMerge w:val="continue"/>
                  <w:tcBorders/>
                  <w:noWrap w:val="0"/>
                  <w:vAlign w:val="center"/>
                </w:tcPr>
                <w:p w14:paraId="2D1B393B">
                  <w:pPr>
                    <w:spacing w:line="360" w:lineRule="atLeast"/>
                    <w:ind w:firstLine="0" w:firstLineChars="0"/>
                    <w:jc w:val="center"/>
                    <w:rPr>
                      <w:rFonts w:hint="eastAsia"/>
                      <w:color w:val="auto"/>
                      <w:sz w:val="21"/>
                      <w:szCs w:val="21"/>
                      <w:highlight w:val="none"/>
                    </w:rPr>
                  </w:pPr>
                </w:p>
              </w:tc>
              <w:tc>
                <w:tcPr>
                  <w:tcW w:w="1022" w:type="pct"/>
                  <w:noWrap w:val="0"/>
                  <w:vAlign w:val="center"/>
                </w:tcPr>
                <w:p w14:paraId="4881F0D2">
                  <w:pPr>
                    <w:spacing w:line="360" w:lineRule="atLeast"/>
                    <w:ind w:firstLine="0" w:firstLineChars="0"/>
                    <w:jc w:val="center"/>
                    <w:rPr>
                      <w:rFonts w:hint="eastAsia"/>
                      <w:color w:val="auto"/>
                      <w:sz w:val="21"/>
                      <w:szCs w:val="21"/>
                      <w:highlight w:val="none"/>
                      <w:lang w:eastAsia="zh-CN"/>
                    </w:rPr>
                  </w:pPr>
                  <w:r>
                    <w:rPr>
                      <w:rFonts w:hint="eastAsia"/>
                      <w:color w:val="auto"/>
                      <w:sz w:val="21"/>
                      <w:szCs w:val="21"/>
                      <w:highlight w:val="none"/>
                      <w:lang w:eastAsia="zh-CN"/>
                    </w:rPr>
                    <w:t>氮氧化物</w:t>
                  </w:r>
                </w:p>
              </w:tc>
              <w:tc>
                <w:tcPr>
                  <w:tcW w:w="1928" w:type="pct"/>
                  <w:noWrap w:val="0"/>
                  <w:vAlign w:val="center"/>
                </w:tcPr>
                <w:p w14:paraId="58937667">
                  <w:pPr>
                    <w:spacing w:line="360" w:lineRule="atLeast"/>
                    <w:ind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0.12</w:t>
                  </w:r>
                </w:p>
              </w:tc>
            </w:tr>
            <w:tr w14:paraId="23C7D7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048" w:type="pct"/>
                  <w:vMerge w:val="continue"/>
                  <w:tcBorders/>
                  <w:noWrap w:val="0"/>
                  <w:vAlign w:val="center"/>
                </w:tcPr>
                <w:p w14:paraId="11D501CF">
                  <w:pPr>
                    <w:spacing w:line="360" w:lineRule="atLeast"/>
                    <w:ind w:firstLine="0" w:firstLineChars="0"/>
                    <w:jc w:val="center"/>
                    <w:rPr>
                      <w:rFonts w:hint="eastAsia"/>
                      <w:color w:val="auto"/>
                      <w:sz w:val="21"/>
                      <w:szCs w:val="21"/>
                      <w:highlight w:val="none"/>
                    </w:rPr>
                  </w:pPr>
                </w:p>
              </w:tc>
              <w:tc>
                <w:tcPr>
                  <w:tcW w:w="1022" w:type="pct"/>
                  <w:noWrap w:val="0"/>
                  <w:vAlign w:val="center"/>
                </w:tcPr>
                <w:p w14:paraId="671AD6C6">
                  <w:pPr>
                    <w:spacing w:line="360" w:lineRule="atLeast"/>
                    <w:ind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颗粒物</w:t>
                  </w:r>
                </w:p>
              </w:tc>
              <w:tc>
                <w:tcPr>
                  <w:tcW w:w="1928" w:type="pct"/>
                  <w:noWrap w:val="0"/>
                  <w:vAlign w:val="center"/>
                </w:tcPr>
                <w:p w14:paraId="2D93B72E">
                  <w:pPr>
                    <w:spacing w:line="360" w:lineRule="atLeast"/>
                    <w:ind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1.0</w:t>
                  </w:r>
                </w:p>
              </w:tc>
            </w:tr>
            <w:tr w14:paraId="31D820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048" w:type="pct"/>
                  <w:vMerge w:val="continue"/>
                  <w:tcBorders/>
                  <w:noWrap w:val="0"/>
                  <w:vAlign w:val="center"/>
                </w:tcPr>
                <w:p w14:paraId="1694B44F">
                  <w:pPr>
                    <w:spacing w:line="360" w:lineRule="atLeast"/>
                    <w:ind w:firstLine="0" w:firstLineChars="0"/>
                    <w:jc w:val="center"/>
                    <w:rPr>
                      <w:rFonts w:hint="eastAsia"/>
                      <w:color w:val="auto"/>
                      <w:sz w:val="21"/>
                      <w:szCs w:val="21"/>
                      <w:highlight w:val="none"/>
                    </w:rPr>
                  </w:pPr>
                </w:p>
              </w:tc>
              <w:tc>
                <w:tcPr>
                  <w:tcW w:w="1022" w:type="pct"/>
                  <w:noWrap w:val="0"/>
                  <w:vAlign w:val="center"/>
                </w:tcPr>
                <w:p w14:paraId="2A4AC4A6">
                  <w:pPr>
                    <w:spacing w:line="360" w:lineRule="atLeast"/>
                    <w:ind w:firstLine="0" w:firstLineChars="0"/>
                    <w:jc w:val="center"/>
                    <w:rPr>
                      <w:rFonts w:hint="eastAsia"/>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GB" w:eastAsia="zh-CN"/>
                    </w:rPr>
                    <w:t>非甲烷总烃</w:t>
                  </w:r>
                </w:p>
              </w:tc>
              <w:tc>
                <w:tcPr>
                  <w:tcW w:w="1928" w:type="pct"/>
                  <w:noWrap w:val="0"/>
                  <w:vAlign w:val="center"/>
                </w:tcPr>
                <w:p w14:paraId="1251C543">
                  <w:pPr>
                    <w:spacing w:line="360" w:lineRule="atLeast"/>
                    <w:ind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4.0</w:t>
                  </w:r>
                </w:p>
              </w:tc>
            </w:tr>
            <w:tr w14:paraId="52AB70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048" w:type="pct"/>
                  <w:vMerge w:val="restart"/>
                  <w:noWrap w:val="0"/>
                  <w:vAlign w:val="center"/>
                </w:tcPr>
                <w:p w14:paraId="64BB7B55">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《挥发性有机物无组织排放控制标准》（GB37822-2019）</w:t>
                  </w:r>
                </w:p>
              </w:tc>
              <w:tc>
                <w:tcPr>
                  <w:tcW w:w="1022" w:type="pct"/>
                  <w:vMerge w:val="restart"/>
                  <w:noWrap w:val="0"/>
                  <w:vAlign w:val="center"/>
                </w:tcPr>
                <w:p w14:paraId="79FDB3E2">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GB" w:eastAsia="zh-CN"/>
                    </w:rPr>
                    <w:t>非甲烷总烃</w:t>
                  </w:r>
                </w:p>
              </w:tc>
              <w:tc>
                <w:tcPr>
                  <w:tcW w:w="1928" w:type="pct"/>
                  <w:noWrap w:val="0"/>
                  <w:vAlign w:val="center"/>
                </w:tcPr>
                <w:p w14:paraId="7A25AA36">
                  <w:pPr>
                    <w:spacing w:line="360" w:lineRule="atLeast"/>
                    <w:ind w:firstLine="0" w:firstLineChars="0"/>
                    <w:jc w:val="center"/>
                    <w:rPr>
                      <w:color w:val="auto"/>
                    </w:rPr>
                  </w:pPr>
                  <w:r>
                    <w:rPr>
                      <w:rFonts w:hint="eastAsia" w:ascii="Times New Roman" w:hAnsi="Times New Roman" w:eastAsia="宋体" w:cs="Times New Roman"/>
                      <w:color w:val="auto"/>
                      <w:sz w:val="21"/>
                      <w:szCs w:val="21"/>
                      <w:highlight w:val="none"/>
                      <w:lang w:val="en-US" w:eastAsia="zh-CN"/>
                    </w:rPr>
                    <w:t>6（厂房外）</w:t>
                  </w:r>
                </w:p>
                <w:p w14:paraId="78B34CB8">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监测点处1h平均浓度值</w:t>
                  </w:r>
                </w:p>
              </w:tc>
            </w:tr>
            <w:tr w14:paraId="2E6707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048" w:type="pct"/>
                  <w:vMerge w:val="continue"/>
                  <w:noWrap w:val="0"/>
                  <w:vAlign w:val="center"/>
                </w:tcPr>
                <w:p w14:paraId="6FF1BB5A">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1022" w:type="pct"/>
                  <w:vMerge w:val="continue"/>
                  <w:noWrap w:val="0"/>
                  <w:vAlign w:val="center"/>
                </w:tcPr>
                <w:p w14:paraId="3B59AADD">
                  <w:pPr>
                    <w:spacing w:line="360" w:lineRule="atLeast"/>
                    <w:ind w:firstLine="0" w:firstLineChars="0"/>
                    <w:jc w:val="center"/>
                    <w:rPr>
                      <w:rFonts w:hint="eastAsia" w:ascii="Times New Roman" w:hAnsi="Times New Roman" w:eastAsia="宋体" w:cs="Times New Roman"/>
                      <w:color w:val="auto"/>
                      <w:sz w:val="21"/>
                      <w:szCs w:val="21"/>
                      <w:highlight w:val="none"/>
                      <w:lang w:val="en-GB" w:eastAsia="zh-CN"/>
                    </w:rPr>
                  </w:pPr>
                </w:p>
              </w:tc>
              <w:tc>
                <w:tcPr>
                  <w:tcW w:w="1928" w:type="pct"/>
                  <w:noWrap w:val="0"/>
                  <w:vAlign w:val="center"/>
                </w:tcPr>
                <w:p w14:paraId="152B46B0">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w:t>
                  </w:r>
                  <w:r>
                    <w:rPr>
                      <w:rFonts w:hint="eastAsia" w:ascii="Times New Roman" w:hAnsi="Times New Roman" w:eastAsia="宋体" w:cs="Times New Roman"/>
                      <w:color w:val="auto"/>
                      <w:sz w:val="21"/>
                      <w:szCs w:val="21"/>
                      <w:highlight w:val="none"/>
                      <w:lang w:val="en-US" w:eastAsia="zh-CN"/>
                    </w:rPr>
                    <w:t>（厂房外）</w:t>
                  </w:r>
                </w:p>
                <w:p w14:paraId="2B0A3DEE">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监测点处任意一次浓度值</w:t>
                  </w:r>
                </w:p>
              </w:tc>
            </w:tr>
          </w:tbl>
          <w:p w14:paraId="5DDEAEB6">
            <w:pPr>
              <w:jc w:val="center"/>
              <w:rPr>
                <w:rFonts w:hint="eastAsia"/>
                <w:b/>
                <w:bCs/>
                <w:color w:val="auto"/>
                <w:szCs w:val="21"/>
                <w:highlight w:val="none"/>
              </w:rPr>
            </w:pPr>
            <w:r>
              <w:rPr>
                <w:b/>
                <w:bCs/>
                <w:color w:val="auto"/>
                <w:szCs w:val="21"/>
                <w:highlight w:val="none"/>
              </w:rPr>
              <w:t>表</w:t>
            </w:r>
            <w:r>
              <w:rPr>
                <w:rFonts w:hint="eastAsia"/>
                <w:b/>
                <w:bCs/>
                <w:color w:val="auto"/>
                <w:szCs w:val="21"/>
                <w:highlight w:val="none"/>
                <w:lang w:val="en-US" w:eastAsia="zh-CN"/>
              </w:rPr>
              <w:t>3-4</w:t>
            </w:r>
            <w:r>
              <w:rPr>
                <w:rFonts w:hint="eastAsia"/>
                <w:b/>
                <w:bCs/>
                <w:color w:val="auto"/>
                <w:szCs w:val="21"/>
                <w:highlight w:val="none"/>
              </w:rPr>
              <w:t xml:space="preserve"> </w:t>
            </w:r>
            <w:r>
              <w:rPr>
                <w:b/>
                <w:bCs/>
                <w:color w:val="auto"/>
                <w:szCs w:val="21"/>
                <w:highlight w:val="none"/>
              </w:rPr>
              <w:t xml:space="preserve"> </w:t>
            </w:r>
            <w:r>
              <w:rPr>
                <w:rFonts w:hint="eastAsia"/>
                <w:b/>
                <w:bCs/>
                <w:color w:val="auto"/>
                <w:szCs w:val="21"/>
                <w:highlight w:val="none"/>
              </w:rPr>
              <w:t xml:space="preserve"> </w:t>
            </w:r>
            <w:r>
              <w:rPr>
                <w:rFonts w:hint="eastAsia"/>
                <w:b/>
                <w:bCs/>
                <w:color w:val="auto"/>
                <w:szCs w:val="21"/>
                <w:highlight w:val="none"/>
                <w:lang w:val="en-US" w:eastAsia="zh-CN"/>
              </w:rPr>
              <w:t>餐厅</w:t>
            </w:r>
            <w:r>
              <w:rPr>
                <w:b/>
                <w:bCs/>
                <w:color w:val="auto"/>
                <w:szCs w:val="21"/>
                <w:highlight w:val="none"/>
              </w:rPr>
              <w:t>废气污染物排放标准</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1861"/>
              <w:gridCol w:w="1907"/>
              <w:gridCol w:w="2911"/>
            </w:tblGrid>
            <w:tr w14:paraId="42F45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16" w:type="pct"/>
                  <w:noWrap w:val="0"/>
                  <w:vAlign w:val="center"/>
                </w:tcPr>
                <w:p w14:paraId="6F9A6F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highlight w:val="none"/>
                    </w:rPr>
                  </w:pPr>
                  <w:r>
                    <w:rPr>
                      <w:b/>
                      <w:bCs/>
                      <w:color w:val="auto"/>
                      <w:sz w:val="21"/>
                      <w:szCs w:val="21"/>
                      <w:highlight w:val="none"/>
                    </w:rPr>
                    <w:t>污染物</w:t>
                  </w:r>
                </w:p>
              </w:tc>
              <w:tc>
                <w:tcPr>
                  <w:tcW w:w="1194" w:type="pct"/>
                  <w:noWrap w:val="0"/>
                  <w:vAlign w:val="center"/>
                </w:tcPr>
                <w:p w14:paraId="48C102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highlight w:val="none"/>
                    </w:rPr>
                  </w:pPr>
                  <w:r>
                    <w:rPr>
                      <w:b/>
                      <w:bCs/>
                      <w:color w:val="auto"/>
                      <w:sz w:val="21"/>
                      <w:szCs w:val="21"/>
                      <w:highlight w:val="none"/>
                    </w:rPr>
                    <w:t>最高允许排放浓度(mg/Nm</w:t>
                  </w:r>
                  <w:r>
                    <w:rPr>
                      <w:b/>
                      <w:bCs/>
                      <w:color w:val="auto"/>
                      <w:sz w:val="21"/>
                      <w:szCs w:val="21"/>
                      <w:highlight w:val="none"/>
                      <w:vertAlign w:val="superscript"/>
                    </w:rPr>
                    <w:t>3</w:t>
                  </w:r>
                  <w:r>
                    <w:rPr>
                      <w:b/>
                      <w:bCs/>
                      <w:color w:val="auto"/>
                      <w:sz w:val="21"/>
                      <w:szCs w:val="21"/>
                      <w:highlight w:val="none"/>
                    </w:rPr>
                    <w:t>)</w:t>
                  </w:r>
                </w:p>
              </w:tc>
              <w:tc>
                <w:tcPr>
                  <w:tcW w:w="1223" w:type="pct"/>
                  <w:noWrap w:val="0"/>
                  <w:vAlign w:val="center"/>
                </w:tcPr>
                <w:p w14:paraId="17FA7E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highlight w:val="none"/>
                    </w:rPr>
                  </w:pPr>
                  <w:r>
                    <w:rPr>
                      <w:rFonts w:hint="eastAsia"/>
                      <w:b/>
                      <w:bCs/>
                      <w:color w:val="auto"/>
                      <w:sz w:val="21"/>
                      <w:szCs w:val="21"/>
                      <w:highlight w:val="none"/>
                    </w:rPr>
                    <w:t>净化</w:t>
                  </w:r>
                  <w:r>
                    <w:rPr>
                      <w:b/>
                      <w:bCs/>
                      <w:color w:val="auto"/>
                      <w:sz w:val="21"/>
                      <w:szCs w:val="21"/>
                      <w:highlight w:val="none"/>
                    </w:rPr>
                    <w:t>设施最低去除效率</w:t>
                  </w:r>
                  <w:r>
                    <w:rPr>
                      <w:rFonts w:hint="eastAsia"/>
                      <w:b/>
                      <w:bCs/>
                      <w:color w:val="auto"/>
                      <w:sz w:val="21"/>
                      <w:szCs w:val="21"/>
                      <w:highlight w:val="none"/>
                    </w:rPr>
                    <w:t>（%）</w:t>
                  </w:r>
                </w:p>
              </w:tc>
              <w:tc>
                <w:tcPr>
                  <w:tcW w:w="1867" w:type="pct"/>
                  <w:noWrap w:val="0"/>
                  <w:vAlign w:val="center"/>
                </w:tcPr>
                <w:p w14:paraId="62E5F7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highlight w:val="none"/>
                    </w:rPr>
                  </w:pPr>
                  <w:r>
                    <w:rPr>
                      <w:b/>
                      <w:bCs/>
                      <w:color w:val="auto"/>
                      <w:sz w:val="21"/>
                      <w:szCs w:val="21"/>
                      <w:highlight w:val="none"/>
                    </w:rPr>
                    <w:t>执行标准</w:t>
                  </w:r>
                </w:p>
              </w:tc>
            </w:tr>
            <w:tr w14:paraId="7E528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16" w:type="pct"/>
                  <w:noWrap w:val="0"/>
                  <w:vAlign w:val="center"/>
                </w:tcPr>
                <w:p w14:paraId="43EB35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highlight w:val="none"/>
                    </w:rPr>
                  </w:pPr>
                  <w:r>
                    <w:rPr>
                      <w:color w:val="auto"/>
                      <w:sz w:val="21"/>
                      <w:szCs w:val="21"/>
                      <w:highlight w:val="none"/>
                    </w:rPr>
                    <w:t>油烟</w:t>
                  </w:r>
                </w:p>
                <w:p w14:paraId="47FB30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（大型规模）</w:t>
                  </w:r>
                </w:p>
              </w:tc>
              <w:tc>
                <w:tcPr>
                  <w:tcW w:w="1194" w:type="pct"/>
                  <w:noWrap w:val="0"/>
                  <w:vAlign w:val="center"/>
                </w:tcPr>
                <w:p w14:paraId="655C6B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2.0</w:t>
                  </w:r>
                </w:p>
              </w:tc>
              <w:tc>
                <w:tcPr>
                  <w:tcW w:w="1223" w:type="pct"/>
                  <w:noWrap w:val="0"/>
                  <w:vAlign w:val="center"/>
                </w:tcPr>
                <w:p w14:paraId="4C78C9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85</w:t>
                  </w:r>
                </w:p>
              </w:tc>
              <w:tc>
                <w:tcPr>
                  <w:tcW w:w="1867" w:type="pct"/>
                  <w:noWrap w:val="0"/>
                  <w:vAlign w:val="center"/>
                </w:tcPr>
                <w:p w14:paraId="66EBC6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《饮食业油烟排放标准（试行）》（GB18483-2001）</w:t>
                  </w:r>
                </w:p>
              </w:tc>
            </w:tr>
          </w:tbl>
          <w:p w14:paraId="4B74B3CF">
            <w:pPr>
              <w:ind w:firstLine="482"/>
              <w:rPr>
                <w:rFonts w:hint="eastAsia" w:eastAsia="宋体"/>
                <w:b/>
                <w:bCs/>
                <w:color w:val="auto"/>
                <w:highlight w:val="none"/>
                <w:lang w:val="en-US" w:eastAsia="zh-CN"/>
              </w:rPr>
            </w:pPr>
            <w:r>
              <w:rPr>
                <w:rFonts w:hint="eastAsia"/>
                <w:b/>
                <w:bCs/>
                <w:color w:val="auto"/>
                <w:highlight w:val="none"/>
                <w:lang w:val="en-US" w:eastAsia="zh-CN"/>
              </w:rPr>
              <w:t>2</w:t>
            </w:r>
            <w:r>
              <w:rPr>
                <w:b/>
                <w:bCs/>
                <w:color w:val="auto"/>
                <w:highlight w:val="none"/>
              </w:rPr>
              <w:t>、废</w:t>
            </w:r>
            <w:r>
              <w:rPr>
                <w:rFonts w:hint="eastAsia"/>
                <w:b/>
                <w:bCs/>
                <w:color w:val="auto"/>
                <w:highlight w:val="none"/>
                <w:lang w:val="en-US" w:eastAsia="zh-CN"/>
              </w:rPr>
              <w:t>水</w:t>
            </w:r>
          </w:p>
          <w:p w14:paraId="7765F1CF">
            <w:pPr>
              <w:pStyle w:val="41"/>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color w:val="auto"/>
                <w:highlight w:val="none"/>
                <w:lang w:val="zh-CN"/>
              </w:rPr>
            </w:pPr>
            <w:r>
              <w:rPr>
                <w:color w:val="auto"/>
                <w:highlight w:val="none"/>
                <w:lang w:val="zh-CN"/>
              </w:rPr>
              <w:t>运营期废水执行《污水综合排放标准》（GB8978-1996）三级标准及《污水排入城镇下水道水质标准》（GB/T31962-2015）</w:t>
            </w:r>
            <w:r>
              <w:rPr>
                <w:rFonts w:hint="eastAsia"/>
                <w:color w:val="auto"/>
                <w:highlight w:val="none"/>
              </w:rPr>
              <w:t>A</w:t>
            </w:r>
            <w:r>
              <w:rPr>
                <w:color w:val="auto"/>
                <w:highlight w:val="none"/>
                <w:lang w:val="zh-CN"/>
              </w:rPr>
              <w:t>级标准。</w:t>
            </w:r>
          </w:p>
          <w:p w14:paraId="1CFA95C7">
            <w:pPr>
              <w:pStyle w:val="43"/>
              <w:keepNext w:val="0"/>
              <w:keepLines w:val="0"/>
              <w:pageBreakBefore w:val="0"/>
              <w:widowControl w:val="0"/>
              <w:kinsoku/>
              <w:wordWrap/>
              <w:overflowPunct/>
              <w:topLinePunct w:val="0"/>
              <w:autoSpaceDE/>
              <w:autoSpaceDN/>
              <w:bidi w:val="0"/>
              <w:adjustRightInd w:val="0"/>
              <w:snapToGrid w:val="0"/>
              <w:spacing w:before="0" w:beforeLines="0" w:line="360" w:lineRule="auto"/>
              <w:textAlignment w:val="auto"/>
              <w:rPr>
                <w:rFonts w:hint="eastAsia" w:ascii="Times New Roman" w:hAnsi="Times New Roman" w:eastAsia="宋体" w:cs="Times New Roman"/>
                <w:b/>
                <w:bCs/>
                <w:color w:val="auto"/>
                <w:kern w:val="2"/>
                <w:sz w:val="24"/>
                <w:szCs w:val="21"/>
                <w:highlight w:val="none"/>
                <w:lang w:val="zh-CN" w:eastAsia="zh-CN" w:bidi="ar-SA"/>
              </w:rPr>
            </w:pPr>
            <w:r>
              <w:rPr>
                <w:rFonts w:hint="eastAsia" w:ascii="Times New Roman" w:hAnsi="Times New Roman" w:eastAsia="宋体" w:cs="Times New Roman"/>
                <w:b/>
                <w:bCs/>
                <w:color w:val="auto"/>
                <w:kern w:val="2"/>
                <w:sz w:val="24"/>
                <w:szCs w:val="21"/>
                <w:highlight w:val="none"/>
                <w:lang w:val="zh-CN" w:eastAsia="zh-CN" w:bidi="ar-SA"/>
              </w:rPr>
              <w:t>表</w:t>
            </w:r>
            <w:r>
              <w:rPr>
                <w:rFonts w:hint="eastAsia" w:ascii="Times New Roman" w:hAnsi="Times New Roman" w:eastAsia="宋体" w:cs="Times New Roman"/>
                <w:b/>
                <w:bCs/>
                <w:color w:val="auto"/>
                <w:kern w:val="2"/>
                <w:sz w:val="24"/>
                <w:szCs w:val="21"/>
                <w:highlight w:val="none"/>
                <w:lang w:val="en-US" w:eastAsia="zh-CN" w:bidi="ar-SA"/>
              </w:rPr>
              <w:t>3-</w:t>
            </w:r>
            <w:r>
              <w:rPr>
                <w:rFonts w:hint="eastAsia" w:cs="Times New Roman"/>
                <w:b/>
                <w:bCs/>
                <w:color w:val="auto"/>
                <w:kern w:val="2"/>
                <w:sz w:val="24"/>
                <w:szCs w:val="21"/>
                <w:highlight w:val="none"/>
                <w:lang w:val="en-US" w:eastAsia="zh-CN" w:bidi="ar-SA"/>
              </w:rPr>
              <w:t>5</w:t>
            </w:r>
            <w:r>
              <w:rPr>
                <w:rFonts w:hint="eastAsia" w:ascii="Times New Roman" w:hAnsi="Times New Roman" w:eastAsia="宋体" w:cs="Times New Roman"/>
                <w:b/>
                <w:bCs/>
                <w:color w:val="auto"/>
                <w:kern w:val="2"/>
                <w:sz w:val="24"/>
                <w:szCs w:val="21"/>
                <w:highlight w:val="none"/>
                <w:lang w:val="zh-CN" w:eastAsia="zh-CN" w:bidi="ar-SA"/>
              </w:rPr>
              <w:t xml:space="preserve">  废水污染物排放标准明细表</w:t>
            </w:r>
          </w:p>
          <w:tbl>
            <w:tblPr>
              <w:tblStyle w:val="16"/>
              <w:tblW w:w="4993"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288"/>
              <w:gridCol w:w="751"/>
              <w:gridCol w:w="687"/>
              <w:gridCol w:w="784"/>
              <w:gridCol w:w="686"/>
              <w:gridCol w:w="597"/>
              <w:gridCol w:w="662"/>
              <w:gridCol w:w="662"/>
              <w:gridCol w:w="662"/>
            </w:tblGrid>
            <w:tr w14:paraId="40AB4F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2290" w:type="dxa"/>
                  <w:tcBorders>
                    <w:tl2br w:val="nil"/>
                    <w:tr2bl w:val="nil"/>
                  </w:tcBorders>
                  <w:vAlign w:val="center"/>
                </w:tcPr>
                <w:p w14:paraId="5450A5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 w:val="21"/>
                      <w:szCs w:val="21"/>
                    </w:rPr>
                  </w:pPr>
                  <w:r>
                    <w:rPr>
                      <w:b/>
                      <w:bCs/>
                      <w:sz w:val="21"/>
                      <w:szCs w:val="21"/>
                    </w:rPr>
                    <w:t>污染因子</w:t>
                  </w:r>
                </w:p>
              </w:tc>
              <w:tc>
                <w:tcPr>
                  <w:tcW w:w="751" w:type="dxa"/>
                  <w:tcBorders>
                    <w:tl2br w:val="nil"/>
                    <w:tr2bl w:val="nil"/>
                  </w:tcBorders>
                  <w:vAlign w:val="center"/>
                </w:tcPr>
                <w:p w14:paraId="16CC6B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 w:val="21"/>
                      <w:szCs w:val="21"/>
                    </w:rPr>
                  </w:pPr>
                  <w:r>
                    <w:rPr>
                      <w:rFonts w:hint="eastAsia"/>
                      <w:b/>
                      <w:bCs/>
                      <w:sz w:val="21"/>
                      <w:szCs w:val="21"/>
                    </w:rPr>
                    <w:t>pH</w:t>
                  </w:r>
                </w:p>
              </w:tc>
              <w:tc>
                <w:tcPr>
                  <w:tcW w:w="687" w:type="dxa"/>
                  <w:tcBorders>
                    <w:tl2br w:val="nil"/>
                    <w:tr2bl w:val="nil"/>
                  </w:tcBorders>
                  <w:vAlign w:val="center"/>
                </w:tcPr>
                <w:p w14:paraId="34E127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 w:val="21"/>
                      <w:szCs w:val="21"/>
                    </w:rPr>
                  </w:pPr>
                  <w:r>
                    <w:rPr>
                      <w:b/>
                      <w:bCs/>
                      <w:sz w:val="21"/>
                      <w:szCs w:val="21"/>
                    </w:rPr>
                    <w:t>COD</w:t>
                  </w:r>
                </w:p>
              </w:tc>
              <w:tc>
                <w:tcPr>
                  <w:tcW w:w="784" w:type="dxa"/>
                  <w:tcBorders>
                    <w:tl2br w:val="nil"/>
                    <w:tr2bl w:val="nil"/>
                  </w:tcBorders>
                  <w:vAlign w:val="center"/>
                </w:tcPr>
                <w:p w14:paraId="3CC1A8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 w:val="21"/>
                      <w:szCs w:val="21"/>
                    </w:rPr>
                  </w:pPr>
                  <w:r>
                    <w:rPr>
                      <w:b/>
                      <w:bCs/>
                      <w:sz w:val="21"/>
                      <w:szCs w:val="21"/>
                    </w:rPr>
                    <w:t>BOD</w:t>
                  </w:r>
                  <w:r>
                    <w:rPr>
                      <w:b/>
                      <w:bCs/>
                      <w:sz w:val="21"/>
                      <w:szCs w:val="21"/>
                      <w:vertAlign w:val="subscript"/>
                    </w:rPr>
                    <w:t>5</w:t>
                  </w:r>
                </w:p>
              </w:tc>
              <w:tc>
                <w:tcPr>
                  <w:tcW w:w="686" w:type="dxa"/>
                  <w:tcBorders>
                    <w:tl2br w:val="nil"/>
                    <w:tr2bl w:val="nil"/>
                  </w:tcBorders>
                  <w:vAlign w:val="center"/>
                </w:tcPr>
                <w:p w14:paraId="6C7321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 w:val="21"/>
                      <w:szCs w:val="21"/>
                    </w:rPr>
                  </w:pPr>
                  <w:r>
                    <w:rPr>
                      <w:b/>
                      <w:bCs/>
                      <w:sz w:val="21"/>
                      <w:szCs w:val="21"/>
                    </w:rPr>
                    <w:t>NH</w:t>
                  </w:r>
                  <w:r>
                    <w:rPr>
                      <w:b/>
                      <w:bCs/>
                      <w:sz w:val="21"/>
                      <w:szCs w:val="21"/>
                      <w:vertAlign w:val="subscript"/>
                    </w:rPr>
                    <w:t>3</w:t>
                  </w:r>
                  <w:r>
                    <w:rPr>
                      <w:b/>
                      <w:bCs/>
                      <w:sz w:val="21"/>
                      <w:szCs w:val="21"/>
                    </w:rPr>
                    <w:t>-N</w:t>
                  </w:r>
                </w:p>
              </w:tc>
              <w:tc>
                <w:tcPr>
                  <w:tcW w:w="597" w:type="dxa"/>
                  <w:tcBorders>
                    <w:tl2br w:val="nil"/>
                    <w:tr2bl w:val="nil"/>
                  </w:tcBorders>
                  <w:vAlign w:val="center"/>
                </w:tcPr>
                <w:p w14:paraId="17D4E5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 w:val="21"/>
                      <w:szCs w:val="21"/>
                    </w:rPr>
                  </w:pPr>
                  <w:r>
                    <w:rPr>
                      <w:b/>
                      <w:bCs/>
                      <w:sz w:val="21"/>
                      <w:szCs w:val="21"/>
                    </w:rPr>
                    <w:t>SS</w:t>
                  </w:r>
                </w:p>
              </w:tc>
              <w:tc>
                <w:tcPr>
                  <w:tcW w:w="662" w:type="dxa"/>
                  <w:tcBorders>
                    <w:tl2br w:val="nil"/>
                    <w:tr2bl w:val="nil"/>
                  </w:tcBorders>
                  <w:vAlign w:val="center"/>
                </w:tcPr>
                <w:p w14:paraId="6C3561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 w:val="21"/>
                      <w:szCs w:val="21"/>
                    </w:rPr>
                  </w:pPr>
                  <w:r>
                    <w:rPr>
                      <w:rFonts w:hint="eastAsia"/>
                      <w:b/>
                      <w:bCs/>
                      <w:sz w:val="21"/>
                      <w:szCs w:val="21"/>
                    </w:rPr>
                    <w:t>TN</w:t>
                  </w:r>
                </w:p>
              </w:tc>
              <w:tc>
                <w:tcPr>
                  <w:tcW w:w="662" w:type="dxa"/>
                  <w:tcBorders>
                    <w:tl2br w:val="nil"/>
                    <w:tr2bl w:val="nil"/>
                  </w:tcBorders>
                  <w:vAlign w:val="center"/>
                </w:tcPr>
                <w:p w14:paraId="1B1BCA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 w:val="21"/>
                      <w:szCs w:val="21"/>
                    </w:rPr>
                  </w:pPr>
                  <w:r>
                    <w:rPr>
                      <w:rFonts w:hint="eastAsia"/>
                      <w:b/>
                      <w:bCs/>
                      <w:sz w:val="21"/>
                      <w:szCs w:val="21"/>
                    </w:rPr>
                    <w:t>TP</w:t>
                  </w:r>
                </w:p>
              </w:tc>
              <w:tc>
                <w:tcPr>
                  <w:tcW w:w="662" w:type="dxa"/>
                  <w:tcBorders>
                    <w:tl2br w:val="nil"/>
                    <w:tr2bl w:val="nil"/>
                  </w:tcBorders>
                  <w:vAlign w:val="center"/>
                </w:tcPr>
                <w:p w14:paraId="54F7AA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b/>
                      <w:bCs/>
                      <w:sz w:val="21"/>
                      <w:szCs w:val="21"/>
                      <w:lang w:val="en-US" w:eastAsia="zh-CN"/>
                    </w:rPr>
                  </w:pPr>
                  <w:r>
                    <w:rPr>
                      <w:rFonts w:hint="eastAsia"/>
                      <w:b/>
                      <w:bCs/>
                      <w:sz w:val="21"/>
                      <w:szCs w:val="21"/>
                      <w:lang w:val="en-US" w:eastAsia="zh-CN"/>
                    </w:rPr>
                    <w:t>动植物油</w:t>
                  </w:r>
                </w:p>
              </w:tc>
            </w:tr>
            <w:tr w14:paraId="2DCA32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2290" w:type="dxa"/>
                  <w:tcBorders>
                    <w:tl2br w:val="nil"/>
                    <w:tr2bl w:val="nil"/>
                  </w:tcBorders>
                  <w:vAlign w:val="center"/>
                </w:tcPr>
                <w:p w14:paraId="71F03E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《污水综合排放标准》三级标准GB8978-1996</w:t>
                  </w:r>
                </w:p>
              </w:tc>
              <w:tc>
                <w:tcPr>
                  <w:tcW w:w="751" w:type="dxa"/>
                  <w:tcBorders>
                    <w:tl2br w:val="nil"/>
                    <w:tr2bl w:val="nil"/>
                  </w:tcBorders>
                  <w:vAlign w:val="center"/>
                </w:tcPr>
                <w:p w14:paraId="29490A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6~9</w:t>
                  </w:r>
                </w:p>
              </w:tc>
              <w:tc>
                <w:tcPr>
                  <w:tcW w:w="687" w:type="dxa"/>
                  <w:tcBorders>
                    <w:tl2br w:val="nil"/>
                    <w:tr2bl w:val="nil"/>
                  </w:tcBorders>
                  <w:vAlign w:val="center"/>
                </w:tcPr>
                <w:p w14:paraId="28918D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500</w:t>
                  </w:r>
                </w:p>
              </w:tc>
              <w:tc>
                <w:tcPr>
                  <w:tcW w:w="784" w:type="dxa"/>
                  <w:tcBorders>
                    <w:tl2br w:val="nil"/>
                    <w:tr2bl w:val="nil"/>
                  </w:tcBorders>
                  <w:vAlign w:val="center"/>
                </w:tcPr>
                <w:p w14:paraId="73013A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300</w:t>
                  </w:r>
                </w:p>
              </w:tc>
              <w:tc>
                <w:tcPr>
                  <w:tcW w:w="686" w:type="dxa"/>
                  <w:tcBorders>
                    <w:tl2br w:val="nil"/>
                    <w:tr2bl w:val="nil"/>
                  </w:tcBorders>
                  <w:vAlign w:val="center"/>
                </w:tcPr>
                <w:p w14:paraId="113378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w:t>
                  </w:r>
                </w:p>
              </w:tc>
              <w:tc>
                <w:tcPr>
                  <w:tcW w:w="597" w:type="dxa"/>
                  <w:tcBorders>
                    <w:tl2br w:val="nil"/>
                    <w:tr2bl w:val="nil"/>
                  </w:tcBorders>
                  <w:vAlign w:val="center"/>
                </w:tcPr>
                <w:p w14:paraId="7EA669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400</w:t>
                  </w:r>
                </w:p>
              </w:tc>
              <w:tc>
                <w:tcPr>
                  <w:tcW w:w="662" w:type="dxa"/>
                  <w:tcBorders>
                    <w:tl2br w:val="nil"/>
                    <w:tr2bl w:val="nil"/>
                  </w:tcBorders>
                  <w:vAlign w:val="center"/>
                </w:tcPr>
                <w:p w14:paraId="3D5899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w:t>
                  </w:r>
                </w:p>
              </w:tc>
              <w:tc>
                <w:tcPr>
                  <w:tcW w:w="662" w:type="dxa"/>
                  <w:tcBorders>
                    <w:tl2br w:val="nil"/>
                    <w:tr2bl w:val="nil"/>
                  </w:tcBorders>
                  <w:vAlign w:val="center"/>
                </w:tcPr>
                <w:p w14:paraId="029E20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w:t>
                  </w:r>
                </w:p>
              </w:tc>
              <w:tc>
                <w:tcPr>
                  <w:tcW w:w="662" w:type="dxa"/>
                  <w:tcBorders>
                    <w:tl2br w:val="nil"/>
                    <w:tr2bl w:val="nil"/>
                  </w:tcBorders>
                  <w:vAlign w:val="center"/>
                </w:tcPr>
                <w:p w14:paraId="28F46A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rPr>
                      <w:rFonts w:hint="eastAsia"/>
                      <w:sz w:val="21"/>
                      <w:szCs w:val="21"/>
                    </w:rPr>
                    <w:t>--</w:t>
                  </w:r>
                </w:p>
              </w:tc>
            </w:tr>
            <w:tr w14:paraId="24E0FD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2290" w:type="dxa"/>
                  <w:tcBorders>
                    <w:tl2br w:val="nil"/>
                    <w:tr2bl w:val="nil"/>
                  </w:tcBorders>
                  <w:vAlign w:val="center"/>
                </w:tcPr>
                <w:p w14:paraId="44CACE6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《污水排入城镇下水道水质标准》GB/T31962-2015</w:t>
                  </w:r>
                  <w:r>
                    <w:rPr>
                      <w:rFonts w:hint="eastAsia"/>
                      <w:sz w:val="21"/>
                      <w:szCs w:val="21"/>
                    </w:rPr>
                    <w:t>A</w:t>
                  </w:r>
                  <w:r>
                    <w:rPr>
                      <w:sz w:val="21"/>
                      <w:szCs w:val="21"/>
                    </w:rPr>
                    <w:t>级标准</w:t>
                  </w:r>
                </w:p>
              </w:tc>
              <w:tc>
                <w:tcPr>
                  <w:tcW w:w="751" w:type="dxa"/>
                  <w:tcBorders>
                    <w:tl2br w:val="nil"/>
                    <w:tr2bl w:val="nil"/>
                  </w:tcBorders>
                  <w:vAlign w:val="center"/>
                </w:tcPr>
                <w:p w14:paraId="71DB15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6~9</w:t>
                  </w:r>
                </w:p>
              </w:tc>
              <w:tc>
                <w:tcPr>
                  <w:tcW w:w="687" w:type="dxa"/>
                  <w:tcBorders>
                    <w:tl2br w:val="nil"/>
                    <w:tr2bl w:val="nil"/>
                  </w:tcBorders>
                  <w:vAlign w:val="center"/>
                </w:tcPr>
                <w:p w14:paraId="335C933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500</w:t>
                  </w:r>
                </w:p>
              </w:tc>
              <w:tc>
                <w:tcPr>
                  <w:tcW w:w="784" w:type="dxa"/>
                  <w:tcBorders>
                    <w:tl2br w:val="nil"/>
                    <w:tr2bl w:val="nil"/>
                  </w:tcBorders>
                  <w:vAlign w:val="center"/>
                </w:tcPr>
                <w:p w14:paraId="01888A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350</w:t>
                  </w:r>
                </w:p>
              </w:tc>
              <w:tc>
                <w:tcPr>
                  <w:tcW w:w="686" w:type="dxa"/>
                  <w:tcBorders>
                    <w:tl2br w:val="nil"/>
                    <w:tr2bl w:val="nil"/>
                  </w:tcBorders>
                  <w:vAlign w:val="center"/>
                </w:tcPr>
                <w:p w14:paraId="6E30BC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45</w:t>
                  </w:r>
                </w:p>
              </w:tc>
              <w:tc>
                <w:tcPr>
                  <w:tcW w:w="597" w:type="dxa"/>
                  <w:tcBorders>
                    <w:tl2br w:val="nil"/>
                    <w:tr2bl w:val="nil"/>
                  </w:tcBorders>
                  <w:vAlign w:val="center"/>
                </w:tcPr>
                <w:p w14:paraId="5EAADC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400</w:t>
                  </w:r>
                </w:p>
              </w:tc>
              <w:tc>
                <w:tcPr>
                  <w:tcW w:w="662" w:type="dxa"/>
                  <w:tcBorders>
                    <w:tl2br w:val="nil"/>
                    <w:tr2bl w:val="nil"/>
                  </w:tcBorders>
                  <w:vAlign w:val="center"/>
                </w:tcPr>
                <w:p w14:paraId="2C32E1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70</w:t>
                  </w:r>
                </w:p>
              </w:tc>
              <w:tc>
                <w:tcPr>
                  <w:tcW w:w="662" w:type="dxa"/>
                  <w:tcBorders>
                    <w:tl2br w:val="nil"/>
                    <w:tr2bl w:val="nil"/>
                  </w:tcBorders>
                  <w:vAlign w:val="center"/>
                </w:tcPr>
                <w:p w14:paraId="6A5C4B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8</w:t>
                  </w:r>
                </w:p>
              </w:tc>
              <w:tc>
                <w:tcPr>
                  <w:tcW w:w="662" w:type="dxa"/>
                  <w:tcBorders>
                    <w:tl2br w:val="nil"/>
                    <w:tr2bl w:val="nil"/>
                  </w:tcBorders>
                  <w:vAlign w:val="center"/>
                </w:tcPr>
                <w:p w14:paraId="572341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100</w:t>
                  </w:r>
                </w:p>
              </w:tc>
            </w:tr>
            <w:tr w14:paraId="41247A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2290" w:type="dxa"/>
                  <w:tcBorders>
                    <w:tl2br w:val="nil"/>
                    <w:tr2bl w:val="nil"/>
                  </w:tcBorders>
                  <w:vAlign w:val="center"/>
                </w:tcPr>
                <w:p w14:paraId="3D8970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本项目执行标准</w:t>
                  </w:r>
                </w:p>
              </w:tc>
              <w:tc>
                <w:tcPr>
                  <w:tcW w:w="751" w:type="dxa"/>
                  <w:tcBorders>
                    <w:tl2br w:val="nil"/>
                    <w:tr2bl w:val="nil"/>
                  </w:tcBorders>
                  <w:vAlign w:val="center"/>
                </w:tcPr>
                <w:p w14:paraId="732AD0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6~9</w:t>
                  </w:r>
                </w:p>
              </w:tc>
              <w:tc>
                <w:tcPr>
                  <w:tcW w:w="687" w:type="dxa"/>
                  <w:tcBorders>
                    <w:tl2br w:val="nil"/>
                    <w:tr2bl w:val="nil"/>
                  </w:tcBorders>
                  <w:vAlign w:val="center"/>
                </w:tcPr>
                <w:p w14:paraId="5CBDF21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500</w:t>
                  </w:r>
                </w:p>
              </w:tc>
              <w:tc>
                <w:tcPr>
                  <w:tcW w:w="784" w:type="dxa"/>
                  <w:tcBorders>
                    <w:tl2br w:val="nil"/>
                    <w:tr2bl w:val="nil"/>
                  </w:tcBorders>
                  <w:vAlign w:val="center"/>
                </w:tcPr>
                <w:p w14:paraId="7DFC31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300</w:t>
                  </w:r>
                </w:p>
              </w:tc>
              <w:tc>
                <w:tcPr>
                  <w:tcW w:w="686" w:type="dxa"/>
                  <w:tcBorders>
                    <w:tl2br w:val="nil"/>
                    <w:tr2bl w:val="nil"/>
                  </w:tcBorders>
                  <w:vAlign w:val="center"/>
                </w:tcPr>
                <w:p w14:paraId="4F15CE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45</w:t>
                  </w:r>
                </w:p>
              </w:tc>
              <w:tc>
                <w:tcPr>
                  <w:tcW w:w="597" w:type="dxa"/>
                  <w:tcBorders>
                    <w:tl2br w:val="nil"/>
                    <w:tr2bl w:val="nil"/>
                  </w:tcBorders>
                  <w:vAlign w:val="center"/>
                </w:tcPr>
                <w:p w14:paraId="12B275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400</w:t>
                  </w:r>
                </w:p>
              </w:tc>
              <w:tc>
                <w:tcPr>
                  <w:tcW w:w="662" w:type="dxa"/>
                  <w:tcBorders>
                    <w:tl2br w:val="nil"/>
                    <w:tr2bl w:val="nil"/>
                  </w:tcBorders>
                  <w:vAlign w:val="center"/>
                </w:tcPr>
                <w:p w14:paraId="3F8A33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70</w:t>
                  </w:r>
                </w:p>
              </w:tc>
              <w:tc>
                <w:tcPr>
                  <w:tcW w:w="662" w:type="dxa"/>
                  <w:tcBorders>
                    <w:tl2br w:val="nil"/>
                    <w:tr2bl w:val="nil"/>
                  </w:tcBorders>
                  <w:vAlign w:val="center"/>
                </w:tcPr>
                <w:p w14:paraId="66BE43D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8</w:t>
                  </w:r>
                </w:p>
              </w:tc>
              <w:tc>
                <w:tcPr>
                  <w:tcW w:w="662" w:type="dxa"/>
                  <w:tcBorders>
                    <w:tl2br w:val="nil"/>
                    <w:tr2bl w:val="nil"/>
                  </w:tcBorders>
                  <w:vAlign w:val="center"/>
                </w:tcPr>
                <w:p w14:paraId="219B65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100</w:t>
                  </w:r>
                </w:p>
              </w:tc>
            </w:tr>
          </w:tbl>
          <w:p w14:paraId="453A698B">
            <w:pPr>
              <w:pStyle w:val="41"/>
              <w:spacing w:before="120" w:beforeLines="50"/>
              <w:ind w:firstLine="0" w:firstLineChars="0"/>
              <w:rPr>
                <w:b/>
                <w:bCs w:val="0"/>
              </w:rPr>
            </w:pPr>
          </w:p>
          <w:p w14:paraId="4C8A7B6D">
            <w:pPr>
              <w:pStyle w:val="41"/>
              <w:spacing w:before="120" w:beforeLines="50"/>
              <w:ind w:firstLine="0" w:firstLineChars="0"/>
              <w:rPr>
                <w:b/>
                <w:bCs w:val="0"/>
              </w:rPr>
            </w:pPr>
            <w:r>
              <w:rPr>
                <w:b/>
                <w:bCs w:val="0"/>
              </w:rPr>
              <w:t>3、</w:t>
            </w:r>
            <w:r>
              <w:rPr>
                <w:rFonts w:hint="eastAsia"/>
                <w:b/>
                <w:bCs w:val="0"/>
              </w:rPr>
              <w:t>噪声</w:t>
            </w:r>
          </w:p>
          <w:p w14:paraId="77ADF237">
            <w:pPr>
              <w:pStyle w:val="41"/>
              <w:ind w:firstLine="480"/>
            </w:pPr>
            <w:r>
              <w:rPr>
                <w:rFonts w:hint="eastAsia"/>
                <w:bCs/>
                <w:color w:val="auto"/>
                <w:sz w:val="24"/>
                <w:highlight w:val="none"/>
              </w:rPr>
              <w:t>施工期噪声执行《建筑施工场界环境噪声排放标准》（GB12523-2011）中标准，</w:t>
            </w:r>
            <w:r>
              <w:t>运营期噪声执行《工业企业厂界环境噪声排放标准》（GB12348-2008）</w:t>
            </w:r>
            <w:r>
              <w:rPr>
                <w:rFonts w:hint="eastAsia"/>
              </w:rPr>
              <w:t>2</w:t>
            </w:r>
            <w:r>
              <w:t>类标准要求</w:t>
            </w:r>
            <w:r>
              <w:rPr>
                <w:rFonts w:hint="eastAsia"/>
              </w:rPr>
              <w:t>，其中南厂界执行4</w:t>
            </w:r>
            <w:r>
              <w:t>类标准要求。</w:t>
            </w:r>
          </w:p>
          <w:p w14:paraId="67321E37">
            <w:pPr>
              <w:pStyle w:val="43"/>
              <w:keepNext w:val="0"/>
              <w:keepLines w:val="0"/>
              <w:pageBreakBefore w:val="0"/>
              <w:widowControl w:val="0"/>
              <w:kinsoku/>
              <w:wordWrap/>
              <w:overflowPunct/>
              <w:topLinePunct w:val="0"/>
              <w:autoSpaceDE/>
              <w:autoSpaceDN/>
              <w:bidi w:val="0"/>
              <w:adjustRightInd w:val="0"/>
              <w:snapToGrid w:val="0"/>
              <w:spacing w:before="0" w:beforeLines="0"/>
              <w:textAlignment w:val="auto"/>
            </w:pPr>
            <w:r>
              <w:t>表3-</w:t>
            </w:r>
            <w:r>
              <w:rPr>
                <w:rFonts w:hint="eastAsia"/>
                <w:lang w:val="en-US" w:eastAsia="zh-CN"/>
              </w:rPr>
              <w:t>6</w:t>
            </w:r>
            <w:r>
              <w:t xml:space="preserve">   噪声排放标准   单位：dB（A）</w:t>
            </w:r>
          </w:p>
          <w:tbl>
            <w:tblPr>
              <w:tblStyle w:val="16"/>
              <w:tblW w:w="4998"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5"/>
              <w:gridCol w:w="1157"/>
              <w:gridCol w:w="1311"/>
              <w:gridCol w:w="1158"/>
              <w:gridCol w:w="1161"/>
            </w:tblGrid>
            <w:tr w14:paraId="28DAC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670" w:type="pct"/>
                  <w:gridSpan w:val="2"/>
                  <w:vMerge w:val="restart"/>
                  <w:tcBorders>
                    <w:tl2br w:val="nil"/>
                    <w:tr2bl w:val="nil"/>
                  </w:tcBorders>
                  <w:vAlign w:val="center"/>
                </w:tcPr>
                <w:p w14:paraId="08BE161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rPr>
                  </w:pPr>
                  <w:r>
                    <w:rPr>
                      <w:b/>
                      <w:bCs w:val="0"/>
                      <w:sz w:val="21"/>
                      <w:szCs w:val="21"/>
                    </w:rPr>
                    <w:t>执行标准</w:t>
                  </w:r>
                </w:p>
              </w:tc>
              <w:tc>
                <w:tcPr>
                  <w:tcW w:w="841" w:type="pct"/>
                  <w:vMerge w:val="restart"/>
                  <w:tcBorders>
                    <w:tl2br w:val="nil"/>
                    <w:tr2bl w:val="nil"/>
                  </w:tcBorders>
                  <w:vAlign w:val="center"/>
                </w:tcPr>
                <w:p w14:paraId="7F62890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rPr>
                  </w:pPr>
                  <w:r>
                    <w:rPr>
                      <w:rFonts w:hint="eastAsia"/>
                      <w:b/>
                      <w:bCs w:val="0"/>
                      <w:sz w:val="21"/>
                      <w:szCs w:val="21"/>
                    </w:rPr>
                    <w:t>点位</w:t>
                  </w:r>
                </w:p>
              </w:tc>
              <w:tc>
                <w:tcPr>
                  <w:tcW w:w="1488" w:type="pct"/>
                  <w:gridSpan w:val="2"/>
                  <w:tcBorders>
                    <w:tl2br w:val="nil"/>
                    <w:tr2bl w:val="nil"/>
                  </w:tcBorders>
                  <w:vAlign w:val="center"/>
                </w:tcPr>
                <w:p w14:paraId="0230E55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rPr>
                  </w:pPr>
                  <w:r>
                    <w:rPr>
                      <w:b/>
                      <w:bCs w:val="0"/>
                      <w:sz w:val="21"/>
                      <w:szCs w:val="21"/>
                    </w:rPr>
                    <w:t>标准限值dB(A)</w:t>
                  </w:r>
                </w:p>
              </w:tc>
            </w:tr>
            <w:tr w14:paraId="56BCB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670" w:type="pct"/>
                  <w:gridSpan w:val="2"/>
                  <w:vMerge w:val="continue"/>
                  <w:tcBorders>
                    <w:tl2br w:val="nil"/>
                    <w:tr2bl w:val="nil"/>
                  </w:tcBorders>
                  <w:vAlign w:val="center"/>
                </w:tcPr>
                <w:p w14:paraId="6B63789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color w:val="auto"/>
                      <w:sz w:val="21"/>
                      <w:szCs w:val="21"/>
                    </w:rPr>
                  </w:pPr>
                </w:p>
              </w:tc>
              <w:tc>
                <w:tcPr>
                  <w:tcW w:w="841" w:type="pct"/>
                  <w:vMerge w:val="continue"/>
                  <w:tcBorders>
                    <w:tl2br w:val="nil"/>
                    <w:tr2bl w:val="nil"/>
                  </w:tcBorders>
                  <w:vAlign w:val="center"/>
                </w:tcPr>
                <w:p w14:paraId="621556F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color w:val="auto"/>
                      <w:sz w:val="21"/>
                      <w:szCs w:val="21"/>
                    </w:rPr>
                  </w:pPr>
                </w:p>
              </w:tc>
              <w:tc>
                <w:tcPr>
                  <w:tcW w:w="743" w:type="pct"/>
                  <w:tcBorders>
                    <w:tl2br w:val="nil"/>
                    <w:tr2bl w:val="nil"/>
                  </w:tcBorders>
                  <w:vAlign w:val="center"/>
                </w:tcPr>
                <w:p w14:paraId="67B76C7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color w:val="auto"/>
                      <w:sz w:val="21"/>
                      <w:szCs w:val="21"/>
                    </w:rPr>
                  </w:pPr>
                  <w:r>
                    <w:rPr>
                      <w:b/>
                      <w:bCs w:val="0"/>
                      <w:color w:val="auto"/>
                      <w:sz w:val="21"/>
                      <w:szCs w:val="21"/>
                    </w:rPr>
                    <w:t>昼间</w:t>
                  </w:r>
                </w:p>
              </w:tc>
              <w:tc>
                <w:tcPr>
                  <w:tcW w:w="744" w:type="pct"/>
                  <w:tcBorders>
                    <w:tl2br w:val="nil"/>
                    <w:tr2bl w:val="nil"/>
                  </w:tcBorders>
                  <w:vAlign w:val="center"/>
                </w:tcPr>
                <w:p w14:paraId="02C83C4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color w:val="auto"/>
                      <w:sz w:val="21"/>
                      <w:szCs w:val="21"/>
                    </w:rPr>
                  </w:pPr>
                  <w:r>
                    <w:rPr>
                      <w:b/>
                      <w:bCs w:val="0"/>
                      <w:color w:val="auto"/>
                      <w:sz w:val="21"/>
                      <w:szCs w:val="21"/>
                    </w:rPr>
                    <w:t>夜间</w:t>
                  </w:r>
                </w:p>
              </w:tc>
            </w:tr>
            <w:tr w14:paraId="04B73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670" w:type="pct"/>
                  <w:gridSpan w:val="2"/>
                  <w:tcBorders>
                    <w:tl2br w:val="nil"/>
                    <w:tr2bl w:val="nil"/>
                  </w:tcBorders>
                  <w:vAlign w:val="center"/>
                </w:tcPr>
                <w:p w14:paraId="0C6A513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rPr>
                  </w:pPr>
                  <w:r>
                    <w:rPr>
                      <w:rFonts w:ascii="Times New Roman" w:hAnsi="Times New Roman" w:eastAsia="宋体" w:cs="Times New Roman"/>
                      <w:color w:val="auto"/>
                      <w:sz w:val="21"/>
                      <w:szCs w:val="21"/>
                    </w:rPr>
                    <w:t>《建筑施工场界环境噪声排放标准》（GB12523-2011）</w:t>
                  </w:r>
                </w:p>
              </w:tc>
              <w:tc>
                <w:tcPr>
                  <w:tcW w:w="841" w:type="pct"/>
                  <w:tcBorders>
                    <w:tl2br w:val="nil"/>
                    <w:tr2bl w:val="nil"/>
                  </w:tcBorders>
                  <w:vAlign w:val="center"/>
                </w:tcPr>
                <w:p w14:paraId="3D9318F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lang w:val="en-US" w:eastAsia="zh-CN"/>
                    </w:rPr>
                  </w:pPr>
                  <w:r>
                    <w:rPr>
                      <w:rFonts w:hint="eastAsia"/>
                      <w:color w:val="auto"/>
                      <w:sz w:val="21"/>
                      <w:szCs w:val="21"/>
                      <w:lang w:val="en-US" w:eastAsia="zh-CN"/>
                    </w:rPr>
                    <w:t>厂界</w:t>
                  </w:r>
                </w:p>
              </w:tc>
              <w:tc>
                <w:tcPr>
                  <w:tcW w:w="743" w:type="pct"/>
                  <w:tcBorders>
                    <w:tl2br w:val="nil"/>
                    <w:tr2bl w:val="nil"/>
                  </w:tcBorders>
                  <w:vAlign w:val="center"/>
                </w:tcPr>
                <w:p w14:paraId="7E69CA6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lang w:val="en-US" w:eastAsia="zh-CN"/>
                    </w:rPr>
                  </w:pPr>
                  <w:r>
                    <w:rPr>
                      <w:rFonts w:hint="eastAsia"/>
                      <w:color w:val="auto"/>
                      <w:sz w:val="21"/>
                      <w:szCs w:val="21"/>
                      <w:lang w:val="en-US" w:eastAsia="zh-CN"/>
                    </w:rPr>
                    <w:t>70</w:t>
                  </w:r>
                </w:p>
              </w:tc>
              <w:tc>
                <w:tcPr>
                  <w:tcW w:w="744" w:type="pct"/>
                  <w:tcBorders>
                    <w:tl2br w:val="nil"/>
                    <w:tr2bl w:val="nil"/>
                  </w:tcBorders>
                  <w:vAlign w:val="center"/>
                </w:tcPr>
                <w:p w14:paraId="3B2C0A4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lang w:val="en-US" w:eastAsia="zh-CN"/>
                    </w:rPr>
                  </w:pPr>
                  <w:r>
                    <w:rPr>
                      <w:rFonts w:hint="eastAsia"/>
                      <w:color w:val="auto"/>
                      <w:sz w:val="21"/>
                      <w:szCs w:val="21"/>
                      <w:lang w:val="en-US" w:eastAsia="zh-CN"/>
                    </w:rPr>
                    <w:t>55</w:t>
                  </w:r>
                </w:p>
              </w:tc>
            </w:tr>
            <w:tr w14:paraId="64FD6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928" w:type="pct"/>
                  <w:vMerge w:val="restart"/>
                  <w:tcBorders>
                    <w:tl2br w:val="nil"/>
                    <w:tr2bl w:val="nil"/>
                  </w:tcBorders>
                  <w:vAlign w:val="center"/>
                </w:tcPr>
                <w:p w14:paraId="1FDC651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sz w:val="21"/>
                      <w:szCs w:val="21"/>
                    </w:rPr>
                    <w:t>《工业企业</w:t>
                  </w:r>
                  <w:r>
                    <w:rPr>
                      <w:rFonts w:hint="eastAsia"/>
                      <w:sz w:val="21"/>
                      <w:szCs w:val="21"/>
                    </w:rPr>
                    <w:t>厂界</w:t>
                  </w:r>
                  <w:r>
                    <w:rPr>
                      <w:sz w:val="21"/>
                      <w:szCs w:val="21"/>
                    </w:rPr>
                    <w:t>环境噪声排放标准》（GB12348-2008）</w:t>
                  </w:r>
                </w:p>
              </w:tc>
              <w:tc>
                <w:tcPr>
                  <w:tcW w:w="742" w:type="pct"/>
                  <w:tcBorders>
                    <w:tl2br w:val="nil"/>
                    <w:tr2bl w:val="nil"/>
                  </w:tcBorders>
                  <w:vAlign w:val="center"/>
                </w:tcPr>
                <w:p w14:paraId="651F10E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rFonts w:hint="eastAsia"/>
                      <w:sz w:val="21"/>
                      <w:szCs w:val="21"/>
                    </w:rPr>
                    <w:t>2</w:t>
                  </w:r>
                  <w:r>
                    <w:rPr>
                      <w:sz w:val="21"/>
                      <w:szCs w:val="21"/>
                    </w:rPr>
                    <w:t>类</w:t>
                  </w:r>
                </w:p>
              </w:tc>
              <w:tc>
                <w:tcPr>
                  <w:tcW w:w="841" w:type="pct"/>
                  <w:tcBorders>
                    <w:tl2br w:val="nil"/>
                    <w:tr2bl w:val="nil"/>
                  </w:tcBorders>
                  <w:vAlign w:val="center"/>
                </w:tcPr>
                <w:p w14:paraId="73D836D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rFonts w:hint="eastAsia"/>
                      <w:sz w:val="21"/>
                      <w:szCs w:val="21"/>
                    </w:rPr>
                    <w:t>东、西、北</w:t>
                  </w:r>
                </w:p>
              </w:tc>
              <w:tc>
                <w:tcPr>
                  <w:tcW w:w="743" w:type="pct"/>
                  <w:tcBorders>
                    <w:tl2br w:val="nil"/>
                    <w:tr2bl w:val="nil"/>
                  </w:tcBorders>
                  <w:vAlign w:val="center"/>
                </w:tcPr>
                <w:p w14:paraId="48BC0C6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rFonts w:hint="eastAsia"/>
                      <w:sz w:val="21"/>
                      <w:szCs w:val="21"/>
                    </w:rPr>
                    <w:t>60</w:t>
                  </w:r>
                </w:p>
              </w:tc>
              <w:tc>
                <w:tcPr>
                  <w:tcW w:w="744" w:type="pct"/>
                  <w:tcBorders>
                    <w:tl2br w:val="nil"/>
                    <w:tr2bl w:val="nil"/>
                  </w:tcBorders>
                  <w:vAlign w:val="center"/>
                </w:tcPr>
                <w:p w14:paraId="7133A2E7">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rFonts w:hint="eastAsia"/>
                      <w:sz w:val="21"/>
                      <w:szCs w:val="21"/>
                    </w:rPr>
                    <w:t>50</w:t>
                  </w:r>
                </w:p>
              </w:tc>
            </w:tr>
            <w:tr w14:paraId="79416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928" w:type="pct"/>
                  <w:vMerge w:val="continue"/>
                  <w:tcBorders>
                    <w:tl2br w:val="nil"/>
                    <w:tr2bl w:val="nil"/>
                  </w:tcBorders>
                  <w:vAlign w:val="center"/>
                </w:tcPr>
                <w:p w14:paraId="17268A6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p>
              </w:tc>
              <w:tc>
                <w:tcPr>
                  <w:tcW w:w="742" w:type="pct"/>
                  <w:tcBorders>
                    <w:tl2br w:val="nil"/>
                    <w:tr2bl w:val="nil"/>
                  </w:tcBorders>
                  <w:vAlign w:val="center"/>
                </w:tcPr>
                <w:p w14:paraId="3C98AEC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rFonts w:hint="eastAsia"/>
                      <w:sz w:val="21"/>
                      <w:szCs w:val="21"/>
                    </w:rPr>
                    <w:t>4类</w:t>
                  </w:r>
                </w:p>
              </w:tc>
              <w:tc>
                <w:tcPr>
                  <w:tcW w:w="841" w:type="pct"/>
                  <w:tcBorders>
                    <w:tl2br w:val="nil"/>
                    <w:tr2bl w:val="nil"/>
                  </w:tcBorders>
                  <w:vAlign w:val="center"/>
                </w:tcPr>
                <w:p w14:paraId="4875802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rFonts w:hint="eastAsia"/>
                      <w:sz w:val="21"/>
                      <w:szCs w:val="21"/>
                    </w:rPr>
                    <w:t>南</w:t>
                  </w:r>
                </w:p>
              </w:tc>
              <w:tc>
                <w:tcPr>
                  <w:tcW w:w="743" w:type="pct"/>
                  <w:tcBorders>
                    <w:tl2br w:val="nil"/>
                    <w:tr2bl w:val="nil"/>
                  </w:tcBorders>
                  <w:vAlign w:val="center"/>
                </w:tcPr>
                <w:p w14:paraId="5EC12D2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rFonts w:hint="eastAsia"/>
                      <w:sz w:val="21"/>
                      <w:szCs w:val="21"/>
                    </w:rPr>
                    <w:t>70</w:t>
                  </w:r>
                </w:p>
              </w:tc>
              <w:tc>
                <w:tcPr>
                  <w:tcW w:w="744" w:type="pct"/>
                  <w:tcBorders>
                    <w:tl2br w:val="nil"/>
                    <w:tr2bl w:val="nil"/>
                  </w:tcBorders>
                  <w:vAlign w:val="center"/>
                </w:tcPr>
                <w:p w14:paraId="33EF2A9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rFonts w:hint="eastAsia"/>
                      <w:sz w:val="21"/>
                      <w:szCs w:val="21"/>
                    </w:rPr>
                    <w:t>55</w:t>
                  </w:r>
                </w:p>
              </w:tc>
            </w:tr>
          </w:tbl>
          <w:p w14:paraId="6807D0D6">
            <w:pPr>
              <w:pStyle w:val="41"/>
              <w:spacing w:before="120" w:beforeLines="50"/>
              <w:ind w:firstLine="0" w:firstLineChars="0"/>
              <w:rPr>
                <w:b/>
                <w:bCs w:val="0"/>
              </w:rPr>
            </w:pPr>
            <w:r>
              <w:rPr>
                <w:b/>
                <w:bCs w:val="0"/>
              </w:rPr>
              <w:t>4、</w:t>
            </w:r>
            <w:r>
              <w:rPr>
                <w:rFonts w:hint="eastAsia"/>
                <w:b/>
                <w:bCs w:val="0"/>
              </w:rPr>
              <w:t>固体废物</w:t>
            </w:r>
          </w:p>
          <w:p w14:paraId="5830C94A">
            <w:r>
              <w:t>危险废物执行《危险废物贮存污染控制标准》（GB18597-2023）。</w:t>
            </w:r>
          </w:p>
        </w:tc>
      </w:tr>
      <w:tr w14:paraId="31B1F7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4" w:type="pct"/>
            <w:noWrap w:val="0"/>
            <w:vAlign w:val="center"/>
          </w:tcPr>
          <w:p w14:paraId="70115962">
            <w:pPr>
              <w:ind w:firstLine="0" w:firstLineChars="0"/>
              <w:jc w:val="center"/>
              <w:rPr>
                <w:color w:val="auto"/>
                <w:kern w:val="0"/>
              </w:rPr>
            </w:pPr>
            <w:r>
              <w:rPr>
                <w:color w:val="auto"/>
                <w:kern w:val="0"/>
              </w:rPr>
              <w:t>总量</w:t>
            </w:r>
          </w:p>
          <w:p w14:paraId="51C68C2C">
            <w:pPr>
              <w:ind w:firstLine="0" w:firstLineChars="0"/>
              <w:jc w:val="center"/>
              <w:rPr>
                <w:color w:val="auto"/>
                <w:kern w:val="0"/>
              </w:rPr>
            </w:pPr>
            <w:r>
              <w:rPr>
                <w:color w:val="auto"/>
                <w:kern w:val="0"/>
              </w:rPr>
              <w:t>控制</w:t>
            </w:r>
          </w:p>
          <w:p w14:paraId="2C454FE8">
            <w:pPr>
              <w:ind w:firstLine="0" w:firstLineChars="0"/>
              <w:jc w:val="center"/>
              <w:rPr>
                <w:color w:val="auto"/>
                <w:kern w:val="0"/>
              </w:rPr>
            </w:pPr>
            <w:r>
              <w:rPr>
                <w:color w:val="auto"/>
                <w:kern w:val="0"/>
              </w:rPr>
              <w:t>指标</w:t>
            </w:r>
          </w:p>
        </w:tc>
        <w:tc>
          <w:tcPr>
            <w:tcW w:w="4425" w:type="pct"/>
            <w:noWrap w:val="0"/>
            <w:vAlign w:val="center"/>
          </w:tcPr>
          <w:p w14:paraId="383442A0">
            <w:pPr>
              <w:pStyle w:val="41"/>
              <w:ind w:firstLine="480"/>
              <w:rPr>
                <w:rFonts w:hint="eastAsia"/>
              </w:rPr>
            </w:pPr>
          </w:p>
          <w:p w14:paraId="2F72BEA5">
            <w:pPr>
              <w:pStyle w:val="41"/>
              <w:ind w:firstLine="480"/>
            </w:pPr>
            <w:r>
              <w:rPr>
                <w:rFonts w:hint="eastAsia"/>
              </w:rPr>
              <w:t>根据《国家环境保护“十四五”规划基本思路》：根据质量改善需求，继续实施全国NOx、VOCs、COD</w:t>
            </w:r>
            <w:r>
              <w:rPr>
                <w:rFonts w:hint="eastAsia"/>
                <w:lang w:val="en-US" w:eastAsia="zh-CN"/>
              </w:rPr>
              <w:t>和</w:t>
            </w:r>
            <w:r>
              <w:rPr>
                <w:rFonts w:hint="eastAsia"/>
              </w:rPr>
              <w:t>氨氮排放总量控制指标，进一步完善总量控制指标体系。</w:t>
            </w:r>
          </w:p>
          <w:p w14:paraId="307FAF54">
            <w:pPr>
              <w:bidi w:val="0"/>
              <w:rPr>
                <w:color w:val="auto"/>
                <w:highlight w:val="none"/>
              </w:rPr>
            </w:pPr>
            <w:r>
              <w:rPr>
                <w:color w:val="auto"/>
                <w:highlight w:val="none"/>
              </w:rPr>
              <w:t>结合本项目的排污情况，本次评价建议总量控制指标为：VOC</w:t>
            </w:r>
            <w:r>
              <w:rPr>
                <w:color w:val="auto"/>
                <w:highlight w:val="none"/>
                <w:vertAlign w:val="subscript"/>
              </w:rPr>
              <w:t>s</w:t>
            </w:r>
            <w:r>
              <w:rPr>
                <w:color w:val="auto"/>
                <w:highlight w:val="none"/>
              </w:rPr>
              <w:t>：</w:t>
            </w:r>
            <w:r>
              <w:rPr>
                <w:rFonts w:hint="eastAsia"/>
                <w:color w:val="auto"/>
                <w:szCs w:val="21"/>
                <w:highlight w:val="none"/>
              </w:rPr>
              <w:t>0.0</w:t>
            </w:r>
            <w:r>
              <w:rPr>
                <w:rFonts w:hint="eastAsia"/>
                <w:color w:val="auto"/>
                <w:szCs w:val="21"/>
                <w:highlight w:val="none"/>
                <w:lang w:val="en-US" w:eastAsia="zh-CN"/>
              </w:rPr>
              <w:t>184</w:t>
            </w:r>
            <w:r>
              <w:rPr>
                <w:color w:val="auto"/>
                <w:highlight w:val="none"/>
              </w:rPr>
              <w:t>t/a、</w:t>
            </w:r>
            <w:r>
              <w:rPr>
                <w:rFonts w:hint="eastAsia"/>
                <w:color w:val="auto"/>
                <w:highlight w:val="none"/>
              </w:rPr>
              <w:t>NOx</w:t>
            </w:r>
            <w:r>
              <w:rPr>
                <w:rFonts w:hint="eastAsia"/>
                <w:color w:val="auto"/>
                <w:highlight w:val="none"/>
                <w:lang w:eastAsia="zh-CN"/>
              </w:rPr>
              <w:t>：</w:t>
            </w:r>
            <w:r>
              <w:rPr>
                <w:rFonts w:hint="eastAsia"/>
                <w:color w:val="auto"/>
                <w:highlight w:val="none"/>
                <w:lang w:val="en-US" w:eastAsia="zh-CN"/>
              </w:rPr>
              <w:t>0.0014</w:t>
            </w:r>
            <w:r>
              <w:rPr>
                <w:rFonts w:hint="eastAsia"/>
                <w:color w:val="auto"/>
                <w:highlight w:val="none"/>
              </w:rPr>
              <w:t>t</w:t>
            </w:r>
            <w:r>
              <w:rPr>
                <w:color w:val="auto"/>
                <w:highlight w:val="none"/>
              </w:rPr>
              <w:t>/a</w:t>
            </w:r>
            <w:r>
              <w:rPr>
                <w:rFonts w:hint="eastAsia"/>
                <w:color w:val="auto"/>
                <w:highlight w:val="none"/>
                <w:lang w:val="en-US" w:eastAsia="zh-CN"/>
              </w:rPr>
              <w:t>;</w:t>
            </w:r>
            <w:r>
              <w:rPr>
                <w:color w:val="auto"/>
                <w:highlight w:val="none"/>
              </w:rPr>
              <w:t>COD：</w:t>
            </w:r>
            <w:r>
              <w:rPr>
                <w:rFonts w:hint="eastAsia"/>
                <w:color w:val="auto"/>
                <w:highlight w:val="none"/>
                <w:lang w:val="en-US" w:eastAsia="zh-CN"/>
              </w:rPr>
              <w:t>19.03</w:t>
            </w:r>
            <w:r>
              <w:rPr>
                <w:color w:val="auto"/>
                <w:highlight w:val="none"/>
              </w:rPr>
              <w:t>t/a、NH</w:t>
            </w:r>
            <w:r>
              <w:rPr>
                <w:color w:val="auto"/>
                <w:highlight w:val="none"/>
                <w:vertAlign w:val="subscript"/>
              </w:rPr>
              <w:t>3</w:t>
            </w:r>
            <w:r>
              <w:rPr>
                <w:color w:val="auto"/>
                <w:highlight w:val="none"/>
              </w:rPr>
              <w:t>-N：</w:t>
            </w:r>
            <w:r>
              <w:rPr>
                <w:rFonts w:hint="eastAsia"/>
                <w:color w:val="auto"/>
                <w:highlight w:val="none"/>
                <w:lang w:val="en-US" w:eastAsia="zh-CN"/>
              </w:rPr>
              <w:t>1.71</w:t>
            </w:r>
            <w:r>
              <w:rPr>
                <w:rFonts w:hint="eastAsia"/>
                <w:color w:val="auto"/>
                <w:highlight w:val="none"/>
              </w:rPr>
              <w:t>t</w:t>
            </w:r>
            <w:r>
              <w:rPr>
                <w:color w:val="auto"/>
                <w:highlight w:val="none"/>
              </w:rPr>
              <w:t>/a。</w:t>
            </w:r>
          </w:p>
          <w:p w14:paraId="549ACDC2">
            <w:pPr>
              <w:bidi w:val="0"/>
              <w:rPr>
                <w:color w:val="2C27FB"/>
                <w:highlight w:val="none"/>
              </w:rPr>
            </w:pPr>
          </w:p>
          <w:p w14:paraId="39A5716F">
            <w:pPr>
              <w:bidi w:val="0"/>
              <w:rPr>
                <w:color w:val="2C27FB"/>
                <w:highlight w:val="none"/>
              </w:rPr>
            </w:pPr>
          </w:p>
          <w:p w14:paraId="5C7FB98C">
            <w:pPr>
              <w:bidi w:val="0"/>
              <w:rPr>
                <w:color w:val="2C27FB"/>
                <w:highlight w:val="none"/>
              </w:rPr>
            </w:pPr>
          </w:p>
          <w:p w14:paraId="41D75413">
            <w:pPr>
              <w:bidi w:val="0"/>
              <w:rPr>
                <w:color w:val="2C27FB"/>
                <w:highlight w:val="none"/>
              </w:rPr>
            </w:pPr>
          </w:p>
          <w:p w14:paraId="7944EB75">
            <w:pPr>
              <w:bidi w:val="0"/>
              <w:rPr>
                <w:color w:val="2C27FB"/>
                <w:highlight w:val="none"/>
              </w:rPr>
            </w:pPr>
          </w:p>
          <w:p w14:paraId="179FCF95">
            <w:pPr>
              <w:bidi w:val="0"/>
              <w:rPr>
                <w:color w:val="2C27FB"/>
                <w:highlight w:val="none"/>
              </w:rPr>
            </w:pPr>
          </w:p>
          <w:p w14:paraId="41F7ABA7">
            <w:pPr>
              <w:bidi w:val="0"/>
              <w:rPr>
                <w:color w:val="2C27FB"/>
                <w:highlight w:val="none"/>
              </w:rPr>
            </w:pPr>
          </w:p>
          <w:p w14:paraId="22433999">
            <w:pPr>
              <w:bidi w:val="0"/>
              <w:ind w:left="0" w:leftChars="0" w:firstLine="0" w:firstLineChars="0"/>
              <w:rPr>
                <w:rFonts w:hint="default"/>
                <w:color w:val="auto"/>
                <w:lang w:val="en-US" w:eastAsia="zh-CN"/>
              </w:rPr>
            </w:pPr>
          </w:p>
        </w:tc>
      </w:tr>
    </w:tbl>
    <w:p w14:paraId="3B1F0606">
      <w:pPr>
        <w:pStyle w:val="14"/>
        <w:rPr>
          <w:snapToGrid w:val="0"/>
          <w:color w:val="auto"/>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7BBA8CAE">
      <w:pPr>
        <w:pStyle w:val="14"/>
        <w:ind w:firstLine="600"/>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四、主要环境影响和保护措施</w:t>
      </w:r>
    </w:p>
    <w:tbl>
      <w:tblPr>
        <w:tblStyle w:val="16"/>
        <w:tblW w:w="508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3"/>
        <w:gridCol w:w="8578"/>
      </w:tblGrid>
      <w:tr w14:paraId="21672D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3" w:hRule="atLeast"/>
          <w:jc w:val="center"/>
        </w:trPr>
        <w:tc>
          <w:tcPr>
            <w:tcW w:w="307" w:type="pct"/>
            <w:noWrap w:val="0"/>
            <w:tcMar>
              <w:left w:w="28" w:type="dxa"/>
              <w:right w:w="28" w:type="dxa"/>
            </w:tcMar>
            <w:vAlign w:val="center"/>
          </w:tcPr>
          <w:p w14:paraId="2E26DFC5">
            <w:pPr>
              <w:pStyle w:val="14"/>
              <w:spacing w:before="0" w:beforeAutospacing="0" w:after="0" w:afterAutospacing="0"/>
              <w:ind w:firstLine="0" w:firstLineChars="0"/>
              <w:jc w:val="center"/>
              <w:rPr>
                <w:color w:val="auto"/>
                <w:kern w:val="2"/>
              </w:rPr>
            </w:pPr>
            <w:r>
              <w:rPr>
                <w:color w:val="auto"/>
                <w:kern w:val="2"/>
              </w:rPr>
              <w:t>施工期环境保护措施</w:t>
            </w:r>
          </w:p>
        </w:tc>
        <w:tc>
          <w:tcPr>
            <w:tcW w:w="4692" w:type="pct"/>
            <w:noWrap w:val="0"/>
            <w:vAlign w:val="center"/>
          </w:tcPr>
          <w:p w14:paraId="6D1006E8">
            <w:pPr>
              <w:spacing w:line="360" w:lineRule="auto"/>
              <w:ind w:firstLine="482"/>
              <w:rPr>
                <w:rFonts w:hint="eastAsia"/>
                <w:color w:val="auto"/>
                <w:kern w:val="0"/>
                <w:sz w:val="24"/>
                <w:highlight w:val="none"/>
              </w:rPr>
            </w:pPr>
            <w:r>
              <w:rPr>
                <w:rFonts w:hint="eastAsia"/>
                <w:color w:val="auto"/>
                <w:kern w:val="0"/>
                <w:sz w:val="24"/>
                <w:highlight w:val="none"/>
              </w:rPr>
              <w:t>施工期产污主要为施工扬尘、机械废气、装饰废气、施工废水、设备噪声、建筑垃圾、弃土、废包装材料及施工人员产生的生活污水、生活垃圾。</w:t>
            </w:r>
          </w:p>
          <w:p w14:paraId="1AC7731B">
            <w:pPr>
              <w:spacing w:line="360" w:lineRule="auto"/>
              <w:ind w:firstLine="482"/>
              <w:rPr>
                <w:rFonts w:hint="eastAsia"/>
                <w:b/>
                <w:color w:val="auto"/>
                <w:kern w:val="0"/>
                <w:sz w:val="24"/>
                <w:highlight w:val="none"/>
              </w:rPr>
            </w:pPr>
            <w:r>
              <w:rPr>
                <w:rFonts w:hint="eastAsia"/>
                <w:b/>
                <w:color w:val="auto"/>
                <w:kern w:val="0"/>
                <w:sz w:val="24"/>
                <w:highlight w:val="none"/>
              </w:rPr>
              <w:t>1、废气</w:t>
            </w:r>
          </w:p>
          <w:p w14:paraId="409D8051">
            <w:pPr>
              <w:spacing w:line="360" w:lineRule="auto"/>
              <w:ind w:firstLine="482"/>
              <w:rPr>
                <w:rFonts w:hint="eastAsia"/>
                <w:color w:val="auto"/>
                <w:kern w:val="0"/>
                <w:sz w:val="24"/>
                <w:highlight w:val="none"/>
              </w:rPr>
            </w:pPr>
            <w:r>
              <w:rPr>
                <w:rFonts w:hint="eastAsia"/>
                <w:color w:val="auto"/>
                <w:kern w:val="0"/>
                <w:sz w:val="24"/>
                <w:highlight w:val="none"/>
              </w:rPr>
              <w:t>①施工扬尘</w:t>
            </w:r>
          </w:p>
          <w:p w14:paraId="0A0EB588">
            <w:pPr>
              <w:spacing w:line="360" w:lineRule="auto"/>
              <w:ind w:firstLine="482"/>
              <w:rPr>
                <w:rFonts w:hint="eastAsia"/>
                <w:color w:val="auto"/>
                <w:kern w:val="0"/>
                <w:sz w:val="24"/>
                <w:highlight w:val="none"/>
              </w:rPr>
            </w:pPr>
            <w:r>
              <w:rPr>
                <w:rFonts w:hint="eastAsia"/>
                <w:color w:val="auto"/>
                <w:kern w:val="0"/>
                <w:sz w:val="24"/>
                <w:highlight w:val="none"/>
              </w:rPr>
              <w:t>针对施工过程中扬尘等，建议建设单位、施工单位采取以下防治措施：</w:t>
            </w:r>
          </w:p>
          <w:p w14:paraId="541EE547">
            <w:pPr>
              <w:spacing w:line="360" w:lineRule="auto"/>
              <w:ind w:firstLine="482"/>
              <w:rPr>
                <w:rFonts w:hint="eastAsia"/>
                <w:color w:val="auto"/>
                <w:kern w:val="0"/>
                <w:sz w:val="24"/>
                <w:highlight w:val="none"/>
              </w:rPr>
            </w:pPr>
            <w:r>
              <w:rPr>
                <w:rFonts w:hint="eastAsia"/>
                <w:color w:val="auto"/>
                <w:kern w:val="0"/>
                <w:sz w:val="24"/>
                <w:highlight w:val="none"/>
              </w:rPr>
              <w:t>a.在土方挖掘、装卸、运输等易产尘的施工现场、施工道路、临时堆场等场所定期洒水，采用湿法作业；对于易产尘的细颗粒材料，应严密遮盖，以减少二次扬尘产生。</w:t>
            </w:r>
          </w:p>
          <w:p w14:paraId="3125E582">
            <w:pPr>
              <w:spacing w:line="360" w:lineRule="auto"/>
              <w:ind w:firstLine="482"/>
              <w:rPr>
                <w:rFonts w:hint="eastAsia"/>
                <w:color w:val="auto"/>
                <w:kern w:val="0"/>
                <w:sz w:val="24"/>
                <w:highlight w:val="none"/>
              </w:rPr>
            </w:pPr>
            <w:r>
              <w:rPr>
                <w:rFonts w:hint="eastAsia"/>
                <w:color w:val="auto"/>
                <w:kern w:val="0"/>
                <w:sz w:val="24"/>
                <w:highlight w:val="none"/>
              </w:rPr>
              <w:t>b.及时清运建筑垃圾等，建筑垃圾、弃土、施工建筑材料运输车辆要求完好，不宜装载过满，且需用苫布遮盖。</w:t>
            </w:r>
          </w:p>
          <w:p w14:paraId="42357B75">
            <w:pPr>
              <w:spacing w:line="360" w:lineRule="auto"/>
              <w:ind w:firstLine="482"/>
              <w:rPr>
                <w:rFonts w:hint="eastAsia"/>
                <w:color w:val="auto"/>
                <w:kern w:val="0"/>
                <w:sz w:val="24"/>
                <w:highlight w:val="none"/>
              </w:rPr>
            </w:pPr>
            <w:r>
              <w:rPr>
                <w:rFonts w:hint="eastAsia"/>
                <w:color w:val="auto"/>
                <w:kern w:val="0"/>
                <w:sz w:val="24"/>
                <w:highlight w:val="none"/>
              </w:rPr>
              <w:t>c.对运输过程中散落在路面的渣土要及时清扫，防止道路上积尘量过大，以减少运行过程的扬尘。</w:t>
            </w:r>
          </w:p>
          <w:p w14:paraId="18A52C5E">
            <w:pPr>
              <w:spacing w:line="360" w:lineRule="auto"/>
              <w:ind w:firstLine="482"/>
              <w:rPr>
                <w:rFonts w:hint="eastAsia"/>
                <w:color w:val="auto"/>
                <w:kern w:val="0"/>
                <w:sz w:val="24"/>
                <w:highlight w:val="none"/>
              </w:rPr>
            </w:pPr>
            <w:r>
              <w:rPr>
                <w:rFonts w:hint="eastAsia"/>
                <w:color w:val="auto"/>
                <w:kern w:val="0"/>
                <w:sz w:val="24"/>
                <w:highlight w:val="none"/>
              </w:rPr>
              <w:t>d.严格施工工地扬尘监管，在工地公示具体防治措施及负责人信息，防治扬尘污染费用纳入工程造价。全面落实</w:t>
            </w:r>
            <w:r>
              <w:rPr>
                <w:rFonts w:hint="eastAsia"/>
                <w:color w:val="auto"/>
                <w:kern w:val="0"/>
                <w:sz w:val="24"/>
                <w:highlight w:val="none"/>
                <w:lang w:eastAsia="zh-CN"/>
              </w:rPr>
              <w:t>《</w:t>
            </w:r>
            <w:r>
              <w:rPr>
                <w:rFonts w:hint="eastAsia"/>
                <w:color w:val="auto"/>
                <w:kern w:val="0"/>
                <w:sz w:val="24"/>
                <w:highlight w:val="none"/>
              </w:rPr>
              <w:t>沣东新城大气污染治理专项行动方案（2023-2027年）</w:t>
            </w:r>
            <w:r>
              <w:rPr>
                <w:rFonts w:hint="eastAsia"/>
                <w:color w:val="auto"/>
                <w:kern w:val="0"/>
                <w:sz w:val="24"/>
                <w:highlight w:val="none"/>
                <w:lang w:eastAsia="zh-CN"/>
              </w:rPr>
              <w:t>》</w:t>
            </w:r>
            <w:r>
              <w:rPr>
                <w:rFonts w:hint="eastAsia"/>
                <w:color w:val="auto"/>
                <w:kern w:val="0"/>
                <w:sz w:val="24"/>
                <w:highlight w:val="none"/>
                <w:lang w:val="en-US" w:eastAsia="zh-CN"/>
              </w:rPr>
              <w:t>及</w:t>
            </w:r>
            <w:r>
              <w:rPr>
                <w:rFonts w:hint="eastAsia"/>
                <w:color w:val="auto"/>
                <w:kern w:val="0"/>
                <w:sz w:val="24"/>
                <w:highlight w:val="none"/>
              </w:rPr>
              <w:t>“六个百分之百”“七个到位”要求。</w:t>
            </w:r>
          </w:p>
          <w:p w14:paraId="47C6B7FB">
            <w:pPr>
              <w:spacing w:line="360" w:lineRule="auto"/>
              <w:ind w:firstLine="482"/>
              <w:rPr>
                <w:rFonts w:hint="eastAsia"/>
                <w:color w:val="auto"/>
                <w:kern w:val="0"/>
                <w:sz w:val="24"/>
                <w:highlight w:val="none"/>
              </w:rPr>
            </w:pPr>
            <w:r>
              <w:rPr>
                <w:rFonts w:hint="eastAsia"/>
                <w:color w:val="auto"/>
                <w:kern w:val="0"/>
                <w:sz w:val="24"/>
                <w:highlight w:val="none"/>
              </w:rPr>
              <w:t>e.工程项目部必须对进场所有作业人员进行工地扬尘预防治理知识培训，未经培训严禁上岗。强化施工期环境管理，提高全员环保意识宣传和教育。</w:t>
            </w:r>
          </w:p>
          <w:p w14:paraId="00110621">
            <w:pPr>
              <w:spacing w:line="360" w:lineRule="auto"/>
              <w:ind w:firstLine="482"/>
              <w:rPr>
                <w:rFonts w:hint="eastAsia"/>
                <w:color w:val="auto"/>
                <w:kern w:val="0"/>
                <w:sz w:val="24"/>
                <w:highlight w:val="none"/>
              </w:rPr>
            </w:pPr>
            <w:r>
              <w:rPr>
                <w:rFonts w:hint="eastAsia"/>
                <w:color w:val="auto"/>
                <w:kern w:val="0"/>
                <w:sz w:val="24"/>
                <w:highlight w:val="none"/>
              </w:rPr>
              <w:t>f.施工现场出入口配备车辆冲洗设施及配套的排水、泥浆沉淀设施，运送建筑物料的车辆驶出工地应当进行冲洗，防止泥水溢流，周边100m内的道路应当保持清洁，不得存留建筑垃圾和泥土。</w:t>
            </w:r>
          </w:p>
          <w:p w14:paraId="72C1D80C">
            <w:pPr>
              <w:spacing w:line="360" w:lineRule="auto"/>
              <w:ind w:firstLine="482"/>
              <w:rPr>
                <w:rFonts w:hint="eastAsia"/>
                <w:color w:val="auto"/>
                <w:kern w:val="0"/>
                <w:sz w:val="24"/>
                <w:highlight w:val="none"/>
              </w:rPr>
            </w:pPr>
            <w:r>
              <w:rPr>
                <w:rFonts w:hint="eastAsia"/>
                <w:color w:val="auto"/>
                <w:kern w:val="0"/>
                <w:sz w:val="24"/>
                <w:highlight w:val="none"/>
              </w:rPr>
              <w:t>g.工程项目部必须制定空气重污染应急预案，政府发布重污染预警时，立即启动应急响应。</w:t>
            </w:r>
          </w:p>
          <w:p w14:paraId="34D03634">
            <w:pPr>
              <w:spacing w:line="360" w:lineRule="auto"/>
              <w:ind w:firstLine="482"/>
              <w:rPr>
                <w:rFonts w:hint="eastAsia"/>
                <w:color w:val="auto"/>
                <w:kern w:val="0"/>
                <w:sz w:val="24"/>
                <w:highlight w:val="none"/>
              </w:rPr>
            </w:pPr>
            <w:r>
              <w:rPr>
                <w:rFonts w:hint="eastAsia"/>
                <w:color w:val="auto"/>
                <w:kern w:val="0"/>
                <w:sz w:val="24"/>
                <w:highlight w:val="none"/>
              </w:rPr>
              <w:t>采取上述措施后，项目施工场界扬尘可以满足《施工场界扬尘排放限值》（DB61/1078-2017）中相关限值要求，对周围大气环境影响较小。</w:t>
            </w:r>
          </w:p>
          <w:p w14:paraId="4B7D8152">
            <w:pPr>
              <w:spacing w:line="360" w:lineRule="auto"/>
              <w:ind w:firstLine="482"/>
              <w:rPr>
                <w:rFonts w:hint="eastAsia"/>
                <w:color w:val="auto"/>
                <w:kern w:val="0"/>
                <w:sz w:val="24"/>
                <w:highlight w:val="none"/>
              </w:rPr>
            </w:pPr>
            <w:r>
              <w:rPr>
                <w:rFonts w:hint="eastAsia"/>
                <w:color w:val="auto"/>
                <w:kern w:val="0"/>
                <w:sz w:val="24"/>
                <w:highlight w:val="none"/>
              </w:rPr>
              <w:t>②机械废气</w:t>
            </w:r>
          </w:p>
          <w:p w14:paraId="5891736A">
            <w:pPr>
              <w:spacing w:line="360" w:lineRule="auto"/>
              <w:ind w:firstLine="482"/>
              <w:rPr>
                <w:rFonts w:hint="eastAsia"/>
                <w:color w:val="auto"/>
                <w:kern w:val="0"/>
                <w:sz w:val="24"/>
                <w:highlight w:val="none"/>
              </w:rPr>
            </w:pPr>
            <w:r>
              <w:rPr>
                <w:rFonts w:hint="eastAsia"/>
                <w:color w:val="auto"/>
                <w:kern w:val="0"/>
                <w:sz w:val="24"/>
                <w:highlight w:val="none"/>
              </w:rPr>
              <w:t>为减小施工期施工机械、材料运输车辆尾气对周围环境的影响，本环评要求拟采取如下控制措施：</w:t>
            </w:r>
          </w:p>
          <w:p w14:paraId="7BB1A38D">
            <w:pPr>
              <w:spacing w:line="360" w:lineRule="auto"/>
              <w:ind w:firstLine="482"/>
              <w:rPr>
                <w:rFonts w:hint="eastAsia"/>
                <w:color w:val="auto"/>
                <w:kern w:val="0"/>
                <w:sz w:val="24"/>
                <w:highlight w:val="none"/>
              </w:rPr>
            </w:pPr>
            <w:r>
              <w:rPr>
                <w:rFonts w:hint="eastAsia"/>
                <w:color w:val="auto"/>
                <w:kern w:val="0"/>
                <w:sz w:val="24"/>
                <w:highlight w:val="none"/>
              </w:rPr>
              <w:t>a.选用符合国家标准的施工机械设备和运输车辆；</w:t>
            </w:r>
          </w:p>
          <w:p w14:paraId="62E99BAD">
            <w:pPr>
              <w:spacing w:line="360" w:lineRule="auto"/>
              <w:ind w:firstLine="482"/>
              <w:rPr>
                <w:rFonts w:hint="eastAsia"/>
                <w:color w:val="auto"/>
                <w:kern w:val="0"/>
                <w:sz w:val="24"/>
                <w:highlight w:val="none"/>
              </w:rPr>
            </w:pPr>
            <w:r>
              <w:rPr>
                <w:rFonts w:hint="eastAsia"/>
                <w:color w:val="auto"/>
                <w:kern w:val="0"/>
                <w:sz w:val="24"/>
                <w:highlight w:val="none"/>
              </w:rPr>
              <w:t>b.加强对施工机械及施工车辆的检修和维护，严禁使用超期服役和尾气超标的施工机械及车辆；</w:t>
            </w:r>
          </w:p>
          <w:p w14:paraId="6F475B4D">
            <w:pPr>
              <w:spacing w:line="360" w:lineRule="auto"/>
              <w:ind w:firstLine="482"/>
              <w:rPr>
                <w:rFonts w:hint="eastAsia"/>
                <w:color w:val="auto"/>
                <w:kern w:val="0"/>
                <w:sz w:val="24"/>
                <w:highlight w:val="none"/>
              </w:rPr>
            </w:pPr>
            <w:r>
              <w:rPr>
                <w:rFonts w:hint="eastAsia"/>
                <w:color w:val="auto"/>
                <w:kern w:val="0"/>
                <w:sz w:val="24"/>
                <w:highlight w:val="none"/>
              </w:rPr>
              <w:t>c.尽可能使用气动和电动设备及机械，或使用优质燃油，以减少机械和车辆有害气体的排放。</w:t>
            </w:r>
          </w:p>
          <w:p w14:paraId="7DA1A96E">
            <w:pPr>
              <w:spacing w:line="360" w:lineRule="auto"/>
              <w:ind w:firstLine="482"/>
              <w:rPr>
                <w:rFonts w:hint="eastAsia"/>
                <w:color w:val="auto"/>
                <w:kern w:val="0"/>
                <w:sz w:val="24"/>
                <w:highlight w:val="none"/>
              </w:rPr>
            </w:pPr>
            <w:r>
              <w:rPr>
                <w:rFonts w:hint="eastAsia"/>
                <w:color w:val="auto"/>
                <w:kern w:val="0"/>
                <w:sz w:val="24"/>
                <w:highlight w:val="none"/>
              </w:rPr>
              <w:t>采取以上措施后，可有效减少施工机械、车辆尾气对周围环境的影响，排放废气可满足《非道路移动机械用柴油机排气污染物排放限值及测量方法（中国第三、四阶段）》（GB20891-2014）</w:t>
            </w:r>
            <w:r>
              <w:rPr>
                <w:rFonts w:hint="eastAsia"/>
                <w:color w:val="auto"/>
                <w:kern w:val="0"/>
                <w:sz w:val="24"/>
                <w:highlight w:val="none"/>
                <w:lang w:eastAsia="zh-CN"/>
              </w:rPr>
              <w:t>（</w:t>
            </w:r>
            <w:r>
              <w:rPr>
                <w:rFonts w:hint="eastAsia"/>
                <w:color w:val="auto"/>
                <w:kern w:val="0"/>
                <w:sz w:val="24"/>
                <w:highlight w:val="none"/>
                <w:lang w:val="en-US" w:eastAsia="zh-CN"/>
              </w:rPr>
              <w:t>含修改单</w:t>
            </w:r>
            <w:r>
              <w:rPr>
                <w:rFonts w:hint="eastAsia"/>
                <w:color w:val="auto"/>
                <w:kern w:val="0"/>
                <w:sz w:val="24"/>
                <w:highlight w:val="none"/>
                <w:lang w:eastAsia="zh-CN"/>
              </w:rPr>
              <w:t>）</w:t>
            </w:r>
            <w:r>
              <w:rPr>
                <w:rFonts w:hint="eastAsia"/>
                <w:color w:val="auto"/>
                <w:kern w:val="0"/>
                <w:sz w:val="24"/>
                <w:highlight w:val="none"/>
              </w:rPr>
              <w:t>中的相关标准限值要求。</w:t>
            </w:r>
          </w:p>
          <w:p w14:paraId="2D1EC1C5">
            <w:pPr>
              <w:spacing w:line="360" w:lineRule="auto"/>
              <w:ind w:firstLine="482"/>
              <w:rPr>
                <w:rFonts w:hint="eastAsia"/>
                <w:color w:val="auto"/>
                <w:kern w:val="0"/>
                <w:sz w:val="24"/>
                <w:highlight w:val="none"/>
              </w:rPr>
            </w:pPr>
            <w:r>
              <w:rPr>
                <w:rFonts w:hint="eastAsia"/>
                <w:color w:val="auto"/>
                <w:kern w:val="0"/>
                <w:sz w:val="24"/>
                <w:highlight w:val="none"/>
              </w:rPr>
              <w:t>③装修废气</w:t>
            </w:r>
          </w:p>
          <w:p w14:paraId="77551722">
            <w:pPr>
              <w:spacing w:line="360" w:lineRule="auto"/>
              <w:ind w:firstLine="482"/>
              <w:rPr>
                <w:rFonts w:hint="eastAsia"/>
                <w:color w:val="auto"/>
                <w:kern w:val="0"/>
                <w:sz w:val="24"/>
                <w:highlight w:val="none"/>
              </w:rPr>
            </w:pPr>
            <w:r>
              <w:rPr>
                <w:rFonts w:hint="eastAsia"/>
                <w:color w:val="auto"/>
                <w:kern w:val="0"/>
                <w:sz w:val="24"/>
                <w:highlight w:val="none"/>
              </w:rPr>
              <w:t>本项目进行装修时会产生少量涂料废气，对操作人员影响较大。通风后可有效减少涂料废气的排放量。建设单位应使用符合国家标准的材料及设备，禁止使用国家明令淘汰的建筑装饰装修材料和设备。</w:t>
            </w:r>
          </w:p>
          <w:p w14:paraId="256F177B">
            <w:pPr>
              <w:spacing w:line="360" w:lineRule="auto"/>
              <w:ind w:firstLine="482"/>
              <w:rPr>
                <w:rFonts w:hint="eastAsia" w:eastAsia="宋体"/>
                <w:color w:val="auto"/>
                <w:kern w:val="0"/>
                <w:sz w:val="24"/>
                <w:highlight w:val="none"/>
                <w:lang w:val="en-US" w:eastAsia="zh-CN"/>
              </w:rPr>
            </w:pPr>
            <w:r>
              <w:rPr>
                <w:rFonts w:hint="eastAsia"/>
                <w:color w:val="auto"/>
                <w:kern w:val="0"/>
                <w:sz w:val="24"/>
                <w:highlight w:val="none"/>
              </w:rPr>
              <w:t>综上，项目通过采取以上措施，施工期废气可达标排放。</w:t>
            </w:r>
          </w:p>
          <w:p w14:paraId="4599ABF6">
            <w:pPr>
              <w:spacing w:line="360" w:lineRule="auto"/>
              <w:ind w:firstLine="482"/>
              <w:rPr>
                <w:rFonts w:hint="eastAsia"/>
                <w:b/>
                <w:color w:val="auto"/>
                <w:kern w:val="0"/>
                <w:sz w:val="24"/>
                <w:highlight w:val="none"/>
              </w:rPr>
            </w:pPr>
            <w:r>
              <w:rPr>
                <w:rFonts w:hint="eastAsia"/>
                <w:b/>
                <w:color w:val="auto"/>
                <w:kern w:val="0"/>
                <w:sz w:val="24"/>
                <w:highlight w:val="none"/>
              </w:rPr>
              <w:t>2、废水</w:t>
            </w:r>
          </w:p>
          <w:p w14:paraId="58EC1EF3">
            <w:pPr>
              <w:spacing w:line="360" w:lineRule="auto"/>
              <w:ind w:firstLine="482"/>
              <w:rPr>
                <w:rFonts w:hint="eastAsia"/>
                <w:color w:val="auto"/>
                <w:kern w:val="0"/>
                <w:sz w:val="24"/>
                <w:highlight w:val="none"/>
              </w:rPr>
            </w:pPr>
            <w:r>
              <w:rPr>
                <w:rFonts w:hint="eastAsia"/>
                <w:color w:val="auto"/>
                <w:kern w:val="0"/>
                <w:sz w:val="24"/>
                <w:highlight w:val="none"/>
              </w:rPr>
              <w:t>施工期废水主要为施工人员生活污水及施工废水。</w:t>
            </w:r>
          </w:p>
          <w:p w14:paraId="3CC33768">
            <w:pPr>
              <w:spacing w:line="360" w:lineRule="auto"/>
              <w:ind w:firstLine="482"/>
              <w:rPr>
                <w:rFonts w:hint="eastAsia"/>
                <w:color w:val="auto"/>
                <w:kern w:val="0"/>
                <w:sz w:val="24"/>
                <w:highlight w:val="none"/>
              </w:rPr>
            </w:pPr>
            <w:r>
              <w:rPr>
                <w:rFonts w:hint="eastAsia"/>
                <w:color w:val="auto"/>
                <w:kern w:val="0"/>
                <w:sz w:val="24"/>
                <w:highlight w:val="none"/>
              </w:rPr>
              <w:t>①生活污水</w:t>
            </w:r>
          </w:p>
          <w:p w14:paraId="3C60A75F">
            <w:pPr>
              <w:spacing w:line="360" w:lineRule="auto"/>
              <w:ind w:firstLine="482"/>
              <w:rPr>
                <w:rFonts w:hint="eastAsia"/>
                <w:color w:val="auto"/>
                <w:kern w:val="0"/>
                <w:sz w:val="24"/>
                <w:highlight w:val="none"/>
              </w:rPr>
            </w:pPr>
            <w:r>
              <w:rPr>
                <w:rFonts w:hint="eastAsia"/>
                <w:color w:val="auto"/>
                <w:kern w:val="0"/>
                <w:sz w:val="24"/>
                <w:highlight w:val="none"/>
              </w:rPr>
              <w:t>生活污水主要污染物为pH值、COD、BOD</w:t>
            </w:r>
            <w:r>
              <w:rPr>
                <w:rFonts w:hint="eastAsia"/>
                <w:color w:val="auto"/>
                <w:kern w:val="0"/>
                <w:sz w:val="24"/>
                <w:highlight w:val="none"/>
                <w:vertAlign w:val="subscript"/>
              </w:rPr>
              <w:t>5</w:t>
            </w:r>
            <w:r>
              <w:rPr>
                <w:rFonts w:hint="eastAsia"/>
                <w:color w:val="auto"/>
                <w:kern w:val="0"/>
                <w:sz w:val="24"/>
                <w:highlight w:val="none"/>
              </w:rPr>
              <w:t>、SS、NH</w:t>
            </w:r>
            <w:r>
              <w:rPr>
                <w:rFonts w:hint="eastAsia"/>
                <w:color w:val="auto"/>
                <w:kern w:val="0"/>
                <w:sz w:val="24"/>
                <w:highlight w:val="none"/>
                <w:vertAlign w:val="subscript"/>
              </w:rPr>
              <w:t>3</w:t>
            </w:r>
            <w:r>
              <w:rPr>
                <w:rFonts w:hint="eastAsia"/>
                <w:color w:val="auto"/>
                <w:kern w:val="0"/>
                <w:sz w:val="24"/>
                <w:highlight w:val="none"/>
              </w:rPr>
              <w:t>-N等，项目施工期设临时防渗化粪池，定期委托清掏处置，不外排。</w:t>
            </w:r>
          </w:p>
          <w:p w14:paraId="4DBBCA90">
            <w:pPr>
              <w:spacing w:line="360" w:lineRule="auto"/>
              <w:ind w:firstLine="482"/>
              <w:rPr>
                <w:rFonts w:hint="eastAsia"/>
                <w:color w:val="auto"/>
                <w:kern w:val="0"/>
                <w:sz w:val="24"/>
                <w:highlight w:val="none"/>
              </w:rPr>
            </w:pPr>
            <w:r>
              <w:rPr>
                <w:rFonts w:hint="eastAsia"/>
                <w:color w:val="auto"/>
                <w:kern w:val="0"/>
                <w:sz w:val="24"/>
                <w:highlight w:val="none"/>
              </w:rPr>
              <w:t>②施工废水</w:t>
            </w:r>
          </w:p>
          <w:p w14:paraId="484A43B9">
            <w:pPr>
              <w:spacing w:line="360" w:lineRule="auto"/>
              <w:ind w:firstLine="482"/>
              <w:rPr>
                <w:rFonts w:hint="eastAsia"/>
                <w:color w:val="auto"/>
                <w:kern w:val="0"/>
                <w:sz w:val="24"/>
                <w:highlight w:val="none"/>
              </w:rPr>
            </w:pPr>
            <w:r>
              <w:rPr>
                <w:rFonts w:hint="eastAsia"/>
                <w:color w:val="auto"/>
                <w:kern w:val="0"/>
                <w:sz w:val="24"/>
                <w:highlight w:val="none"/>
              </w:rPr>
              <w:t>施工废水主要包括各种施工机械设备冲洗产生的废水，主要污染物是SS。对于施工过程中产生的泥浆水、含沙水等工艺废水，要求施工单位在场地内设沉淀池，同时在施工场地出入口设置洗车台，并配套沉淀池。施工废水收集并沉淀处理后，回用于施工工序，不外排。</w:t>
            </w:r>
          </w:p>
          <w:p w14:paraId="7F083B39">
            <w:pPr>
              <w:spacing w:line="360" w:lineRule="auto"/>
              <w:ind w:firstLine="482"/>
              <w:rPr>
                <w:rFonts w:hint="eastAsia"/>
                <w:color w:val="auto"/>
                <w:kern w:val="0"/>
                <w:sz w:val="24"/>
                <w:highlight w:val="none"/>
              </w:rPr>
            </w:pPr>
            <w:r>
              <w:rPr>
                <w:rFonts w:hint="eastAsia"/>
                <w:color w:val="auto"/>
                <w:kern w:val="0"/>
                <w:sz w:val="24"/>
                <w:highlight w:val="none"/>
              </w:rPr>
              <w:t>项目施工期废水对周围地表水环境影响较小。</w:t>
            </w:r>
          </w:p>
          <w:p w14:paraId="5BF543F9">
            <w:pPr>
              <w:spacing w:line="360" w:lineRule="auto"/>
              <w:ind w:firstLine="482"/>
              <w:rPr>
                <w:rFonts w:hint="eastAsia"/>
                <w:b/>
                <w:color w:val="auto"/>
                <w:kern w:val="0"/>
                <w:sz w:val="24"/>
                <w:highlight w:val="none"/>
              </w:rPr>
            </w:pPr>
            <w:r>
              <w:rPr>
                <w:rFonts w:hint="eastAsia"/>
                <w:b/>
                <w:color w:val="auto"/>
                <w:kern w:val="0"/>
                <w:sz w:val="24"/>
                <w:highlight w:val="none"/>
              </w:rPr>
              <w:t>3、噪声</w:t>
            </w:r>
          </w:p>
          <w:p w14:paraId="5892727A">
            <w:pPr>
              <w:spacing w:line="360" w:lineRule="auto"/>
              <w:ind w:firstLine="482"/>
              <w:rPr>
                <w:rFonts w:hint="eastAsia"/>
                <w:color w:val="auto"/>
                <w:kern w:val="0"/>
                <w:sz w:val="24"/>
                <w:highlight w:val="none"/>
              </w:rPr>
            </w:pPr>
            <w:r>
              <w:rPr>
                <w:rFonts w:hint="eastAsia"/>
                <w:color w:val="auto"/>
                <w:kern w:val="0"/>
                <w:sz w:val="24"/>
                <w:highlight w:val="none"/>
              </w:rPr>
              <w:t>为减少施工噪声对周围环境的影响，建议施工单位采取以下措施：</w:t>
            </w:r>
          </w:p>
          <w:p w14:paraId="45BC0D9B">
            <w:pPr>
              <w:spacing w:line="360" w:lineRule="auto"/>
              <w:ind w:firstLine="482"/>
              <w:rPr>
                <w:rFonts w:hint="eastAsia"/>
                <w:color w:val="auto"/>
                <w:kern w:val="0"/>
                <w:sz w:val="24"/>
                <w:highlight w:val="none"/>
              </w:rPr>
            </w:pPr>
            <w:r>
              <w:rPr>
                <w:rFonts w:hint="eastAsia"/>
                <w:color w:val="auto"/>
                <w:kern w:val="0"/>
                <w:sz w:val="24"/>
                <w:highlight w:val="none"/>
              </w:rPr>
              <w:t>①尽量采用低噪声机械，施工机械设备应事先对其进行常规工作状态下的噪声测量，超过国家标准的机械应禁止其入场施工。移动较大的固定机械设备应加装减振机座，同时加强各类施工设备的维护保养，保持其良好的运行状态，最大限度减小噪声源强。</w:t>
            </w:r>
          </w:p>
          <w:p w14:paraId="3D6AF996">
            <w:pPr>
              <w:spacing w:line="360" w:lineRule="auto"/>
              <w:ind w:firstLine="482"/>
              <w:rPr>
                <w:rFonts w:hint="eastAsia"/>
                <w:color w:val="auto"/>
                <w:kern w:val="0"/>
                <w:sz w:val="24"/>
                <w:highlight w:val="none"/>
              </w:rPr>
            </w:pPr>
            <w:r>
              <w:rPr>
                <w:rFonts w:hint="eastAsia"/>
                <w:color w:val="auto"/>
                <w:kern w:val="0"/>
                <w:sz w:val="24"/>
                <w:highlight w:val="none"/>
              </w:rPr>
              <w:t>②在正常的使用下，易产生噪声超限的加工机械，采取封闭的原则控制噪声的扩散。封闭材料选择隔声效果好的材料，其几何尺寸视现场实际情况决定。</w:t>
            </w:r>
          </w:p>
          <w:p w14:paraId="281ABD31">
            <w:pPr>
              <w:spacing w:line="360" w:lineRule="auto"/>
              <w:ind w:firstLine="482"/>
              <w:rPr>
                <w:rFonts w:hint="eastAsia"/>
                <w:color w:val="auto"/>
                <w:kern w:val="0"/>
                <w:sz w:val="24"/>
                <w:highlight w:val="none"/>
              </w:rPr>
            </w:pPr>
            <w:r>
              <w:rPr>
                <w:rFonts w:hint="eastAsia"/>
                <w:color w:val="auto"/>
                <w:kern w:val="0"/>
                <w:sz w:val="24"/>
                <w:highlight w:val="none"/>
              </w:rPr>
              <w:t>③施工现场提倡文明施工，通过对全体有关人员进行培训、教育，培养环境观念，树立正确的环境意识，减少环境噪声污染，使作业人员在工作中对噪音影响予以控制。</w:t>
            </w:r>
          </w:p>
          <w:p w14:paraId="7C7C4D85">
            <w:pPr>
              <w:spacing w:line="360" w:lineRule="auto"/>
              <w:ind w:firstLine="482"/>
              <w:rPr>
                <w:rFonts w:hint="eastAsia"/>
                <w:color w:val="auto"/>
                <w:kern w:val="0"/>
                <w:sz w:val="24"/>
                <w:highlight w:val="none"/>
              </w:rPr>
            </w:pPr>
            <w:r>
              <w:rPr>
                <w:rFonts w:hint="eastAsia"/>
                <w:color w:val="auto"/>
                <w:kern w:val="0"/>
                <w:sz w:val="24"/>
                <w:highlight w:val="none"/>
              </w:rPr>
              <w:t>④合理安排施工计划和施工时间，原则上禁止夜间施工，确因特殊需要必须连续作业的，必须有有关主管部门的证明，且必须公告附近居民。严禁高噪声设备在休息时间作业。</w:t>
            </w:r>
          </w:p>
          <w:p w14:paraId="106D96BB">
            <w:pPr>
              <w:spacing w:line="360" w:lineRule="auto"/>
              <w:ind w:firstLine="482"/>
              <w:rPr>
                <w:rFonts w:hint="eastAsia"/>
                <w:color w:val="auto"/>
                <w:kern w:val="0"/>
                <w:sz w:val="24"/>
                <w:highlight w:val="none"/>
              </w:rPr>
            </w:pPr>
            <w:r>
              <w:rPr>
                <w:rFonts w:hint="eastAsia"/>
                <w:color w:val="auto"/>
                <w:kern w:val="0"/>
                <w:sz w:val="24"/>
                <w:highlight w:val="none"/>
              </w:rPr>
              <w:t>⑤合理安排施工活动，尽量缩短工期，减少施工噪声影响事件。避免高噪声施工机械在同一区域内同时使用。</w:t>
            </w:r>
          </w:p>
          <w:p w14:paraId="1E519744">
            <w:pPr>
              <w:spacing w:line="360" w:lineRule="auto"/>
              <w:ind w:firstLine="482"/>
              <w:rPr>
                <w:rFonts w:hint="eastAsia"/>
                <w:color w:val="auto"/>
                <w:kern w:val="0"/>
                <w:sz w:val="24"/>
                <w:highlight w:val="none"/>
              </w:rPr>
            </w:pPr>
            <w:r>
              <w:rPr>
                <w:rFonts w:hint="eastAsia"/>
                <w:color w:val="auto"/>
                <w:kern w:val="0"/>
                <w:sz w:val="24"/>
                <w:highlight w:val="none"/>
              </w:rPr>
              <w:t>⑥强化施工期间环境管理，严格控制施工车辆运输路线；同时对路经居民区的运输车辆应禁止鸣笛，尽量放慢车速，以减少运输车辆噪声对周边敏感点的影响。</w:t>
            </w:r>
          </w:p>
          <w:p w14:paraId="01CE3DAB">
            <w:pPr>
              <w:spacing w:line="360" w:lineRule="auto"/>
              <w:ind w:firstLine="482"/>
              <w:rPr>
                <w:rFonts w:hint="eastAsia"/>
                <w:color w:val="auto"/>
                <w:kern w:val="0"/>
                <w:sz w:val="24"/>
                <w:highlight w:val="none"/>
              </w:rPr>
            </w:pPr>
            <w:r>
              <w:rPr>
                <w:rFonts w:hint="eastAsia"/>
                <w:color w:val="auto"/>
                <w:kern w:val="0"/>
                <w:sz w:val="24"/>
                <w:highlight w:val="none"/>
              </w:rPr>
              <w:t>在严格执行上述措施的前提下，施工噪声可以得到有效减缓，昼间施工对周围敏感点影响不大。尽管施工噪声对环境产生一定的不利影响，但是施工期噪声影响是短暂的，一旦施工活动结束，施工噪声也就随之结束。同时，项目厂界四周50m范围内无敏感目标，对周围环境影响不大。</w:t>
            </w:r>
          </w:p>
          <w:p w14:paraId="7DBEA9E4">
            <w:pPr>
              <w:spacing w:line="360" w:lineRule="auto"/>
              <w:ind w:firstLine="482"/>
              <w:rPr>
                <w:rFonts w:hint="eastAsia"/>
                <w:b/>
                <w:color w:val="auto"/>
                <w:kern w:val="0"/>
                <w:sz w:val="24"/>
                <w:highlight w:val="none"/>
              </w:rPr>
            </w:pPr>
            <w:r>
              <w:rPr>
                <w:rFonts w:hint="eastAsia"/>
                <w:b/>
                <w:color w:val="auto"/>
                <w:kern w:val="0"/>
                <w:sz w:val="24"/>
                <w:highlight w:val="none"/>
              </w:rPr>
              <w:t>4、固体废物</w:t>
            </w:r>
          </w:p>
          <w:p w14:paraId="03472D1F">
            <w:pPr>
              <w:spacing w:line="360" w:lineRule="auto"/>
              <w:ind w:firstLine="482"/>
              <w:rPr>
                <w:rFonts w:hint="eastAsia"/>
                <w:color w:val="auto"/>
                <w:kern w:val="0"/>
                <w:sz w:val="24"/>
                <w:highlight w:val="none"/>
              </w:rPr>
            </w:pPr>
            <w:r>
              <w:rPr>
                <w:rFonts w:hint="eastAsia"/>
                <w:color w:val="auto"/>
                <w:kern w:val="0"/>
                <w:sz w:val="24"/>
                <w:highlight w:val="none"/>
              </w:rPr>
              <w:t>施工期固体废物主要为建筑垃圾、废包装材料及施工人员生活垃圾等。其中，建筑垃圾分类收集后，可回收利用的固体废物（如废钢材、废铁丝等）与废包装材料一同出售给废品回收公司；不能回收利用的固体废物（如废砂石、废混凝土块等），按照相关规定运至指定的建筑垃圾堆场处置。施工人员生活垃圾由带盖垃圾桶分类收集后，交环卫部门定期清运。</w:t>
            </w:r>
          </w:p>
          <w:p w14:paraId="5A503F38">
            <w:pPr>
              <w:pStyle w:val="15"/>
              <w:rPr>
                <w:rFonts w:hint="eastAsia" w:eastAsia="宋体"/>
                <w:color w:val="auto"/>
                <w:lang w:eastAsia="zh-CN"/>
              </w:rPr>
            </w:pPr>
            <w:r>
              <w:rPr>
                <w:rFonts w:hint="eastAsia"/>
                <w:color w:val="auto"/>
                <w:kern w:val="0"/>
                <w:sz w:val="24"/>
                <w:highlight w:val="none"/>
              </w:rPr>
              <w:t>综上，项目施工期产生的固体废物均能得到妥善处置，对周围环境影响较小。同时，施工期的影响是暂时的，施工结束后，影响区域的各环境要素基本可以得到恢复。</w:t>
            </w:r>
          </w:p>
        </w:tc>
      </w:tr>
      <w:tr w14:paraId="592B49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7" w:type="pct"/>
            <w:shd w:val="clear" w:color="auto" w:fill="auto"/>
            <w:noWrap w:val="0"/>
            <w:tcMar>
              <w:left w:w="28" w:type="dxa"/>
              <w:right w:w="28" w:type="dxa"/>
            </w:tcMar>
            <w:vAlign w:val="center"/>
          </w:tcPr>
          <w:p w14:paraId="755C81A2">
            <w:pPr>
              <w:pStyle w:val="14"/>
              <w:spacing w:before="0" w:beforeAutospacing="0" w:after="0" w:afterAutospacing="0"/>
              <w:ind w:firstLine="0" w:firstLineChars="0"/>
              <w:jc w:val="center"/>
              <w:rPr>
                <w:rFonts w:ascii="宋体" w:hAnsi="宋体" w:eastAsia="宋体" w:cs="Times New Roman"/>
                <w:color w:val="auto"/>
                <w:kern w:val="2"/>
                <w:sz w:val="24"/>
                <w:szCs w:val="20"/>
                <w:lang w:val="en-US" w:eastAsia="zh-CN" w:bidi="ar-SA"/>
              </w:rPr>
            </w:pPr>
            <w:r>
              <w:rPr>
                <w:color w:val="auto"/>
                <w:kern w:val="2"/>
              </w:rPr>
              <w:t>运营期环境影响和保护措施</w:t>
            </w:r>
          </w:p>
        </w:tc>
        <w:tc>
          <w:tcPr>
            <w:tcW w:w="4692" w:type="pct"/>
            <w:noWrap w:val="0"/>
            <w:vAlign w:val="center"/>
          </w:tcPr>
          <w:p w14:paraId="496FF055">
            <w:pPr>
              <w:bidi w:val="0"/>
              <w:rPr>
                <w:rFonts w:hint="eastAsia"/>
                <w:color w:val="auto"/>
                <w:highlight w:val="none"/>
                <w:lang w:val="en-US" w:eastAsia="zh-CN"/>
              </w:rPr>
            </w:pPr>
            <w:r>
              <w:rPr>
                <w:rFonts w:hint="eastAsia"/>
                <w:color w:val="auto"/>
                <w:highlight w:val="none"/>
                <w:lang w:val="en-US" w:eastAsia="zh-CN"/>
              </w:rPr>
              <w:t>1、废气</w:t>
            </w:r>
          </w:p>
          <w:p w14:paraId="7156A1B5">
            <w:pPr>
              <w:bidi w:val="0"/>
              <w:rPr>
                <w:rFonts w:hint="default"/>
                <w:color w:val="auto"/>
                <w:highlight w:val="none"/>
                <w:lang w:val="en-US" w:eastAsia="zh-CN"/>
              </w:rPr>
            </w:pPr>
            <w:r>
              <w:rPr>
                <w:rFonts w:hint="eastAsia"/>
                <w:color w:val="auto"/>
                <w:highlight w:val="none"/>
                <w:lang w:val="en-US" w:eastAsia="zh-CN"/>
              </w:rPr>
              <w:t>项目研发过程产生的废气主要为酸性废气、非甲烷总烃、焊接烟尘。酸性废气主要为氯化氢、氮氧化物；非甲烷总烃主要来源于密封剂、固化剂、</w:t>
            </w:r>
            <w:r>
              <w:rPr>
                <w:rFonts w:hint="default"/>
                <w:color w:val="auto"/>
                <w:highlight w:val="none"/>
                <w:lang w:val="en-US" w:eastAsia="zh-CN"/>
              </w:rPr>
              <w:t>电路板保护剂</w:t>
            </w:r>
            <w:r>
              <w:rPr>
                <w:rFonts w:hint="eastAsia"/>
                <w:color w:val="auto"/>
                <w:highlight w:val="none"/>
                <w:lang w:val="en-US" w:eastAsia="zh-CN"/>
              </w:rPr>
              <w:t>、漂洗剂、清洗剂、助焊剂和乙醇等含有非甲烷总烃溶剂的使用；焊接烟尘来源于焊接过程；餐厅废气主要为餐厅油烟</w:t>
            </w:r>
            <w:r>
              <w:rPr>
                <w:rFonts w:hint="eastAsia"/>
                <w:color w:val="auto"/>
                <w:highlight w:val="none"/>
                <w:lang w:val="zh-CN" w:eastAsia="zh-CN"/>
              </w:rPr>
              <w:t>。</w:t>
            </w:r>
            <w:r>
              <w:rPr>
                <w:rFonts w:hint="eastAsia"/>
                <w:color w:val="auto"/>
                <w:highlight w:val="none"/>
                <w:lang w:val="en-US" w:eastAsia="zh-CN"/>
              </w:rPr>
              <w:t>大气污染物产排情况见表4-1。</w:t>
            </w:r>
          </w:p>
          <w:p w14:paraId="105FD1EF">
            <w:pPr>
              <w:bidi w:val="0"/>
              <w:rPr>
                <w:rFonts w:hint="default"/>
                <w:color w:val="auto"/>
                <w:highlight w:val="none"/>
                <w:lang w:val="en-US" w:eastAsia="zh-CN"/>
              </w:rPr>
            </w:pPr>
          </w:p>
          <w:p w14:paraId="469FC069">
            <w:pPr>
              <w:bidi w:val="0"/>
              <w:rPr>
                <w:rFonts w:hint="default"/>
                <w:color w:val="auto"/>
                <w:highlight w:val="none"/>
                <w:lang w:val="en-US" w:eastAsia="zh-CN"/>
              </w:rPr>
            </w:pPr>
          </w:p>
          <w:p w14:paraId="1AADBD56">
            <w:pPr>
              <w:bidi w:val="0"/>
              <w:rPr>
                <w:rFonts w:hint="default"/>
                <w:color w:val="auto"/>
                <w:highlight w:val="none"/>
                <w:lang w:val="en-US" w:eastAsia="zh-CN"/>
              </w:rPr>
            </w:pPr>
          </w:p>
          <w:p w14:paraId="5620446E">
            <w:pPr>
              <w:bidi w:val="0"/>
              <w:rPr>
                <w:rFonts w:hint="default"/>
                <w:color w:val="auto"/>
                <w:highlight w:val="none"/>
                <w:lang w:val="en-US" w:eastAsia="zh-CN"/>
              </w:rPr>
            </w:pPr>
          </w:p>
          <w:p w14:paraId="76BB709E">
            <w:pPr>
              <w:bidi w:val="0"/>
              <w:rPr>
                <w:rFonts w:hint="default"/>
                <w:color w:val="auto"/>
                <w:highlight w:val="none"/>
                <w:lang w:val="en-US" w:eastAsia="zh-CN"/>
              </w:rPr>
            </w:pPr>
          </w:p>
          <w:p w14:paraId="60E28ACF">
            <w:pPr>
              <w:bidi w:val="0"/>
              <w:rPr>
                <w:rFonts w:hint="default"/>
                <w:color w:val="auto"/>
                <w:highlight w:val="none"/>
                <w:lang w:val="en-US" w:eastAsia="zh-CN"/>
              </w:rPr>
            </w:pPr>
          </w:p>
          <w:p w14:paraId="68B4BD27">
            <w:pPr>
              <w:bidi w:val="0"/>
              <w:rPr>
                <w:rFonts w:hint="default"/>
                <w:color w:val="auto"/>
                <w:highlight w:val="none"/>
                <w:lang w:val="en-US" w:eastAsia="zh-CN"/>
              </w:rPr>
            </w:pPr>
          </w:p>
          <w:p w14:paraId="3744F29C">
            <w:pPr>
              <w:bidi w:val="0"/>
              <w:rPr>
                <w:rFonts w:hint="default"/>
                <w:color w:val="auto"/>
                <w:highlight w:val="none"/>
                <w:lang w:val="en-US" w:eastAsia="zh-CN"/>
              </w:rPr>
            </w:pPr>
          </w:p>
          <w:p w14:paraId="543A9D10">
            <w:pPr>
              <w:bidi w:val="0"/>
              <w:rPr>
                <w:rFonts w:hint="default"/>
                <w:color w:val="auto"/>
                <w:highlight w:val="none"/>
                <w:lang w:val="en-US" w:eastAsia="zh-CN"/>
              </w:rPr>
            </w:pPr>
          </w:p>
          <w:p w14:paraId="5A540E41">
            <w:pPr>
              <w:bidi w:val="0"/>
              <w:rPr>
                <w:rFonts w:hint="default"/>
                <w:color w:val="auto"/>
                <w:highlight w:val="none"/>
                <w:lang w:val="en-US" w:eastAsia="zh-CN"/>
              </w:rPr>
            </w:pPr>
          </w:p>
          <w:p w14:paraId="3F5CDB4F">
            <w:pPr>
              <w:bidi w:val="0"/>
              <w:rPr>
                <w:rFonts w:hint="default"/>
                <w:color w:val="auto"/>
                <w:highlight w:val="none"/>
                <w:lang w:val="en-US" w:eastAsia="zh-CN"/>
              </w:rPr>
            </w:pPr>
          </w:p>
          <w:p w14:paraId="75A2C155">
            <w:pPr>
              <w:bidi w:val="0"/>
              <w:rPr>
                <w:rFonts w:hint="default"/>
                <w:color w:val="auto"/>
                <w:highlight w:val="none"/>
                <w:lang w:val="en-US" w:eastAsia="zh-CN"/>
              </w:rPr>
            </w:pPr>
          </w:p>
          <w:p w14:paraId="2990235A">
            <w:pPr>
              <w:bidi w:val="0"/>
              <w:rPr>
                <w:rFonts w:hint="default"/>
                <w:color w:val="auto"/>
                <w:highlight w:val="none"/>
                <w:lang w:val="en-US" w:eastAsia="zh-CN"/>
              </w:rPr>
            </w:pPr>
          </w:p>
          <w:p w14:paraId="3840EADF">
            <w:pPr>
              <w:bidi w:val="0"/>
              <w:rPr>
                <w:rFonts w:hint="default"/>
                <w:color w:val="auto"/>
                <w:highlight w:val="none"/>
                <w:lang w:val="en-US" w:eastAsia="zh-CN"/>
              </w:rPr>
            </w:pPr>
          </w:p>
          <w:p w14:paraId="2F98C8A2">
            <w:pPr>
              <w:bidi w:val="0"/>
              <w:rPr>
                <w:rFonts w:hint="default"/>
                <w:color w:val="auto"/>
                <w:highlight w:val="yellow"/>
                <w:lang w:val="en-US" w:eastAsia="zh-CN"/>
              </w:rPr>
            </w:pPr>
          </w:p>
        </w:tc>
      </w:tr>
    </w:tbl>
    <w:p w14:paraId="5B003604">
      <w:pPr>
        <w:rPr>
          <w:color w:val="auto"/>
        </w:rPr>
        <w:sectPr>
          <w:pgSz w:w="11907" w:h="16840"/>
          <w:pgMar w:top="1701" w:right="1531" w:bottom="2126" w:left="1531" w:header="851" w:footer="851" w:gutter="0"/>
          <w:pgBorders>
            <w:top w:val="none" w:sz="0" w:space="0"/>
            <w:left w:val="none" w:sz="0" w:space="0"/>
            <w:bottom w:val="none" w:sz="0" w:space="0"/>
            <w:right w:val="none" w:sz="0" w:space="0"/>
          </w:pgBorders>
          <w:cols w:space="720" w:num="1"/>
          <w:docGrid w:linePitch="312" w:charSpace="0"/>
        </w:sectPr>
      </w:pPr>
    </w:p>
    <w:tbl>
      <w:tblPr>
        <w:tblStyle w:val="16"/>
        <w:tblW w:w="500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13911"/>
      </w:tblGrid>
      <w:tr w14:paraId="2254D1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3" w:type="pct"/>
            <w:noWrap w:val="0"/>
            <w:tcMar>
              <w:left w:w="28" w:type="dxa"/>
              <w:right w:w="28" w:type="dxa"/>
            </w:tcMar>
            <w:vAlign w:val="center"/>
          </w:tcPr>
          <w:p w14:paraId="28CD314E">
            <w:pPr>
              <w:pStyle w:val="14"/>
              <w:spacing w:before="0" w:beforeAutospacing="0" w:after="0" w:afterAutospacing="0"/>
              <w:ind w:firstLine="0" w:firstLineChars="0"/>
              <w:jc w:val="center"/>
              <w:rPr>
                <w:color w:val="auto"/>
                <w:kern w:val="2"/>
              </w:rPr>
            </w:pPr>
            <w:r>
              <w:rPr>
                <w:color w:val="auto"/>
                <w:kern w:val="2"/>
              </w:rPr>
              <w:t>运营期环境影响和保护措施</w:t>
            </w:r>
          </w:p>
        </w:tc>
        <w:tc>
          <w:tcPr>
            <w:tcW w:w="4686" w:type="pct"/>
            <w:noWrap w:val="0"/>
            <w:vAlign w:val="top"/>
          </w:tcPr>
          <w:p w14:paraId="3A5D47FF">
            <w:pPr>
              <w:bidi w:val="0"/>
              <w:jc w:val="center"/>
              <w:rPr>
                <w:rFonts w:hint="default"/>
                <w:b/>
                <w:bCs/>
                <w:color w:val="auto"/>
                <w:lang w:val="en-US" w:eastAsia="zh-CN"/>
              </w:rPr>
            </w:pPr>
          </w:p>
          <w:p w14:paraId="763A78BE">
            <w:pPr>
              <w:bidi w:val="0"/>
              <w:jc w:val="center"/>
              <w:rPr>
                <w:rFonts w:hint="default"/>
                <w:b/>
                <w:bCs/>
                <w:color w:val="auto"/>
                <w:lang w:val="en-US" w:eastAsia="zh-CN"/>
              </w:rPr>
            </w:pPr>
            <w:r>
              <w:rPr>
                <w:rFonts w:hint="default"/>
                <w:b/>
                <w:bCs/>
                <w:color w:val="auto"/>
                <w:lang w:val="en-US" w:eastAsia="zh-CN"/>
              </w:rPr>
              <w:t>表4-</w:t>
            </w:r>
            <w:r>
              <w:rPr>
                <w:rFonts w:hint="eastAsia"/>
                <w:b/>
                <w:bCs/>
                <w:color w:val="auto"/>
                <w:lang w:val="en-US" w:eastAsia="zh-CN"/>
              </w:rPr>
              <w:t>1</w:t>
            </w:r>
            <w:r>
              <w:rPr>
                <w:rFonts w:hint="default"/>
                <w:b/>
                <w:bCs/>
                <w:color w:val="auto"/>
                <w:lang w:val="en-US" w:eastAsia="zh-CN"/>
              </w:rPr>
              <w:t xml:space="preserve">  大气污染物产生及排放情况一览表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63"/>
              <w:gridCol w:w="999"/>
              <w:gridCol w:w="1215"/>
              <w:gridCol w:w="1002"/>
              <w:gridCol w:w="1081"/>
              <w:gridCol w:w="1078"/>
              <w:gridCol w:w="1492"/>
              <w:gridCol w:w="928"/>
              <w:gridCol w:w="701"/>
              <w:gridCol w:w="747"/>
              <w:gridCol w:w="1018"/>
              <w:gridCol w:w="1089"/>
              <w:gridCol w:w="942"/>
              <w:gridCol w:w="822"/>
            </w:tblGrid>
            <w:tr w14:paraId="43022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206" w:type="pct"/>
                  <w:vMerge w:val="restart"/>
                  <w:shd w:val="clear" w:color="auto" w:fill="auto"/>
                  <w:vAlign w:val="center"/>
                </w:tcPr>
                <w:p w14:paraId="6256DB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产排污环节</w:t>
                  </w:r>
                </w:p>
              </w:tc>
              <w:tc>
                <w:tcPr>
                  <w:tcW w:w="365" w:type="pct"/>
                  <w:vMerge w:val="restart"/>
                  <w:shd w:val="clear" w:color="auto" w:fill="auto"/>
                  <w:vAlign w:val="center"/>
                </w:tcPr>
                <w:p w14:paraId="3BD52E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污染物种类</w:t>
                  </w:r>
                </w:p>
              </w:tc>
              <w:tc>
                <w:tcPr>
                  <w:tcW w:w="1205" w:type="pct"/>
                  <w:gridSpan w:val="3"/>
                  <w:shd w:val="clear" w:color="auto" w:fill="auto"/>
                  <w:vAlign w:val="center"/>
                </w:tcPr>
                <w:p w14:paraId="50144F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污染物产生情况</w:t>
                  </w:r>
                </w:p>
              </w:tc>
              <w:tc>
                <w:tcPr>
                  <w:tcW w:w="394" w:type="pct"/>
                  <w:vMerge w:val="restart"/>
                  <w:shd w:val="clear" w:color="auto" w:fill="auto"/>
                  <w:vAlign w:val="center"/>
                </w:tcPr>
                <w:p w14:paraId="17AB7C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排放形式</w:t>
                  </w:r>
                </w:p>
              </w:tc>
              <w:tc>
                <w:tcPr>
                  <w:tcW w:w="1785" w:type="pct"/>
                  <w:gridSpan w:val="5"/>
                  <w:shd w:val="clear" w:color="auto" w:fill="auto"/>
                  <w:vAlign w:val="center"/>
                </w:tcPr>
                <w:p w14:paraId="45B321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主要污染治理措施</w:t>
                  </w:r>
                </w:p>
              </w:tc>
              <w:tc>
                <w:tcPr>
                  <w:tcW w:w="1042" w:type="pct"/>
                  <w:gridSpan w:val="3"/>
                  <w:shd w:val="clear" w:color="auto" w:fill="auto"/>
                  <w:vAlign w:val="center"/>
                </w:tcPr>
                <w:p w14:paraId="130393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污染物排放情况</w:t>
                  </w:r>
                </w:p>
              </w:tc>
            </w:tr>
            <w:tr w14:paraId="7CA3A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206" w:type="pct"/>
                  <w:vMerge w:val="continue"/>
                  <w:shd w:val="clear" w:color="auto" w:fill="auto"/>
                  <w:vAlign w:val="center"/>
                </w:tcPr>
                <w:p w14:paraId="7996B2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b/>
                      <w:bCs/>
                      <w:i w:val="0"/>
                      <w:iCs w:val="0"/>
                      <w:color w:val="auto"/>
                      <w:sz w:val="21"/>
                      <w:szCs w:val="21"/>
                      <w:u w:val="none"/>
                    </w:rPr>
                  </w:pPr>
                </w:p>
              </w:tc>
              <w:tc>
                <w:tcPr>
                  <w:tcW w:w="365" w:type="pct"/>
                  <w:vMerge w:val="continue"/>
                  <w:shd w:val="clear" w:color="auto" w:fill="auto"/>
                  <w:vAlign w:val="center"/>
                </w:tcPr>
                <w:p w14:paraId="165607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b/>
                      <w:bCs/>
                      <w:i w:val="0"/>
                      <w:iCs w:val="0"/>
                      <w:color w:val="auto"/>
                      <w:sz w:val="21"/>
                      <w:szCs w:val="21"/>
                      <w:u w:val="none"/>
                    </w:rPr>
                  </w:pPr>
                </w:p>
              </w:tc>
              <w:tc>
                <w:tcPr>
                  <w:tcW w:w="444" w:type="pct"/>
                  <w:shd w:val="clear" w:color="auto" w:fill="auto"/>
                  <w:vAlign w:val="center"/>
                </w:tcPr>
                <w:p w14:paraId="57458A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产生量</w:t>
                  </w:r>
                  <w:r>
                    <w:rPr>
                      <w:rFonts w:hint="default" w:ascii="Times New Roman" w:hAnsi="Times New Roman" w:eastAsia="宋体" w:cs="Times New Roman"/>
                      <w:b/>
                      <w:bCs/>
                      <w:i w:val="0"/>
                      <w:iCs w:val="0"/>
                      <w:color w:val="auto"/>
                      <w:kern w:val="0"/>
                      <w:sz w:val="21"/>
                      <w:szCs w:val="21"/>
                      <w:u w:val="none"/>
                      <w:lang w:val="en-US" w:eastAsia="zh-CN" w:bidi="ar"/>
                    </w:rPr>
                    <w:t>/t/a</w:t>
                  </w:r>
                </w:p>
              </w:tc>
              <w:tc>
                <w:tcPr>
                  <w:tcW w:w="366" w:type="pct"/>
                  <w:shd w:val="clear" w:color="auto" w:fill="auto"/>
                  <w:vAlign w:val="center"/>
                </w:tcPr>
                <w:p w14:paraId="5106B4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default" w:ascii="宋体" w:hAnsi="宋体" w:eastAsia="宋体" w:cs="宋体"/>
                      <w:b/>
                      <w:bCs/>
                      <w:i w:val="0"/>
                      <w:iCs w:val="0"/>
                      <w:color w:val="auto"/>
                      <w:sz w:val="21"/>
                      <w:szCs w:val="21"/>
                      <w:u w:val="none"/>
                      <w:lang w:val="en-US"/>
                    </w:rPr>
                  </w:pPr>
                  <w:r>
                    <w:rPr>
                      <w:rFonts w:hint="eastAsia" w:ascii="宋体" w:hAnsi="宋体" w:eastAsia="宋体" w:cs="宋体"/>
                      <w:b/>
                      <w:bCs/>
                      <w:i w:val="0"/>
                      <w:iCs w:val="0"/>
                      <w:color w:val="auto"/>
                      <w:kern w:val="0"/>
                      <w:sz w:val="21"/>
                      <w:szCs w:val="21"/>
                      <w:u w:val="none"/>
                      <w:lang w:val="en-US" w:eastAsia="zh-CN" w:bidi="ar"/>
                    </w:rPr>
                    <w:t>产生速率kg/h</w:t>
                  </w:r>
                </w:p>
              </w:tc>
              <w:tc>
                <w:tcPr>
                  <w:tcW w:w="395" w:type="pct"/>
                  <w:shd w:val="clear" w:color="auto" w:fill="auto"/>
                  <w:vAlign w:val="center"/>
                </w:tcPr>
                <w:p w14:paraId="76BF53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产生浓度</w:t>
                  </w:r>
                  <w:r>
                    <w:rPr>
                      <w:rFonts w:hint="default" w:ascii="Times New Roman" w:hAnsi="Times New Roman" w:eastAsia="宋体" w:cs="Times New Roman"/>
                      <w:b/>
                      <w:bCs/>
                      <w:i w:val="0"/>
                      <w:iCs w:val="0"/>
                      <w:color w:val="auto"/>
                      <w:kern w:val="0"/>
                      <w:sz w:val="21"/>
                      <w:szCs w:val="21"/>
                      <w:u w:val="none"/>
                      <w:lang w:val="en-US" w:eastAsia="zh-CN" w:bidi="ar"/>
                    </w:rPr>
                    <w:t>/mg/m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p>
              </w:tc>
              <w:tc>
                <w:tcPr>
                  <w:tcW w:w="394" w:type="pct"/>
                  <w:vMerge w:val="continue"/>
                  <w:shd w:val="clear" w:color="auto" w:fill="auto"/>
                  <w:vAlign w:val="center"/>
                </w:tcPr>
                <w:p w14:paraId="2A3CED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b/>
                      <w:bCs/>
                      <w:i w:val="0"/>
                      <w:iCs w:val="0"/>
                      <w:color w:val="auto"/>
                      <w:sz w:val="21"/>
                      <w:szCs w:val="21"/>
                      <w:u w:val="none"/>
                    </w:rPr>
                  </w:pPr>
                </w:p>
              </w:tc>
              <w:tc>
                <w:tcPr>
                  <w:tcW w:w="545" w:type="pct"/>
                  <w:shd w:val="clear" w:color="auto" w:fill="auto"/>
                  <w:vAlign w:val="center"/>
                </w:tcPr>
                <w:p w14:paraId="75467B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治理设施</w:t>
                  </w:r>
                </w:p>
              </w:tc>
              <w:tc>
                <w:tcPr>
                  <w:tcW w:w="339" w:type="pct"/>
                  <w:shd w:val="clear" w:color="auto" w:fill="auto"/>
                  <w:vAlign w:val="center"/>
                </w:tcPr>
                <w:p w14:paraId="2FB9B2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处理能力</w:t>
                  </w:r>
                  <w:r>
                    <w:rPr>
                      <w:rFonts w:hint="default" w:ascii="Times New Roman" w:hAnsi="Times New Roman" w:eastAsia="宋体" w:cs="Times New Roman"/>
                      <w:b/>
                      <w:bCs/>
                      <w:i w:val="0"/>
                      <w:iCs w:val="0"/>
                      <w:color w:val="auto"/>
                      <w:kern w:val="0"/>
                      <w:sz w:val="21"/>
                      <w:szCs w:val="21"/>
                      <w:u w:val="none"/>
                      <w:lang w:val="en-US" w:eastAsia="zh-CN" w:bidi="ar"/>
                    </w:rPr>
                    <w:t>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/h</w:t>
                  </w:r>
                </w:p>
              </w:tc>
              <w:tc>
                <w:tcPr>
                  <w:tcW w:w="256" w:type="pct"/>
                  <w:shd w:val="clear" w:color="auto" w:fill="auto"/>
                  <w:vAlign w:val="center"/>
                </w:tcPr>
                <w:p w14:paraId="7DC26E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收集率</w:t>
                  </w:r>
                  <w:r>
                    <w:rPr>
                      <w:rFonts w:hint="default" w:ascii="Times New Roman" w:hAnsi="Times New Roman" w:eastAsia="宋体" w:cs="Times New Roman"/>
                      <w:b/>
                      <w:bCs/>
                      <w:i w:val="0"/>
                      <w:iCs w:val="0"/>
                      <w:color w:val="auto"/>
                      <w:kern w:val="0"/>
                      <w:sz w:val="21"/>
                      <w:szCs w:val="21"/>
                      <w:u w:val="none"/>
                      <w:lang w:val="en-US" w:eastAsia="zh-CN" w:bidi="ar"/>
                    </w:rPr>
                    <w:t>%</w:t>
                  </w:r>
                </w:p>
              </w:tc>
              <w:tc>
                <w:tcPr>
                  <w:tcW w:w="273" w:type="pct"/>
                  <w:shd w:val="clear" w:color="auto" w:fill="auto"/>
                  <w:vAlign w:val="center"/>
                </w:tcPr>
                <w:p w14:paraId="5A85F2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去除率</w:t>
                  </w:r>
                  <w:r>
                    <w:rPr>
                      <w:rFonts w:hint="default" w:ascii="Times New Roman" w:hAnsi="Times New Roman" w:eastAsia="宋体" w:cs="Times New Roman"/>
                      <w:b/>
                      <w:bCs/>
                      <w:i w:val="0"/>
                      <w:iCs w:val="0"/>
                      <w:color w:val="auto"/>
                      <w:kern w:val="0"/>
                      <w:sz w:val="21"/>
                      <w:szCs w:val="21"/>
                      <w:u w:val="none"/>
                      <w:lang w:val="en-US" w:eastAsia="zh-CN" w:bidi="ar"/>
                    </w:rPr>
                    <w:t>%</w:t>
                  </w:r>
                </w:p>
              </w:tc>
              <w:tc>
                <w:tcPr>
                  <w:tcW w:w="371" w:type="pct"/>
                  <w:shd w:val="clear" w:color="auto" w:fill="auto"/>
                  <w:vAlign w:val="center"/>
                </w:tcPr>
                <w:p w14:paraId="3DA07F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是否为可行技术</w:t>
                  </w:r>
                </w:p>
              </w:tc>
              <w:tc>
                <w:tcPr>
                  <w:tcW w:w="398" w:type="pct"/>
                  <w:shd w:val="clear" w:color="auto" w:fill="auto"/>
                  <w:vAlign w:val="center"/>
                </w:tcPr>
                <w:p w14:paraId="630B3F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排放浓度</w:t>
                  </w:r>
                  <w:r>
                    <w:rPr>
                      <w:rFonts w:hint="default" w:ascii="Times New Roman" w:hAnsi="Times New Roman" w:eastAsia="宋体" w:cs="Times New Roman"/>
                      <w:b/>
                      <w:bCs/>
                      <w:i w:val="0"/>
                      <w:iCs w:val="0"/>
                      <w:color w:val="auto"/>
                      <w:kern w:val="0"/>
                      <w:sz w:val="21"/>
                      <w:szCs w:val="21"/>
                      <w:u w:val="none"/>
                      <w:lang w:val="en-US" w:eastAsia="zh-CN" w:bidi="ar"/>
                    </w:rPr>
                    <w:t>/mg/m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p>
              </w:tc>
              <w:tc>
                <w:tcPr>
                  <w:tcW w:w="344" w:type="pct"/>
                  <w:shd w:val="clear" w:color="auto" w:fill="auto"/>
                  <w:vAlign w:val="center"/>
                </w:tcPr>
                <w:p w14:paraId="191420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排放速率</w:t>
                  </w:r>
                  <w:r>
                    <w:rPr>
                      <w:rFonts w:hint="default" w:ascii="Times New Roman" w:hAnsi="Times New Roman" w:eastAsia="宋体" w:cs="Times New Roman"/>
                      <w:b/>
                      <w:bCs/>
                      <w:i w:val="0"/>
                      <w:iCs w:val="0"/>
                      <w:color w:val="auto"/>
                      <w:kern w:val="0"/>
                      <w:sz w:val="21"/>
                      <w:szCs w:val="21"/>
                      <w:u w:val="none"/>
                      <w:lang w:val="en-US" w:eastAsia="zh-CN" w:bidi="ar"/>
                    </w:rPr>
                    <w:t>/kg/h</w:t>
                  </w:r>
                </w:p>
              </w:tc>
              <w:tc>
                <w:tcPr>
                  <w:tcW w:w="300" w:type="pct"/>
                  <w:shd w:val="clear" w:color="auto" w:fill="auto"/>
                  <w:vAlign w:val="center"/>
                </w:tcPr>
                <w:p w14:paraId="07CE18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排放量</w:t>
                  </w:r>
                  <w:r>
                    <w:rPr>
                      <w:rFonts w:hint="default" w:ascii="Times New Roman" w:hAnsi="Times New Roman" w:eastAsia="宋体" w:cs="Times New Roman"/>
                      <w:b/>
                      <w:bCs/>
                      <w:i w:val="0"/>
                      <w:iCs w:val="0"/>
                      <w:color w:val="auto"/>
                      <w:kern w:val="0"/>
                      <w:sz w:val="21"/>
                      <w:szCs w:val="21"/>
                      <w:u w:val="none"/>
                      <w:lang w:val="en-US" w:eastAsia="zh-CN" w:bidi="ar"/>
                    </w:rPr>
                    <w:t>/t/a</w:t>
                  </w:r>
                </w:p>
              </w:tc>
            </w:tr>
            <w:tr w14:paraId="73A32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06" w:type="pct"/>
                  <w:vMerge w:val="restart"/>
                  <w:shd w:val="clear" w:color="auto" w:fill="auto"/>
                  <w:vAlign w:val="center"/>
                </w:tcPr>
                <w:p w14:paraId="4BED59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default" w:ascii="宋体" w:hAnsi="宋体" w:eastAsia="宋体" w:cs="宋体"/>
                      <w:i w:val="0"/>
                      <w:iCs w:val="0"/>
                      <w:color w:val="auto"/>
                      <w:sz w:val="21"/>
                      <w:szCs w:val="21"/>
                      <w:u w:val="none"/>
                      <w:lang w:val="en-US" w:eastAsia="zh-CN"/>
                    </w:rPr>
                  </w:pPr>
                  <w:r>
                    <w:rPr>
                      <w:rFonts w:hint="eastAsia" w:ascii="宋体" w:hAnsi="宋体" w:eastAsia="宋体" w:cs="宋体"/>
                      <w:i w:val="0"/>
                      <w:iCs w:val="0"/>
                      <w:color w:val="auto"/>
                      <w:sz w:val="21"/>
                      <w:szCs w:val="21"/>
                      <w:u w:val="none"/>
                      <w:lang w:val="en-US" w:eastAsia="zh-CN"/>
                    </w:rPr>
                    <w:t>研发过程</w:t>
                  </w:r>
                </w:p>
              </w:tc>
              <w:tc>
                <w:tcPr>
                  <w:tcW w:w="365" w:type="pct"/>
                  <w:shd w:val="clear" w:color="auto" w:fill="auto"/>
                  <w:vAlign w:val="center"/>
                </w:tcPr>
                <w:p w14:paraId="491C1CA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宋体" w:hAnsi="宋体" w:eastAsia="宋体" w:cs="宋体"/>
                      <w:i w:val="0"/>
                      <w:iCs w:val="0"/>
                      <w:color w:val="auto"/>
                      <w:sz w:val="21"/>
                      <w:szCs w:val="21"/>
                      <w:u w:val="none"/>
                      <w:lang w:val="en-US" w:eastAsia="zh-CN"/>
                    </w:rPr>
                  </w:pPr>
                  <w:r>
                    <w:rPr>
                      <w:rFonts w:hint="eastAsia"/>
                      <w:color w:val="auto"/>
                      <w:spacing w:val="-11"/>
                      <w:sz w:val="21"/>
                      <w:szCs w:val="21"/>
                      <w:lang w:val="en-US" w:eastAsia="zh-CN"/>
                    </w:rPr>
                    <w:t>氯化氢</w:t>
                  </w:r>
                </w:p>
              </w:tc>
              <w:tc>
                <w:tcPr>
                  <w:tcW w:w="444" w:type="pct"/>
                  <w:shd w:val="clear" w:color="auto" w:fill="auto"/>
                  <w:vAlign w:val="center"/>
                </w:tcPr>
                <w:p w14:paraId="21EAFF7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spacing w:val="-11"/>
                      <w:kern w:val="2"/>
                      <w:sz w:val="21"/>
                      <w:szCs w:val="21"/>
                      <w:lang w:val="en-US" w:eastAsia="zh-CN" w:bidi="ar-SA"/>
                    </w:rPr>
                  </w:pPr>
                  <w:r>
                    <w:rPr>
                      <w:rFonts w:hint="eastAsia" w:cs="Times New Roman"/>
                      <w:color w:val="auto"/>
                      <w:spacing w:val="-11"/>
                      <w:sz w:val="21"/>
                      <w:szCs w:val="21"/>
                      <w:lang w:val="en-US" w:eastAsia="zh-CN"/>
                    </w:rPr>
                    <w:t>0.009</w:t>
                  </w:r>
                </w:p>
              </w:tc>
              <w:tc>
                <w:tcPr>
                  <w:tcW w:w="366" w:type="pct"/>
                  <w:shd w:val="clear" w:color="auto" w:fill="auto"/>
                  <w:vAlign w:val="center"/>
                </w:tcPr>
                <w:p w14:paraId="7052D76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spacing w:val="-11"/>
                      <w:kern w:val="2"/>
                      <w:sz w:val="21"/>
                      <w:szCs w:val="21"/>
                      <w:lang w:val="en-US" w:eastAsia="zh-CN" w:bidi="ar-SA"/>
                    </w:rPr>
                  </w:pPr>
                  <w:r>
                    <w:rPr>
                      <w:rFonts w:hint="eastAsia" w:cs="Times New Roman"/>
                      <w:color w:val="auto"/>
                      <w:spacing w:val="-11"/>
                      <w:sz w:val="21"/>
                      <w:szCs w:val="21"/>
                      <w:lang w:val="en-US" w:eastAsia="zh-CN"/>
                    </w:rPr>
                    <w:t>0.004</w:t>
                  </w:r>
                </w:p>
              </w:tc>
              <w:tc>
                <w:tcPr>
                  <w:tcW w:w="395" w:type="pct"/>
                  <w:shd w:val="clear" w:color="auto" w:fill="auto"/>
                  <w:vAlign w:val="center"/>
                </w:tcPr>
                <w:p w14:paraId="0EB37F6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spacing w:val="-11"/>
                      <w:kern w:val="2"/>
                      <w:sz w:val="21"/>
                      <w:szCs w:val="21"/>
                      <w:lang w:val="en-US" w:eastAsia="zh-CN" w:bidi="ar-SA"/>
                    </w:rPr>
                  </w:pPr>
                  <w:r>
                    <w:rPr>
                      <w:rFonts w:hint="eastAsia" w:cs="Times New Roman"/>
                      <w:color w:val="auto"/>
                      <w:spacing w:val="-11"/>
                      <w:sz w:val="21"/>
                      <w:szCs w:val="21"/>
                      <w:lang w:val="en-US" w:eastAsia="zh-CN"/>
                    </w:rPr>
                    <w:t>/</w:t>
                  </w:r>
                </w:p>
              </w:tc>
              <w:tc>
                <w:tcPr>
                  <w:tcW w:w="394" w:type="pct"/>
                  <w:shd w:val="clear" w:color="auto" w:fill="auto"/>
                  <w:vAlign w:val="center"/>
                </w:tcPr>
                <w:p w14:paraId="67A769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宋体" w:hAnsi="宋体" w:eastAsia="宋体" w:cs="宋体"/>
                      <w:i w:val="0"/>
                      <w:iCs w:val="0"/>
                      <w:color w:val="auto"/>
                      <w:sz w:val="21"/>
                      <w:szCs w:val="21"/>
                      <w:u w:val="none"/>
                      <w:lang w:val="en-US" w:eastAsia="zh-CN"/>
                    </w:rPr>
                  </w:pPr>
                  <w:r>
                    <w:rPr>
                      <w:rFonts w:hint="eastAsia"/>
                      <w:color w:val="auto"/>
                      <w:spacing w:val="-11"/>
                      <w:sz w:val="21"/>
                      <w:szCs w:val="21"/>
                      <w:lang w:val="en-US" w:eastAsia="zh-CN"/>
                    </w:rPr>
                    <w:t>无组织</w:t>
                  </w:r>
                </w:p>
              </w:tc>
              <w:tc>
                <w:tcPr>
                  <w:tcW w:w="545" w:type="pct"/>
                  <w:vMerge w:val="restart"/>
                  <w:shd w:val="clear" w:color="auto" w:fill="auto"/>
                  <w:vAlign w:val="center"/>
                </w:tcPr>
                <w:p w14:paraId="183F666E">
                  <w:pPr>
                    <w:keepNext w:val="0"/>
                    <w:keepLines w:val="0"/>
                    <w:pageBreakBefore w:val="0"/>
                    <w:widowControl w:val="0"/>
                    <w:kinsoku/>
                    <w:wordWrap/>
                    <w:overflowPunct/>
                    <w:topLinePunct w:val="0"/>
                    <w:autoSpaceDE/>
                    <w:autoSpaceDN/>
                    <w:bidi w:val="0"/>
                    <w:adjustRightInd w:val="0"/>
                    <w:snapToGrid w:val="0"/>
                    <w:spacing w:line="360" w:lineRule="atLeast"/>
                    <w:ind w:firstLine="0" w:firstLineChars="0"/>
                    <w:jc w:val="center"/>
                    <w:textAlignment w:val="auto"/>
                    <w:rPr>
                      <w:rFonts w:hint="default" w:ascii="宋体" w:hAnsi="宋体" w:eastAsia="宋体" w:cs="宋体"/>
                      <w:i w:val="0"/>
                      <w:iCs w:val="0"/>
                      <w:color w:val="auto"/>
                      <w:sz w:val="21"/>
                      <w:szCs w:val="21"/>
                      <w:u w:val="none"/>
                      <w:lang w:val="en-US" w:eastAsia="zh-CN"/>
                    </w:rPr>
                  </w:pPr>
                  <w:r>
                    <w:rPr>
                      <w:rFonts w:hint="eastAsia" w:ascii="Times New Roman" w:hAnsi="Times New Roman" w:eastAsia="宋体" w:cs="Times New Roman"/>
                      <w:color w:val="auto"/>
                      <w:spacing w:val="-11"/>
                      <w:sz w:val="21"/>
                      <w:szCs w:val="21"/>
                      <w:lang w:val="en-US" w:eastAsia="zh-CN"/>
                    </w:rPr>
                    <w:t>内置SDG酸性气体吸附剂通风橱</w:t>
                  </w:r>
                </w:p>
              </w:tc>
              <w:tc>
                <w:tcPr>
                  <w:tcW w:w="339" w:type="pct"/>
                  <w:vMerge w:val="restart"/>
                  <w:shd w:val="clear" w:color="auto" w:fill="auto"/>
                  <w:vAlign w:val="center"/>
                </w:tcPr>
                <w:p w14:paraId="0CD2AC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5000</w:t>
                  </w:r>
                </w:p>
              </w:tc>
              <w:tc>
                <w:tcPr>
                  <w:tcW w:w="256" w:type="pct"/>
                  <w:vMerge w:val="restart"/>
                  <w:shd w:val="clear" w:color="auto" w:fill="auto"/>
                  <w:vAlign w:val="center"/>
                </w:tcPr>
                <w:p w14:paraId="387B88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80</w:t>
                  </w:r>
                </w:p>
              </w:tc>
              <w:tc>
                <w:tcPr>
                  <w:tcW w:w="273" w:type="pct"/>
                  <w:vMerge w:val="restart"/>
                  <w:shd w:val="clear" w:color="auto" w:fill="auto"/>
                  <w:vAlign w:val="center"/>
                </w:tcPr>
                <w:p w14:paraId="21218D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90</w:t>
                  </w:r>
                </w:p>
              </w:tc>
              <w:tc>
                <w:tcPr>
                  <w:tcW w:w="371" w:type="pct"/>
                  <w:vMerge w:val="restart"/>
                  <w:shd w:val="clear" w:color="auto" w:fill="auto"/>
                  <w:vAlign w:val="center"/>
                </w:tcPr>
                <w:p w14:paraId="1B0E89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2"/>
                      <w:sz w:val="21"/>
                      <w:szCs w:val="21"/>
                      <w:u w:val="none"/>
                      <w:lang w:val="en-US" w:eastAsia="zh-CN" w:bidi="ar-SA"/>
                    </w:rPr>
                    <w:t>是</w:t>
                  </w:r>
                </w:p>
              </w:tc>
              <w:tc>
                <w:tcPr>
                  <w:tcW w:w="398" w:type="pct"/>
                  <w:shd w:val="clear" w:color="auto" w:fill="auto"/>
                  <w:vAlign w:val="center"/>
                </w:tcPr>
                <w:p w14:paraId="098E15E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spacing w:val="-11"/>
                      <w:kern w:val="2"/>
                      <w:sz w:val="21"/>
                      <w:szCs w:val="21"/>
                      <w:lang w:val="en-US" w:eastAsia="zh-CN" w:bidi="ar-SA"/>
                    </w:rPr>
                  </w:pPr>
                  <w:r>
                    <w:rPr>
                      <w:rFonts w:hint="eastAsia" w:cs="Times New Roman"/>
                      <w:color w:val="auto"/>
                      <w:spacing w:val="-11"/>
                      <w:kern w:val="2"/>
                      <w:sz w:val="21"/>
                      <w:szCs w:val="21"/>
                      <w:lang w:val="en-US" w:eastAsia="zh-CN" w:bidi="ar-SA"/>
                    </w:rPr>
                    <w:t>/</w:t>
                  </w:r>
                </w:p>
              </w:tc>
              <w:tc>
                <w:tcPr>
                  <w:tcW w:w="344" w:type="pct"/>
                  <w:shd w:val="clear" w:color="auto" w:fill="auto"/>
                  <w:vAlign w:val="center"/>
                </w:tcPr>
                <w:p w14:paraId="6FA33A8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spacing w:val="-11"/>
                      <w:kern w:val="2"/>
                      <w:sz w:val="21"/>
                      <w:szCs w:val="21"/>
                      <w:lang w:val="en-US" w:eastAsia="zh-CN" w:bidi="ar-SA"/>
                    </w:rPr>
                  </w:pPr>
                  <w:r>
                    <w:rPr>
                      <w:rFonts w:hint="eastAsia" w:cs="Times New Roman"/>
                      <w:color w:val="auto"/>
                      <w:spacing w:val="-11"/>
                      <w:kern w:val="2"/>
                      <w:sz w:val="21"/>
                      <w:szCs w:val="21"/>
                      <w:lang w:val="en-US" w:eastAsia="zh-CN" w:bidi="ar-SA"/>
                    </w:rPr>
                    <w:t>/</w:t>
                  </w:r>
                </w:p>
              </w:tc>
              <w:tc>
                <w:tcPr>
                  <w:tcW w:w="300" w:type="pct"/>
                  <w:shd w:val="clear" w:color="auto" w:fill="auto"/>
                  <w:vAlign w:val="center"/>
                </w:tcPr>
                <w:p w14:paraId="3F1708F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spacing w:val="-11"/>
                      <w:kern w:val="2"/>
                      <w:sz w:val="21"/>
                      <w:szCs w:val="21"/>
                      <w:lang w:val="en-US" w:eastAsia="zh-CN" w:bidi="ar-SA"/>
                    </w:rPr>
                  </w:pPr>
                  <w:r>
                    <w:rPr>
                      <w:rFonts w:hint="eastAsia" w:cs="Times New Roman"/>
                      <w:color w:val="auto"/>
                      <w:spacing w:val="-11"/>
                      <w:sz w:val="21"/>
                      <w:szCs w:val="21"/>
                      <w:lang w:val="en-US" w:eastAsia="zh-CN"/>
                    </w:rPr>
                    <w:t>0.00152</w:t>
                  </w:r>
                </w:p>
              </w:tc>
            </w:tr>
            <w:tr w14:paraId="5C690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206" w:type="pct"/>
                  <w:vMerge w:val="continue"/>
                  <w:shd w:val="clear" w:color="auto" w:fill="auto"/>
                  <w:vAlign w:val="center"/>
                </w:tcPr>
                <w:p w14:paraId="1B4A2A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i w:val="0"/>
                      <w:iCs w:val="0"/>
                      <w:color w:val="auto"/>
                      <w:sz w:val="21"/>
                      <w:szCs w:val="21"/>
                      <w:u w:val="none"/>
                    </w:rPr>
                  </w:pPr>
                </w:p>
              </w:tc>
              <w:tc>
                <w:tcPr>
                  <w:tcW w:w="365" w:type="pct"/>
                  <w:shd w:val="clear" w:color="auto" w:fill="auto"/>
                  <w:vAlign w:val="center"/>
                </w:tcPr>
                <w:p w14:paraId="1E3D13A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宋体" w:hAnsi="宋体" w:eastAsia="宋体" w:cs="宋体"/>
                      <w:i w:val="0"/>
                      <w:iCs w:val="0"/>
                      <w:color w:val="auto"/>
                      <w:sz w:val="21"/>
                      <w:szCs w:val="21"/>
                      <w:u w:val="none"/>
                    </w:rPr>
                  </w:pPr>
                  <w:r>
                    <w:rPr>
                      <w:rFonts w:hint="eastAsia"/>
                      <w:color w:val="auto"/>
                      <w:spacing w:val="-11"/>
                      <w:sz w:val="21"/>
                      <w:szCs w:val="21"/>
                      <w:lang w:val="en-US" w:eastAsia="zh-CN"/>
                    </w:rPr>
                    <w:t>氮氧化物</w:t>
                  </w:r>
                </w:p>
              </w:tc>
              <w:tc>
                <w:tcPr>
                  <w:tcW w:w="444" w:type="pct"/>
                  <w:shd w:val="clear" w:color="auto" w:fill="auto"/>
                  <w:vAlign w:val="center"/>
                </w:tcPr>
                <w:p w14:paraId="00C930F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spacing w:val="-11"/>
                      <w:kern w:val="2"/>
                      <w:sz w:val="21"/>
                      <w:szCs w:val="21"/>
                      <w:lang w:val="en-US" w:eastAsia="zh-CN" w:bidi="ar-SA"/>
                    </w:rPr>
                  </w:pPr>
                  <w:r>
                    <w:rPr>
                      <w:rFonts w:hint="eastAsia" w:cs="Times New Roman"/>
                      <w:color w:val="auto"/>
                      <w:spacing w:val="-11"/>
                      <w:sz w:val="21"/>
                      <w:szCs w:val="21"/>
                      <w:lang w:val="en-US" w:eastAsia="zh-CN"/>
                    </w:rPr>
                    <w:t>0.005</w:t>
                  </w:r>
                </w:p>
              </w:tc>
              <w:tc>
                <w:tcPr>
                  <w:tcW w:w="366" w:type="pct"/>
                  <w:shd w:val="clear" w:color="auto" w:fill="auto"/>
                  <w:vAlign w:val="center"/>
                </w:tcPr>
                <w:p w14:paraId="23A6261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spacing w:val="-11"/>
                      <w:kern w:val="2"/>
                      <w:sz w:val="21"/>
                      <w:szCs w:val="21"/>
                      <w:lang w:val="en-US" w:eastAsia="zh-CN" w:bidi="ar-SA"/>
                    </w:rPr>
                  </w:pPr>
                  <w:r>
                    <w:rPr>
                      <w:rFonts w:hint="eastAsia" w:cs="Times New Roman"/>
                      <w:color w:val="auto"/>
                      <w:spacing w:val="-11"/>
                      <w:sz w:val="21"/>
                      <w:szCs w:val="21"/>
                      <w:lang w:val="en-US" w:eastAsia="zh-CN"/>
                    </w:rPr>
                    <w:t>0.002</w:t>
                  </w:r>
                </w:p>
              </w:tc>
              <w:tc>
                <w:tcPr>
                  <w:tcW w:w="395" w:type="pct"/>
                  <w:shd w:val="clear" w:color="auto" w:fill="auto"/>
                  <w:vAlign w:val="center"/>
                </w:tcPr>
                <w:p w14:paraId="413E7D2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spacing w:val="-11"/>
                      <w:kern w:val="2"/>
                      <w:sz w:val="21"/>
                      <w:szCs w:val="21"/>
                      <w:lang w:val="en-US" w:eastAsia="zh-CN" w:bidi="ar-SA"/>
                    </w:rPr>
                  </w:pPr>
                  <w:r>
                    <w:rPr>
                      <w:rFonts w:hint="eastAsia" w:cs="Times New Roman"/>
                      <w:color w:val="auto"/>
                      <w:spacing w:val="-11"/>
                      <w:sz w:val="21"/>
                      <w:szCs w:val="21"/>
                      <w:lang w:val="en-US" w:eastAsia="zh-CN"/>
                    </w:rPr>
                    <w:t>/</w:t>
                  </w:r>
                </w:p>
              </w:tc>
              <w:tc>
                <w:tcPr>
                  <w:tcW w:w="394" w:type="pct"/>
                  <w:shd w:val="clear" w:color="auto" w:fill="auto"/>
                  <w:vAlign w:val="center"/>
                </w:tcPr>
                <w:p w14:paraId="58FDF2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leftChars="0" w:right="0" w:rightChars="0" w:firstLine="0" w:firstLineChars="0"/>
                    <w:jc w:val="center"/>
                    <w:rPr>
                      <w:rFonts w:hint="eastAsia" w:ascii="宋体" w:hAnsi="宋体" w:eastAsia="宋体" w:cs="宋体"/>
                      <w:i w:val="0"/>
                      <w:iCs w:val="0"/>
                      <w:color w:val="auto"/>
                      <w:sz w:val="21"/>
                      <w:szCs w:val="21"/>
                      <w:u w:val="none"/>
                      <w:lang w:val="en-US" w:eastAsia="zh-CN"/>
                    </w:rPr>
                  </w:pPr>
                  <w:r>
                    <w:rPr>
                      <w:rFonts w:hint="eastAsia"/>
                      <w:color w:val="auto"/>
                      <w:spacing w:val="-11"/>
                      <w:sz w:val="21"/>
                      <w:szCs w:val="21"/>
                      <w:lang w:val="en-US" w:eastAsia="zh-CN"/>
                    </w:rPr>
                    <w:t>无组织</w:t>
                  </w:r>
                </w:p>
              </w:tc>
              <w:tc>
                <w:tcPr>
                  <w:tcW w:w="545" w:type="pct"/>
                  <w:vMerge w:val="continue"/>
                  <w:shd w:val="clear" w:color="auto" w:fill="auto"/>
                  <w:vAlign w:val="center"/>
                </w:tcPr>
                <w:p w14:paraId="651DA0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i w:val="0"/>
                      <w:iCs w:val="0"/>
                      <w:color w:val="auto"/>
                      <w:sz w:val="21"/>
                      <w:szCs w:val="21"/>
                      <w:u w:val="none"/>
                    </w:rPr>
                  </w:pPr>
                </w:p>
              </w:tc>
              <w:tc>
                <w:tcPr>
                  <w:tcW w:w="339" w:type="pct"/>
                  <w:vMerge w:val="continue"/>
                  <w:shd w:val="clear" w:color="auto" w:fill="auto"/>
                  <w:vAlign w:val="center"/>
                </w:tcPr>
                <w:p w14:paraId="376F7B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Times New Roman" w:hAnsi="Times New Roman" w:eastAsia="宋体" w:cs="Times New Roman"/>
                      <w:i w:val="0"/>
                      <w:iCs w:val="0"/>
                      <w:color w:val="auto"/>
                      <w:sz w:val="21"/>
                      <w:szCs w:val="21"/>
                      <w:u w:val="none"/>
                    </w:rPr>
                  </w:pPr>
                </w:p>
              </w:tc>
              <w:tc>
                <w:tcPr>
                  <w:tcW w:w="256" w:type="pct"/>
                  <w:vMerge w:val="continue"/>
                  <w:shd w:val="clear" w:color="auto" w:fill="auto"/>
                  <w:vAlign w:val="center"/>
                </w:tcPr>
                <w:p w14:paraId="0F82D2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Times New Roman" w:hAnsi="Times New Roman" w:eastAsia="宋体" w:cs="Times New Roman"/>
                      <w:i w:val="0"/>
                      <w:iCs w:val="0"/>
                      <w:color w:val="auto"/>
                      <w:sz w:val="21"/>
                      <w:szCs w:val="21"/>
                      <w:u w:val="none"/>
                    </w:rPr>
                  </w:pPr>
                </w:p>
              </w:tc>
              <w:tc>
                <w:tcPr>
                  <w:tcW w:w="273" w:type="pct"/>
                  <w:vMerge w:val="continue"/>
                  <w:shd w:val="clear" w:color="auto" w:fill="auto"/>
                  <w:vAlign w:val="center"/>
                </w:tcPr>
                <w:p w14:paraId="44A201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Times New Roman" w:hAnsi="Times New Roman" w:eastAsia="宋体" w:cs="Times New Roman"/>
                      <w:i w:val="0"/>
                      <w:iCs w:val="0"/>
                      <w:color w:val="auto"/>
                      <w:sz w:val="21"/>
                      <w:szCs w:val="21"/>
                      <w:u w:val="none"/>
                    </w:rPr>
                  </w:pPr>
                </w:p>
              </w:tc>
              <w:tc>
                <w:tcPr>
                  <w:tcW w:w="371" w:type="pct"/>
                  <w:vMerge w:val="continue"/>
                  <w:shd w:val="clear" w:color="auto" w:fill="auto"/>
                  <w:vAlign w:val="center"/>
                </w:tcPr>
                <w:p w14:paraId="7BBDFA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i w:val="0"/>
                      <w:iCs w:val="0"/>
                      <w:color w:val="auto"/>
                      <w:sz w:val="21"/>
                      <w:szCs w:val="21"/>
                      <w:u w:val="none"/>
                    </w:rPr>
                  </w:pPr>
                </w:p>
              </w:tc>
              <w:tc>
                <w:tcPr>
                  <w:tcW w:w="398" w:type="pct"/>
                  <w:shd w:val="clear" w:color="auto" w:fill="auto"/>
                  <w:vAlign w:val="center"/>
                </w:tcPr>
                <w:p w14:paraId="18710F0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color w:val="auto"/>
                      <w:spacing w:val="-11"/>
                      <w:kern w:val="2"/>
                      <w:sz w:val="21"/>
                      <w:szCs w:val="21"/>
                      <w:lang w:val="en-US" w:eastAsia="zh-CN" w:bidi="ar-SA"/>
                    </w:rPr>
                    <w:t>/</w:t>
                  </w:r>
                </w:p>
              </w:tc>
              <w:tc>
                <w:tcPr>
                  <w:tcW w:w="344" w:type="pct"/>
                  <w:shd w:val="clear" w:color="auto" w:fill="auto"/>
                  <w:vAlign w:val="center"/>
                </w:tcPr>
                <w:p w14:paraId="389DDEB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color w:val="auto"/>
                      <w:spacing w:val="-11"/>
                      <w:kern w:val="2"/>
                      <w:sz w:val="21"/>
                      <w:szCs w:val="21"/>
                      <w:lang w:val="en-US" w:eastAsia="zh-CN" w:bidi="ar-SA"/>
                    </w:rPr>
                    <w:t>/</w:t>
                  </w:r>
                </w:p>
              </w:tc>
              <w:tc>
                <w:tcPr>
                  <w:tcW w:w="300" w:type="pct"/>
                  <w:shd w:val="clear" w:color="auto" w:fill="auto"/>
                  <w:vAlign w:val="center"/>
                </w:tcPr>
                <w:p w14:paraId="684D39F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spacing w:val="-11"/>
                      <w:kern w:val="2"/>
                      <w:sz w:val="21"/>
                      <w:szCs w:val="21"/>
                      <w:lang w:val="en-US" w:eastAsia="zh-CN" w:bidi="ar-SA"/>
                    </w:rPr>
                  </w:pPr>
                  <w:r>
                    <w:rPr>
                      <w:rFonts w:hint="eastAsia" w:cs="Times New Roman"/>
                      <w:color w:val="auto"/>
                      <w:spacing w:val="-11"/>
                      <w:sz w:val="21"/>
                      <w:szCs w:val="21"/>
                      <w:lang w:val="en-US" w:eastAsia="zh-CN"/>
                    </w:rPr>
                    <w:t>0.0014</w:t>
                  </w:r>
                </w:p>
              </w:tc>
            </w:tr>
            <w:tr w14:paraId="04FD6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06" w:type="pct"/>
                  <w:vMerge w:val="continue"/>
                  <w:shd w:val="clear" w:color="auto" w:fill="auto"/>
                  <w:vAlign w:val="center"/>
                </w:tcPr>
                <w:p w14:paraId="276E51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i w:val="0"/>
                      <w:iCs w:val="0"/>
                      <w:color w:val="auto"/>
                      <w:sz w:val="21"/>
                      <w:szCs w:val="21"/>
                      <w:u w:val="none"/>
                    </w:rPr>
                  </w:pPr>
                </w:p>
              </w:tc>
              <w:tc>
                <w:tcPr>
                  <w:tcW w:w="365" w:type="pct"/>
                  <w:shd w:val="clear" w:color="auto" w:fill="auto"/>
                  <w:vAlign w:val="center"/>
                </w:tcPr>
                <w:p w14:paraId="1A374F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非甲烷总烃</w:t>
                  </w:r>
                </w:p>
              </w:tc>
              <w:tc>
                <w:tcPr>
                  <w:tcW w:w="444" w:type="pct"/>
                  <w:shd w:val="clear" w:color="auto" w:fill="auto"/>
                  <w:vAlign w:val="center"/>
                </w:tcPr>
                <w:p w14:paraId="075EE71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0.0484</w:t>
                  </w:r>
                </w:p>
              </w:tc>
              <w:tc>
                <w:tcPr>
                  <w:tcW w:w="366" w:type="pct"/>
                  <w:shd w:val="clear" w:color="auto" w:fill="auto"/>
                  <w:vAlign w:val="center"/>
                </w:tcPr>
                <w:p w14:paraId="63CA46C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0.0242</w:t>
                  </w:r>
                </w:p>
              </w:tc>
              <w:tc>
                <w:tcPr>
                  <w:tcW w:w="395" w:type="pct"/>
                  <w:shd w:val="clear" w:color="auto" w:fill="auto"/>
                  <w:vAlign w:val="center"/>
                </w:tcPr>
                <w:p w14:paraId="1B73CD2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394" w:type="pct"/>
                  <w:shd w:val="clear" w:color="auto" w:fill="auto"/>
                  <w:vAlign w:val="center"/>
                </w:tcPr>
                <w:p w14:paraId="17AD84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leftChars="0" w:right="0" w:rightChars="0" w:firstLine="0" w:firstLineChars="0"/>
                    <w:jc w:val="center"/>
                    <w:rPr>
                      <w:rFonts w:hint="eastAsia"/>
                      <w:color w:val="auto"/>
                      <w:spacing w:val="-11"/>
                      <w:sz w:val="21"/>
                      <w:szCs w:val="21"/>
                      <w:lang w:val="en-US" w:eastAsia="zh-CN"/>
                    </w:rPr>
                  </w:pPr>
                  <w:r>
                    <w:rPr>
                      <w:rFonts w:hint="eastAsia"/>
                      <w:color w:val="auto"/>
                      <w:spacing w:val="-11"/>
                      <w:sz w:val="21"/>
                      <w:szCs w:val="21"/>
                      <w:lang w:val="en-US" w:eastAsia="zh-CN"/>
                    </w:rPr>
                    <w:t>无组织</w:t>
                  </w:r>
                </w:p>
              </w:tc>
              <w:tc>
                <w:tcPr>
                  <w:tcW w:w="545" w:type="pct"/>
                  <w:shd w:val="clear" w:color="auto" w:fill="auto"/>
                  <w:vAlign w:val="center"/>
                </w:tcPr>
                <w:p w14:paraId="727087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两级活性炭</w:t>
                  </w:r>
                </w:p>
              </w:tc>
              <w:tc>
                <w:tcPr>
                  <w:tcW w:w="339" w:type="pct"/>
                  <w:shd w:val="clear" w:color="auto" w:fill="auto"/>
                  <w:vAlign w:val="center"/>
                </w:tcPr>
                <w:p w14:paraId="0534FE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5000</w:t>
                  </w:r>
                </w:p>
              </w:tc>
              <w:tc>
                <w:tcPr>
                  <w:tcW w:w="256" w:type="pct"/>
                  <w:shd w:val="clear" w:color="auto" w:fill="auto"/>
                  <w:vAlign w:val="center"/>
                </w:tcPr>
                <w:p w14:paraId="206716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c>
                <w:tcPr>
                  <w:tcW w:w="273" w:type="pct"/>
                  <w:shd w:val="clear" w:color="auto" w:fill="auto"/>
                  <w:vAlign w:val="center"/>
                </w:tcPr>
                <w:p w14:paraId="029261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52</w:t>
                  </w:r>
                </w:p>
              </w:tc>
              <w:tc>
                <w:tcPr>
                  <w:tcW w:w="371" w:type="pct"/>
                  <w:shd w:val="clear" w:color="auto" w:fill="auto"/>
                  <w:vAlign w:val="center"/>
                </w:tcPr>
                <w:p w14:paraId="340440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是</w:t>
                  </w:r>
                </w:p>
              </w:tc>
              <w:tc>
                <w:tcPr>
                  <w:tcW w:w="398" w:type="pct"/>
                  <w:shd w:val="clear" w:color="auto" w:fill="auto"/>
                  <w:vAlign w:val="center"/>
                </w:tcPr>
                <w:p w14:paraId="0E87481C">
                  <w:pPr>
                    <w:keepNext w:val="0"/>
                    <w:keepLines w:val="0"/>
                    <w:pageBreakBefore w:val="0"/>
                    <w:widowControl/>
                    <w:suppressLineNumbers w:val="0"/>
                    <w:kinsoku/>
                    <w:wordWrap/>
                    <w:overflowPunct/>
                    <w:topLinePunct w:val="0"/>
                    <w:autoSpaceDE/>
                    <w:autoSpaceDN/>
                    <w:bidi w:val="0"/>
                    <w:adjustRightInd/>
                    <w:snapToGrid/>
                    <w:spacing w:line="360" w:lineRule="atLeast"/>
                    <w:ind w:firstLine="0" w:firstLineChars="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w:t>
                  </w:r>
                </w:p>
              </w:tc>
              <w:tc>
                <w:tcPr>
                  <w:tcW w:w="344" w:type="pct"/>
                  <w:shd w:val="clear" w:color="auto" w:fill="auto"/>
                  <w:vAlign w:val="center"/>
                </w:tcPr>
                <w:p w14:paraId="0C5F1FC9">
                  <w:pPr>
                    <w:keepNext w:val="0"/>
                    <w:keepLines w:val="0"/>
                    <w:pageBreakBefore w:val="0"/>
                    <w:widowControl/>
                    <w:suppressLineNumbers w:val="0"/>
                    <w:kinsoku/>
                    <w:wordWrap/>
                    <w:overflowPunct/>
                    <w:topLinePunct w:val="0"/>
                    <w:autoSpaceDE/>
                    <w:autoSpaceDN/>
                    <w:bidi w:val="0"/>
                    <w:adjustRightInd/>
                    <w:snapToGrid/>
                    <w:spacing w:line="360" w:lineRule="atLeast"/>
                    <w:ind w:firstLine="0" w:firstLineChars="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w:t>
                  </w:r>
                </w:p>
              </w:tc>
              <w:tc>
                <w:tcPr>
                  <w:tcW w:w="300" w:type="pct"/>
                  <w:shd w:val="clear" w:color="auto" w:fill="auto"/>
                  <w:vAlign w:val="center"/>
                </w:tcPr>
                <w:p w14:paraId="48331D6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0.0184</w:t>
                  </w:r>
                </w:p>
              </w:tc>
            </w:tr>
            <w:tr w14:paraId="67610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206" w:type="pct"/>
                  <w:vMerge w:val="continue"/>
                  <w:shd w:val="clear" w:color="auto" w:fill="auto"/>
                  <w:vAlign w:val="center"/>
                </w:tcPr>
                <w:p w14:paraId="0CED5D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i w:val="0"/>
                      <w:iCs w:val="0"/>
                      <w:color w:val="auto"/>
                      <w:sz w:val="21"/>
                      <w:szCs w:val="21"/>
                      <w:u w:val="none"/>
                    </w:rPr>
                  </w:pPr>
                </w:p>
              </w:tc>
              <w:tc>
                <w:tcPr>
                  <w:tcW w:w="365" w:type="pct"/>
                  <w:shd w:val="clear" w:color="auto" w:fill="auto"/>
                  <w:vAlign w:val="center"/>
                </w:tcPr>
                <w:p w14:paraId="0CA4B9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焊接</w:t>
                  </w:r>
                </w:p>
                <w:p w14:paraId="727B75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烟尘</w:t>
                  </w:r>
                </w:p>
              </w:tc>
              <w:tc>
                <w:tcPr>
                  <w:tcW w:w="444" w:type="pct"/>
                  <w:shd w:val="clear" w:color="auto" w:fill="auto"/>
                  <w:vAlign w:val="center"/>
                </w:tcPr>
                <w:p w14:paraId="0AD36F7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0.0008</w:t>
                  </w:r>
                </w:p>
              </w:tc>
              <w:tc>
                <w:tcPr>
                  <w:tcW w:w="366" w:type="pct"/>
                  <w:shd w:val="clear" w:color="auto" w:fill="auto"/>
                  <w:vAlign w:val="center"/>
                </w:tcPr>
                <w:p w14:paraId="7792EB4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395" w:type="pct"/>
                  <w:shd w:val="clear" w:color="auto" w:fill="auto"/>
                  <w:vAlign w:val="center"/>
                </w:tcPr>
                <w:p w14:paraId="32476CA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394" w:type="pct"/>
                  <w:shd w:val="clear" w:color="auto" w:fill="auto"/>
                  <w:vAlign w:val="center"/>
                </w:tcPr>
                <w:p w14:paraId="781584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leftChars="0" w:right="0" w:rightChars="0" w:firstLine="0" w:firstLineChars="0"/>
                    <w:jc w:val="center"/>
                    <w:rPr>
                      <w:rFonts w:hint="eastAsia"/>
                      <w:color w:val="auto"/>
                      <w:spacing w:val="-11"/>
                      <w:sz w:val="21"/>
                      <w:szCs w:val="21"/>
                      <w:lang w:val="en-US" w:eastAsia="zh-CN"/>
                    </w:rPr>
                  </w:pPr>
                  <w:r>
                    <w:rPr>
                      <w:rFonts w:hint="eastAsia"/>
                      <w:color w:val="auto"/>
                      <w:spacing w:val="-11"/>
                      <w:sz w:val="21"/>
                      <w:szCs w:val="21"/>
                      <w:lang w:val="en-US" w:eastAsia="zh-CN"/>
                    </w:rPr>
                    <w:t>无组织</w:t>
                  </w:r>
                </w:p>
              </w:tc>
              <w:tc>
                <w:tcPr>
                  <w:tcW w:w="545" w:type="pct"/>
                  <w:shd w:val="clear" w:color="auto" w:fill="auto"/>
                  <w:vAlign w:val="center"/>
                </w:tcPr>
                <w:p w14:paraId="3107FE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宋体" w:hAnsi="宋体" w:eastAsia="宋体" w:cs="宋体"/>
                      <w:i w:val="0"/>
                      <w:iCs w:val="0"/>
                      <w:color w:val="auto"/>
                      <w:sz w:val="21"/>
                      <w:szCs w:val="21"/>
                      <w:u w:val="none"/>
                      <w:lang w:val="en-US"/>
                    </w:rPr>
                  </w:pPr>
                  <w:r>
                    <w:rPr>
                      <w:rFonts w:hint="eastAsia" w:ascii="Times New Roman" w:hAnsi="Times New Roman" w:eastAsia="宋体" w:cs="Times New Roman"/>
                      <w:color w:val="auto"/>
                      <w:spacing w:val="-11"/>
                      <w:sz w:val="21"/>
                      <w:szCs w:val="21"/>
                      <w:lang w:val="en-US" w:eastAsia="zh-CN"/>
                    </w:rPr>
                    <w:t>焊接烟尘净化器</w:t>
                  </w:r>
                </w:p>
              </w:tc>
              <w:tc>
                <w:tcPr>
                  <w:tcW w:w="339" w:type="pct"/>
                  <w:shd w:val="clear" w:color="auto" w:fill="auto"/>
                  <w:vAlign w:val="center"/>
                </w:tcPr>
                <w:p w14:paraId="68B041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c>
                <w:tcPr>
                  <w:tcW w:w="256" w:type="pct"/>
                  <w:shd w:val="clear" w:color="auto" w:fill="auto"/>
                  <w:vAlign w:val="center"/>
                </w:tcPr>
                <w:p w14:paraId="2849BA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c>
                <w:tcPr>
                  <w:tcW w:w="273" w:type="pct"/>
                  <w:shd w:val="clear" w:color="auto" w:fill="auto"/>
                  <w:vAlign w:val="center"/>
                </w:tcPr>
                <w:p w14:paraId="3B95DF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80</w:t>
                  </w:r>
                </w:p>
              </w:tc>
              <w:tc>
                <w:tcPr>
                  <w:tcW w:w="371" w:type="pct"/>
                  <w:shd w:val="clear" w:color="auto" w:fill="auto"/>
                  <w:vAlign w:val="center"/>
                </w:tcPr>
                <w:p w14:paraId="161ADC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是</w:t>
                  </w:r>
                </w:p>
              </w:tc>
              <w:tc>
                <w:tcPr>
                  <w:tcW w:w="398" w:type="pct"/>
                  <w:shd w:val="clear" w:color="auto" w:fill="auto"/>
                  <w:vAlign w:val="center"/>
                </w:tcPr>
                <w:p w14:paraId="7EDBD5DC">
                  <w:pPr>
                    <w:keepNext w:val="0"/>
                    <w:keepLines w:val="0"/>
                    <w:pageBreakBefore w:val="0"/>
                    <w:widowControl/>
                    <w:suppressLineNumbers w:val="0"/>
                    <w:kinsoku/>
                    <w:wordWrap/>
                    <w:overflowPunct/>
                    <w:topLinePunct w:val="0"/>
                    <w:autoSpaceDE/>
                    <w:autoSpaceDN/>
                    <w:bidi w:val="0"/>
                    <w:adjustRightInd/>
                    <w:snapToGrid/>
                    <w:spacing w:line="360" w:lineRule="atLeast"/>
                    <w:ind w:firstLine="0" w:firstLineChars="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w:t>
                  </w:r>
                </w:p>
              </w:tc>
              <w:tc>
                <w:tcPr>
                  <w:tcW w:w="344" w:type="pct"/>
                  <w:shd w:val="clear" w:color="auto" w:fill="auto"/>
                  <w:vAlign w:val="center"/>
                </w:tcPr>
                <w:p w14:paraId="54676A98">
                  <w:pPr>
                    <w:keepNext w:val="0"/>
                    <w:keepLines w:val="0"/>
                    <w:pageBreakBefore w:val="0"/>
                    <w:widowControl/>
                    <w:suppressLineNumbers w:val="0"/>
                    <w:kinsoku/>
                    <w:wordWrap/>
                    <w:overflowPunct/>
                    <w:topLinePunct w:val="0"/>
                    <w:autoSpaceDE/>
                    <w:autoSpaceDN/>
                    <w:bidi w:val="0"/>
                    <w:adjustRightInd/>
                    <w:snapToGrid/>
                    <w:spacing w:line="360" w:lineRule="atLeast"/>
                    <w:ind w:firstLine="0" w:firstLineChars="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w:t>
                  </w:r>
                </w:p>
              </w:tc>
              <w:tc>
                <w:tcPr>
                  <w:tcW w:w="300" w:type="pct"/>
                  <w:shd w:val="clear" w:color="auto" w:fill="auto"/>
                  <w:vAlign w:val="center"/>
                </w:tcPr>
                <w:p w14:paraId="1D19858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s="Times New Roman"/>
                      <w:color w:val="auto"/>
                      <w:spacing w:val="-11"/>
                      <w:sz w:val="21"/>
                      <w:szCs w:val="21"/>
                      <w:lang w:val="en-US" w:eastAsia="zh-CN"/>
                    </w:rPr>
                  </w:pPr>
                  <w:r>
                    <w:rPr>
                      <w:rFonts w:hint="eastAsia" w:cs="Times New Roman"/>
                      <w:color w:val="auto"/>
                      <w:spacing w:val="-11"/>
                      <w:sz w:val="21"/>
                      <w:szCs w:val="21"/>
                      <w:lang w:val="en-US" w:eastAsia="zh-CN"/>
                    </w:rPr>
                    <w:t>0.00016</w:t>
                  </w:r>
                </w:p>
              </w:tc>
            </w:tr>
            <w:tr w14:paraId="03F28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06" w:type="pct"/>
                  <w:shd w:val="clear" w:color="auto" w:fill="auto"/>
                  <w:vAlign w:val="center"/>
                </w:tcPr>
                <w:p w14:paraId="087AF6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i w:val="0"/>
                      <w:iCs w:val="0"/>
                      <w:color w:val="auto"/>
                      <w:sz w:val="21"/>
                      <w:szCs w:val="21"/>
                      <w:u w:val="none"/>
                    </w:rPr>
                  </w:pPr>
                  <w:r>
                    <w:rPr>
                      <w:rFonts w:hint="eastAsia" w:ascii="宋体" w:hAnsi="宋体" w:cs="宋体"/>
                      <w:i w:val="0"/>
                      <w:iCs w:val="0"/>
                      <w:color w:val="auto"/>
                      <w:sz w:val="21"/>
                      <w:szCs w:val="21"/>
                      <w:u w:val="none"/>
                      <w:lang w:val="en-US" w:eastAsia="zh-CN"/>
                    </w:rPr>
                    <w:t>餐厅</w:t>
                  </w:r>
                </w:p>
              </w:tc>
              <w:tc>
                <w:tcPr>
                  <w:tcW w:w="365" w:type="pct"/>
                  <w:shd w:val="clear" w:color="auto" w:fill="auto"/>
                  <w:vAlign w:val="center"/>
                </w:tcPr>
                <w:p w14:paraId="2645F1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餐厅</w:t>
                  </w:r>
                </w:p>
                <w:p w14:paraId="6836A0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油烟</w:t>
                  </w:r>
                </w:p>
              </w:tc>
              <w:tc>
                <w:tcPr>
                  <w:tcW w:w="444" w:type="pct"/>
                  <w:shd w:val="clear" w:color="auto" w:fill="auto"/>
                  <w:vAlign w:val="center"/>
                </w:tcPr>
                <w:p w14:paraId="73F5E7C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0.54</w:t>
                  </w:r>
                </w:p>
              </w:tc>
              <w:tc>
                <w:tcPr>
                  <w:tcW w:w="366" w:type="pct"/>
                  <w:shd w:val="clear" w:color="auto" w:fill="auto"/>
                  <w:vAlign w:val="center"/>
                </w:tcPr>
                <w:p w14:paraId="042D004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395" w:type="pct"/>
                  <w:shd w:val="clear" w:color="auto" w:fill="auto"/>
                  <w:vAlign w:val="center"/>
                </w:tcPr>
                <w:p w14:paraId="3269847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394" w:type="pct"/>
                  <w:shd w:val="clear" w:color="auto" w:fill="auto"/>
                  <w:vAlign w:val="center"/>
                </w:tcPr>
                <w:p w14:paraId="13123D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leftChars="0" w:right="0" w:rightChars="0" w:firstLine="0" w:firstLineChars="0"/>
                    <w:jc w:val="center"/>
                    <w:rPr>
                      <w:rFonts w:hint="default"/>
                      <w:color w:val="auto"/>
                      <w:spacing w:val="-11"/>
                      <w:sz w:val="21"/>
                      <w:szCs w:val="21"/>
                      <w:lang w:val="en-US" w:eastAsia="zh-CN"/>
                    </w:rPr>
                  </w:pPr>
                  <w:r>
                    <w:rPr>
                      <w:rFonts w:hint="eastAsia"/>
                      <w:color w:val="auto"/>
                      <w:spacing w:val="-11"/>
                      <w:sz w:val="21"/>
                      <w:szCs w:val="21"/>
                      <w:lang w:val="en-US" w:eastAsia="zh-CN"/>
                    </w:rPr>
                    <w:t>无组织</w:t>
                  </w:r>
                </w:p>
              </w:tc>
              <w:tc>
                <w:tcPr>
                  <w:tcW w:w="545" w:type="pct"/>
                  <w:shd w:val="clear" w:color="auto" w:fill="auto"/>
                  <w:vAlign w:val="center"/>
                </w:tcPr>
                <w:p w14:paraId="734DF3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i w:val="0"/>
                      <w:iCs w:val="0"/>
                      <w:color w:val="auto"/>
                      <w:sz w:val="21"/>
                      <w:szCs w:val="21"/>
                      <w:u w:val="none"/>
                    </w:rPr>
                  </w:pPr>
                  <w:r>
                    <w:rPr>
                      <w:rFonts w:hint="eastAsia" w:ascii="Times New Roman" w:hAnsi="Times New Roman" w:eastAsia="宋体" w:cs="Times New Roman"/>
                      <w:color w:val="auto"/>
                      <w:spacing w:val="-11"/>
                      <w:sz w:val="21"/>
                      <w:szCs w:val="21"/>
                      <w:lang w:val="en-US" w:eastAsia="zh-CN"/>
                    </w:rPr>
                    <w:t>油烟净化器</w:t>
                  </w:r>
                </w:p>
              </w:tc>
              <w:tc>
                <w:tcPr>
                  <w:tcW w:w="339" w:type="pct"/>
                  <w:shd w:val="clear" w:color="auto" w:fill="auto"/>
                  <w:vAlign w:val="center"/>
                </w:tcPr>
                <w:p w14:paraId="391529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c>
                <w:tcPr>
                  <w:tcW w:w="256" w:type="pct"/>
                  <w:shd w:val="clear" w:color="auto" w:fill="auto"/>
                  <w:vAlign w:val="center"/>
                </w:tcPr>
                <w:p w14:paraId="46E165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c>
                <w:tcPr>
                  <w:tcW w:w="273" w:type="pct"/>
                  <w:shd w:val="clear" w:color="auto" w:fill="auto"/>
                  <w:vAlign w:val="center"/>
                </w:tcPr>
                <w:p w14:paraId="7B87F5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85</w:t>
                  </w:r>
                </w:p>
              </w:tc>
              <w:tc>
                <w:tcPr>
                  <w:tcW w:w="371" w:type="pct"/>
                  <w:shd w:val="clear" w:color="auto" w:fill="auto"/>
                  <w:vAlign w:val="center"/>
                </w:tcPr>
                <w:p w14:paraId="295D4E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0" w:firstLineChars="0"/>
                    <w:jc w:val="center"/>
                    <w:rPr>
                      <w:rFonts w:hint="eastAsia"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是</w:t>
                  </w:r>
                </w:p>
              </w:tc>
              <w:tc>
                <w:tcPr>
                  <w:tcW w:w="398" w:type="pct"/>
                  <w:shd w:val="clear" w:color="auto" w:fill="auto"/>
                  <w:vAlign w:val="center"/>
                </w:tcPr>
                <w:p w14:paraId="133D5A12">
                  <w:pPr>
                    <w:keepNext w:val="0"/>
                    <w:keepLines w:val="0"/>
                    <w:pageBreakBefore w:val="0"/>
                    <w:widowControl/>
                    <w:suppressLineNumbers w:val="0"/>
                    <w:kinsoku/>
                    <w:wordWrap/>
                    <w:overflowPunct/>
                    <w:topLinePunct w:val="0"/>
                    <w:autoSpaceDE/>
                    <w:autoSpaceDN/>
                    <w:bidi w:val="0"/>
                    <w:adjustRightInd/>
                    <w:snapToGrid/>
                    <w:spacing w:line="360" w:lineRule="atLeast"/>
                    <w:ind w:firstLine="0" w:firstLineChars="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w:t>
                  </w:r>
                </w:p>
              </w:tc>
              <w:tc>
                <w:tcPr>
                  <w:tcW w:w="344" w:type="pct"/>
                  <w:shd w:val="clear" w:color="auto" w:fill="auto"/>
                  <w:vAlign w:val="center"/>
                </w:tcPr>
                <w:p w14:paraId="50EF2C6A">
                  <w:pPr>
                    <w:keepNext w:val="0"/>
                    <w:keepLines w:val="0"/>
                    <w:pageBreakBefore w:val="0"/>
                    <w:widowControl/>
                    <w:suppressLineNumbers w:val="0"/>
                    <w:kinsoku/>
                    <w:wordWrap/>
                    <w:overflowPunct/>
                    <w:topLinePunct w:val="0"/>
                    <w:autoSpaceDE/>
                    <w:autoSpaceDN/>
                    <w:bidi w:val="0"/>
                    <w:adjustRightInd/>
                    <w:snapToGrid/>
                    <w:spacing w:line="360" w:lineRule="atLeast"/>
                    <w:ind w:firstLine="0" w:firstLineChars="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w:t>
                  </w:r>
                </w:p>
              </w:tc>
              <w:tc>
                <w:tcPr>
                  <w:tcW w:w="300" w:type="pct"/>
                  <w:shd w:val="clear" w:color="auto" w:fill="auto"/>
                  <w:vAlign w:val="center"/>
                </w:tcPr>
                <w:p w14:paraId="7DF8DBD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0.081</w:t>
                  </w:r>
                </w:p>
              </w:tc>
            </w:tr>
          </w:tbl>
          <w:p w14:paraId="6FE5413A">
            <w:pPr>
              <w:bidi w:val="0"/>
              <w:jc w:val="center"/>
              <w:rPr>
                <w:rFonts w:hint="default"/>
                <w:b/>
                <w:bCs/>
                <w:color w:val="auto"/>
                <w:lang w:val="en-US" w:eastAsia="zh-CN"/>
              </w:rPr>
            </w:pPr>
          </w:p>
          <w:p w14:paraId="680CB96A">
            <w:pPr>
              <w:bidi w:val="0"/>
              <w:jc w:val="center"/>
              <w:rPr>
                <w:rFonts w:hint="default"/>
                <w:b/>
                <w:bCs/>
                <w:color w:val="auto"/>
                <w:lang w:val="en-US" w:eastAsia="zh-CN"/>
              </w:rPr>
            </w:pPr>
          </w:p>
          <w:p w14:paraId="345F62C3">
            <w:pPr>
              <w:bidi w:val="0"/>
              <w:rPr>
                <w:rFonts w:hint="eastAsia"/>
                <w:color w:val="auto"/>
                <w:lang w:eastAsia="zh-CN"/>
              </w:rPr>
            </w:pPr>
          </w:p>
        </w:tc>
      </w:tr>
    </w:tbl>
    <w:p w14:paraId="28C0F98E">
      <w:pPr>
        <w:rPr>
          <w:color w:val="auto"/>
        </w:rPr>
        <w:sectPr>
          <w:pgSz w:w="16840" w:h="11907" w:orient="landscape"/>
          <w:pgMar w:top="1440" w:right="1080" w:bottom="1440" w:left="1080" w:header="851" w:footer="851" w:gutter="0"/>
          <w:pgBorders>
            <w:top w:val="none" w:sz="0" w:space="0"/>
            <w:left w:val="none" w:sz="0" w:space="0"/>
            <w:bottom w:val="none" w:sz="0" w:space="0"/>
            <w:right w:val="none" w:sz="0" w:space="0"/>
          </w:pgBorders>
          <w:cols w:space="720" w:num="1"/>
          <w:docGrid w:linePitch="312" w:charSpace="0"/>
        </w:sectPr>
      </w:pPr>
    </w:p>
    <w:tbl>
      <w:tblPr>
        <w:tblStyle w:val="16"/>
        <w:tblW w:w="504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3"/>
        <w:gridCol w:w="43"/>
        <w:gridCol w:w="8762"/>
      </w:tblGrid>
      <w:tr w14:paraId="78ADCB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22" w:hRule="atLeast"/>
          <w:jc w:val="center"/>
        </w:trPr>
        <w:tc>
          <w:tcPr>
            <w:tcW w:w="140" w:type="pct"/>
            <w:noWrap w:val="0"/>
            <w:tcMar>
              <w:left w:w="28" w:type="dxa"/>
              <w:right w:w="28" w:type="dxa"/>
            </w:tcMar>
            <w:vAlign w:val="center"/>
          </w:tcPr>
          <w:p w14:paraId="186912B6">
            <w:pPr>
              <w:pStyle w:val="14"/>
              <w:spacing w:before="0" w:beforeAutospacing="0" w:after="0" w:afterAutospacing="0"/>
              <w:ind w:firstLine="0" w:firstLineChars="0"/>
              <w:jc w:val="center"/>
              <w:rPr>
                <w:color w:val="auto"/>
                <w:kern w:val="2"/>
              </w:rPr>
            </w:pPr>
            <w:r>
              <w:rPr>
                <w:color w:val="auto"/>
                <w:kern w:val="2"/>
              </w:rPr>
              <w:t>运营期环境影响和保护措施</w:t>
            </w:r>
          </w:p>
        </w:tc>
        <w:tc>
          <w:tcPr>
            <w:tcW w:w="4859" w:type="pct"/>
            <w:gridSpan w:val="2"/>
            <w:noWrap w:val="0"/>
            <w:vAlign w:val="center"/>
          </w:tcPr>
          <w:p w14:paraId="1FA7F94E">
            <w:pPr>
              <w:bidi w:val="0"/>
              <w:ind w:left="0" w:leftChars="0" w:firstLine="482" w:firstLineChars="200"/>
              <w:rPr>
                <w:rFonts w:hint="default"/>
                <w:b/>
                <w:bCs/>
                <w:color w:val="auto"/>
                <w:lang w:eastAsia="zh-CN"/>
              </w:rPr>
            </w:pPr>
            <w:r>
              <w:rPr>
                <w:rFonts w:hint="eastAsia"/>
                <w:b/>
                <w:bCs/>
                <w:color w:val="auto"/>
                <w:lang w:val="en-US" w:eastAsia="zh-CN"/>
              </w:rPr>
              <w:t>（1）</w:t>
            </w:r>
            <w:r>
              <w:rPr>
                <w:rFonts w:hint="default"/>
                <w:b/>
                <w:bCs/>
                <w:color w:val="auto"/>
                <w:lang w:eastAsia="zh-CN"/>
              </w:rPr>
              <w:t>源强核算过程</w:t>
            </w:r>
          </w:p>
          <w:p w14:paraId="1CE00145">
            <w:pPr>
              <w:rPr>
                <w:rFonts w:hint="default"/>
                <w:b w:val="0"/>
                <w:bCs w:val="0"/>
                <w:color w:val="auto"/>
                <w:lang w:val="en-US" w:eastAsia="zh-CN"/>
              </w:rPr>
            </w:pPr>
            <w:r>
              <w:rPr>
                <w:rFonts w:hint="eastAsia"/>
                <w:b w:val="0"/>
                <w:bCs w:val="0"/>
                <w:color w:val="auto"/>
                <w:lang w:val="en-US" w:eastAsia="zh-CN"/>
              </w:rPr>
              <w:t>①酸性气体</w:t>
            </w:r>
          </w:p>
          <w:p w14:paraId="1A75915D">
            <w:pPr>
              <w:spacing w:beforeLines="0" w:afterLines="0"/>
              <w:jc w:val="left"/>
              <w:rPr>
                <w:rFonts w:hint="eastAsia" w:ascii="宋体" w:hAnsi="宋体" w:eastAsia="宋体"/>
                <w:sz w:val="24"/>
                <w:szCs w:val="24"/>
                <w:lang w:val="en-US" w:eastAsia="zh-CN"/>
              </w:rPr>
            </w:pPr>
            <w:r>
              <w:rPr>
                <w:rFonts w:hint="eastAsia" w:ascii="宋体" w:hAnsi="宋体" w:eastAsia="宋体"/>
                <w:sz w:val="24"/>
                <w:szCs w:val="24"/>
              </w:rPr>
              <w:t>项目无机废气主要为硝酸、盐酸等强酸挥发产生的</w:t>
            </w:r>
            <w:r>
              <w:rPr>
                <w:rFonts w:hint="eastAsia" w:ascii="TimesNewRomanPSMT" w:hAnsi="TimesNewRomanPSMT" w:eastAsia="TimesNewRomanPSMT"/>
                <w:sz w:val="24"/>
                <w:szCs w:val="24"/>
              </w:rPr>
              <w:t>NOx</w:t>
            </w:r>
            <w:r>
              <w:rPr>
                <w:rFonts w:hint="eastAsia" w:ascii="宋体" w:hAnsi="宋体" w:eastAsia="宋体"/>
                <w:sz w:val="24"/>
                <w:szCs w:val="24"/>
              </w:rPr>
              <w:t>、氯化氢。试剂存放在密闭的试剂瓶内，储存过程不挥发，</w:t>
            </w:r>
            <w:r>
              <w:rPr>
                <w:rFonts w:hint="eastAsia" w:ascii="宋体" w:hAnsi="宋体" w:eastAsia="宋体"/>
                <w:sz w:val="24"/>
                <w:szCs w:val="24"/>
                <w:lang w:val="en-US" w:eastAsia="zh-CN"/>
              </w:rPr>
              <w:t>产生的酸性气体</w:t>
            </w:r>
            <w:r>
              <w:rPr>
                <w:rFonts w:hint="eastAsia" w:ascii="宋体" w:hAnsi="宋体" w:eastAsia="宋体"/>
                <w:sz w:val="24"/>
                <w:szCs w:val="24"/>
              </w:rPr>
              <w:t>主要是在试剂取用和配置、实验等过程产生，</w:t>
            </w:r>
            <w:r>
              <w:rPr>
                <w:rFonts w:hint="eastAsia" w:ascii="宋体" w:hAnsi="宋体"/>
                <w:sz w:val="24"/>
                <w:szCs w:val="24"/>
                <w:lang w:val="en-US" w:eastAsia="zh-CN"/>
              </w:rPr>
              <w:t>浓</w:t>
            </w:r>
            <w:r>
              <w:rPr>
                <w:rFonts w:hint="eastAsia" w:ascii="宋体" w:hAnsi="宋体" w:eastAsia="宋体"/>
                <w:sz w:val="24"/>
                <w:szCs w:val="24"/>
              </w:rPr>
              <w:t>硫酸</w:t>
            </w:r>
            <w:r>
              <w:rPr>
                <w:rFonts w:hint="eastAsia" w:ascii="宋体" w:hAnsi="宋体"/>
                <w:sz w:val="24"/>
                <w:szCs w:val="24"/>
                <w:lang w:val="en-US" w:eastAsia="zh-CN"/>
              </w:rPr>
              <w:t>难挥发不产生酸性气体</w:t>
            </w:r>
            <w:r>
              <w:rPr>
                <w:rFonts w:hint="eastAsia" w:ascii="宋体" w:hAnsi="宋体" w:eastAsia="宋体"/>
                <w:sz w:val="24"/>
                <w:szCs w:val="24"/>
              </w:rPr>
              <w:t>、硝酸以</w:t>
            </w:r>
            <w:r>
              <w:rPr>
                <w:rFonts w:hint="eastAsia" w:ascii="TimesNewRomanPSMT" w:hAnsi="TimesNewRomanPSMT" w:eastAsia="TimesNewRomanPSMT"/>
                <w:sz w:val="24"/>
                <w:szCs w:val="24"/>
              </w:rPr>
              <w:t xml:space="preserve">NOx </w:t>
            </w:r>
            <w:r>
              <w:rPr>
                <w:rFonts w:hint="eastAsia" w:ascii="宋体" w:hAnsi="宋体" w:eastAsia="宋体"/>
                <w:sz w:val="24"/>
                <w:szCs w:val="24"/>
              </w:rPr>
              <w:t>为表征、盐酸以氯化氢为表征；硝酸（</w:t>
            </w:r>
            <w:r>
              <w:rPr>
                <w:rFonts w:hint="eastAsia" w:ascii="TimesNewRomanPSMT" w:hAnsi="TimesNewRomanPSMT" w:eastAsia="TimesNewRomanPSMT"/>
                <w:sz w:val="24"/>
                <w:szCs w:val="24"/>
              </w:rPr>
              <w:t>65%</w:t>
            </w:r>
            <w:r>
              <w:rPr>
                <w:rFonts w:hint="eastAsia" w:ascii="宋体" w:hAnsi="宋体" w:eastAsia="宋体"/>
                <w:sz w:val="24"/>
                <w:szCs w:val="24"/>
              </w:rPr>
              <w:t>）年使用量为</w:t>
            </w:r>
            <w:r>
              <w:rPr>
                <w:rFonts w:hint="eastAsia" w:ascii="TimesNewRomanPSMT" w:hAnsi="TimesNewRomanPSMT" w:eastAsia="TimesNewRomanPSMT"/>
                <w:sz w:val="24"/>
                <w:szCs w:val="24"/>
              </w:rPr>
              <w:t>0.0</w:t>
            </w:r>
            <w:r>
              <w:rPr>
                <w:rFonts w:hint="eastAsia" w:ascii="TimesNewRomanPSMT" w:hAnsi="TimesNewRomanPSMT" w:eastAsia="宋体"/>
                <w:sz w:val="24"/>
                <w:szCs w:val="24"/>
                <w:lang w:val="en-US" w:eastAsia="zh-CN"/>
              </w:rPr>
              <w:t>07</w:t>
            </w:r>
            <w:r>
              <w:rPr>
                <w:rFonts w:hint="eastAsia" w:ascii="TimesNewRomanPSMT" w:hAnsi="TimesNewRomanPSMT" w:eastAsia="TimesNewRomanPSMT"/>
                <w:sz w:val="24"/>
                <w:szCs w:val="24"/>
              </w:rPr>
              <w:t>t/a</w:t>
            </w:r>
            <w:r>
              <w:rPr>
                <w:rFonts w:hint="eastAsia" w:ascii="宋体" w:hAnsi="宋体" w:eastAsia="宋体"/>
                <w:sz w:val="24"/>
                <w:szCs w:val="24"/>
              </w:rPr>
              <w:t>，折纯用量为</w:t>
            </w:r>
            <w:r>
              <w:rPr>
                <w:rFonts w:hint="eastAsia" w:ascii="TimesNewRomanPSMT" w:hAnsi="TimesNewRomanPSMT" w:eastAsia="TimesNewRomanPSMT"/>
                <w:sz w:val="24"/>
                <w:szCs w:val="24"/>
              </w:rPr>
              <w:t>0.0</w:t>
            </w:r>
            <w:r>
              <w:rPr>
                <w:rFonts w:hint="eastAsia" w:ascii="TimesNewRomanPSMT" w:hAnsi="TimesNewRomanPSMT" w:eastAsia="宋体"/>
                <w:sz w:val="24"/>
                <w:szCs w:val="24"/>
                <w:lang w:val="en-US" w:eastAsia="zh-CN"/>
              </w:rPr>
              <w:t>05</w:t>
            </w:r>
            <w:r>
              <w:rPr>
                <w:rFonts w:hint="eastAsia" w:ascii="TimesNewRomanPSMT" w:hAnsi="TimesNewRomanPSMT" w:eastAsia="TimesNewRomanPSMT"/>
                <w:sz w:val="24"/>
                <w:szCs w:val="24"/>
              </w:rPr>
              <w:t>t/a</w:t>
            </w:r>
            <w:r>
              <w:rPr>
                <w:rFonts w:hint="eastAsia" w:ascii="宋体" w:hAnsi="宋体" w:eastAsia="宋体"/>
                <w:sz w:val="24"/>
                <w:szCs w:val="24"/>
              </w:rPr>
              <w:t>；盐酸（</w:t>
            </w:r>
            <w:r>
              <w:rPr>
                <w:rFonts w:hint="eastAsia" w:ascii="TimesNewRomanPSMT" w:hAnsi="TimesNewRomanPSMT" w:eastAsia="TimesNewRomanPSMT"/>
                <w:sz w:val="24"/>
                <w:szCs w:val="24"/>
              </w:rPr>
              <w:t>3</w:t>
            </w:r>
            <w:r>
              <w:rPr>
                <w:rFonts w:hint="eastAsia" w:ascii="TimesNewRomanPSMT" w:hAnsi="TimesNewRomanPSMT" w:eastAsia="宋体"/>
                <w:sz w:val="24"/>
                <w:szCs w:val="24"/>
                <w:lang w:val="en-US" w:eastAsia="zh-CN"/>
              </w:rPr>
              <w:t>8</w:t>
            </w:r>
            <w:r>
              <w:rPr>
                <w:rFonts w:hint="eastAsia" w:ascii="TimesNewRomanPSMT" w:hAnsi="TimesNewRomanPSMT" w:eastAsia="TimesNewRomanPSMT"/>
                <w:sz w:val="24"/>
                <w:szCs w:val="24"/>
              </w:rPr>
              <w:t>%</w:t>
            </w:r>
            <w:r>
              <w:rPr>
                <w:rFonts w:hint="eastAsia" w:ascii="宋体" w:hAnsi="宋体" w:eastAsia="宋体"/>
                <w:sz w:val="24"/>
                <w:szCs w:val="24"/>
              </w:rPr>
              <w:t>）年用量为</w:t>
            </w:r>
            <w:r>
              <w:rPr>
                <w:rFonts w:hint="eastAsia" w:ascii="TimesNewRomanPSMT" w:hAnsi="TimesNewRomanPSMT" w:eastAsia="TimesNewRomanPSMT"/>
                <w:sz w:val="24"/>
                <w:szCs w:val="24"/>
              </w:rPr>
              <w:t>0.0</w:t>
            </w:r>
            <w:r>
              <w:rPr>
                <w:rFonts w:hint="eastAsia" w:ascii="TimesNewRomanPSMT" w:hAnsi="TimesNewRomanPSMT" w:eastAsia="宋体"/>
                <w:sz w:val="24"/>
                <w:szCs w:val="24"/>
                <w:lang w:val="en-US" w:eastAsia="zh-CN"/>
              </w:rPr>
              <w:t>06</w:t>
            </w:r>
            <w:r>
              <w:rPr>
                <w:rFonts w:hint="eastAsia" w:ascii="TimesNewRomanPSMT" w:hAnsi="TimesNewRomanPSMT" w:eastAsia="TimesNewRomanPSMT"/>
                <w:sz w:val="24"/>
                <w:szCs w:val="24"/>
              </w:rPr>
              <w:t>t/a</w:t>
            </w:r>
            <w:r>
              <w:rPr>
                <w:rFonts w:hint="eastAsia" w:ascii="宋体" w:hAnsi="宋体" w:eastAsia="宋体"/>
                <w:sz w:val="24"/>
                <w:szCs w:val="24"/>
              </w:rPr>
              <w:t>，折纯用量为</w:t>
            </w:r>
            <w:r>
              <w:rPr>
                <w:rFonts w:hint="eastAsia" w:ascii="TimesNewRomanPSMT" w:hAnsi="TimesNewRomanPSMT" w:eastAsia="TimesNewRomanPSMT"/>
                <w:sz w:val="24"/>
                <w:szCs w:val="24"/>
              </w:rPr>
              <w:t>0.00</w:t>
            </w:r>
            <w:r>
              <w:rPr>
                <w:rFonts w:hint="eastAsia" w:ascii="TimesNewRomanPSMT" w:hAnsi="TimesNewRomanPSMT" w:eastAsia="宋体"/>
                <w:sz w:val="24"/>
                <w:szCs w:val="24"/>
                <w:lang w:val="en-US" w:eastAsia="zh-CN"/>
              </w:rPr>
              <w:t>2t</w:t>
            </w:r>
            <w:r>
              <w:rPr>
                <w:rFonts w:hint="eastAsia" w:ascii="TimesNewRomanPSMT" w:hAnsi="TimesNewRomanPSMT" w:eastAsia="TimesNewRomanPSMT"/>
                <w:sz w:val="24"/>
                <w:szCs w:val="24"/>
              </w:rPr>
              <w:t>/a</w:t>
            </w:r>
            <w:r>
              <w:rPr>
                <w:rFonts w:hint="eastAsia" w:ascii="宋体" w:hAnsi="宋体" w:eastAsia="宋体"/>
                <w:sz w:val="24"/>
                <w:szCs w:val="24"/>
              </w:rPr>
              <w:t>；</w:t>
            </w:r>
            <w:r>
              <w:rPr>
                <w:rFonts w:hint="eastAsia" w:ascii="TimesNewRomanPSMT" w:hAnsi="TimesNewRomanPSMT" w:eastAsia="TimesNewRomanPSMT"/>
                <w:sz w:val="24"/>
                <w:szCs w:val="24"/>
              </w:rPr>
              <w:t xml:space="preserve">NOx </w:t>
            </w:r>
            <w:r>
              <w:rPr>
                <w:rFonts w:hint="eastAsia" w:ascii="宋体" w:hAnsi="宋体" w:eastAsia="宋体"/>
                <w:sz w:val="24"/>
                <w:szCs w:val="24"/>
              </w:rPr>
              <w:t>年产生量</w:t>
            </w:r>
            <w:r>
              <w:rPr>
                <w:rFonts w:hint="eastAsia" w:ascii="TimesNewRomanPSMT" w:hAnsi="TimesNewRomanPSMT" w:eastAsia="TimesNewRomanPSMT"/>
                <w:sz w:val="24"/>
                <w:szCs w:val="24"/>
              </w:rPr>
              <w:t>0.0</w:t>
            </w:r>
            <w:r>
              <w:rPr>
                <w:rFonts w:hint="eastAsia" w:ascii="TimesNewRomanPSMT" w:hAnsi="TimesNewRomanPSMT" w:eastAsia="宋体"/>
                <w:sz w:val="24"/>
                <w:szCs w:val="24"/>
                <w:lang w:val="en-US" w:eastAsia="zh-CN"/>
              </w:rPr>
              <w:t>07</w:t>
            </w:r>
            <w:r>
              <w:rPr>
                <w:rFonts w:hint="eastAsia" w:ascii="TimesNewRomanPSMT" w:hAnsi="TimesNewRomanPSMT" w:eastAsia="TimesNewRomanPSMT"/>
                <w:sz w:val="24"/>
                <w:szCs w:val="24"/>
              </w:rPr>
              <w:t>t/a</w:t>
            </w:r>
            <w:r>
              <w:rPr>
                <w:rFonts w:hint="eastAsia" w:ascii="宋体" w:hAnsi="宋体" w:eastAsia="宋体"/>
                <w:sz w:val="24"/>
                <w:szCs w:val="24"/>
              </w:rPr>
              <w:t>、氯化氢年产生量</w:t>
            </w:r>
            <w:r>
              <w:rPr>
                <w:rFonts w:hint="eastAsia" w:ascii="TimesNewRomanPSMT" w:hAnsi="TimesNewRomanPSMT" w:eastAsia="TimesNewRomanPSMT"/>
                <w:sz w:val="24"/>
                <w:szCs w:val="24"/>
              </w:rPr>
              <w:t>0.00</w:t>
            </w:r>
            <w:r>
              <w:rPr>
                <w:rFonts w:hint="eastAsia" w:ascii="TimesNewRomanPSMT" w:hAnsi="TimesNewRomanPSMT" w:eastAsia="宋体"/>
                <w:sz w:val="24"/>
                <w:szCs w:val="24"/>
                <w:lang w:val="en-US" w:eastAsia="zh-CN"/>
              </w:rPr>
              <w:t>2</w:t>
            </w:r>
            <w:r>
              <w:rPr>
                <w:rFonts w:hint="eastAsia" w:ascii="TimesNewRomanPSMT" w:hAnsi="TimesNewRomanPSMT" w:eastAsia="TimesNewRomanPSMT"/>
                <w:sz w:val="24"/>
                <w:szCs w:val="24"/>
              </w:rPr>
              <w:t>t/a</w:t>
            </w:r>
            <w:r>
              <w:rPr>
                <w:rFonts w:hint="eastAsia" w:ascii="宋体" w:hAnsi="宋体" w:eastAsia="宋体"/>
                <w:sz w:val="24"/>
                <w:szCs w:val="24"/>
              </w:rPr>
              <w:t>。</w:t>
            </w:r>
            <w:r>
              <w:rPr>
                <w:rFonts w:hint="eastAsia" w:ascii="宋体" w:hAnsi="宋体" w:eastAsia="宋体"/>
                <w:sz w:val="24"/>
                <w:szCs w:val="24"/>
                <w:lang w:val="en-US" w:eastAsia="zh-CN"/>
              </w:rPr>
              <w:t>酸性废气通过内置SDG酸性气体吸附剂通风橱收集处理后无组织排放。</w:t>
            </w:r>
          </w:p>
          <w:p w14:paraId="352AF8BC">
            <w:pPr>
              <w:spacing w:beforeLines="0" w:afterLines="0"/>
              <w:jc w:val="left"/>
              <w:rPr>
                <w:rFonts w:hint="default" w:ascii="宋体" w:hAnsi="宋体" w:eastAsia="宋体"/>
                <w:color w:val="auto"/>
                <w:sz w:val="24"/>
                <w:szCs w:val="24"/>
                <w:lang w:val="en-US" w:eastAsia="zh-CN"/>
              </w:rPr>
            </w:pPr>
            <w:r>
              <w:rPr>
                <w:rFonts w:hint="default" w:ascii="宋体" w:hAnsi="宋体" w:eastAsia="宋体"/>
                <w:color w:val="auto"/>
                <w:sz w:val="24"/>
                <w:szCs w:val="24"/>
                <w:lang w:val="en-US" w:eastAsia="zh-CN"/>
              </w:rPr>
              <w:t>SDG吸附技术利用SDG吸附剂是一种比表面积较大的固体颗粒状无机物，当被净化气体中的酸性气体扩散运动到达SDG吸附剂表面吸附力场时，便被固定在其 表面上，然后与其中活性成分发生化学反应，生成 一种新的中性盐物质而存储于SDG吸附剂结构</w:t>
            </w:r>
            <w:r>
              <w:rPr>
                <w:rFonts w:hint="default" w:ascii="宋体" w:hAnsi="宋体" w:eastAsia="宋体" w:cs="Times New Roman"/>
                <w:color w:val="auto"/>
                <w:sz w:val="24"/>
                <w:szCs w:val="24"/>
                <w:lang w:val="en-US" w:eastAsia="zh-CN"/>
              </w:rPr>
              <w:t>中。可处理酸性废气种类包括硝酸、硫酸、盐酸、氢氟酸、 二氧化硫、磷酸、硼酸、高氯酸等。SDG吸附剂对酸</w:t>
            </w:r>
            <w:r>
              <w:rPr>
                <w:rFonts w:hint="default" w:ascii="宋体" w:hAnsi="宋体" w:eastAsia="宋体"/>
                <w:color w:val="auto"/>
                <w:sz w:val="24"/>
                <w:szCs w:val="24"/>
                <w:lang w:val="en-US" w:eastAsia="zh-CN"/>
              </w:rPr>
              <w:t>性气体的净化是一个多功能的综合作用，除了一般的物理吸附外，还有化学吸附，粒子吸附，催化作用，化学反应等。技术特点</w:t>
            </w:r>
            <w:r>
              <w:rPr>
                <w:rFonts w:hint="eastAsia" w:ascii="宋体" w:hAnsi="宋体"/>
                <w:color w:val="auto"/>
                <w:sz w:val="24"/>
                <w:szCs w:val="24"/>
                <w:lang w:val="en-US" w:eastAsia="zh-CN"/>
              </w:rPr>
              <w:t>有</w:t>
            </w:r>
            <w:r>
              <w:rPr>
                <w:rFonts w:hint="default" w:ascii="宋体" w:hAnsi="宋体" w:eastAsia="宋体"/>
                <w:color w:val="auto"/>
                <w:sz w:val="24"/>
                <w:szCs w:val="24"/>
                <w:lang w:val="en-US" w:eastAsia="zh-CN"/>
              </w:rPr>
              <w:t>可以对多种酸性气休同时存在时一次净化；净化效率高，并可根据用户的需求设计；运行稳定，维护简单，吸咐剂更换方便；无需用水，无水循环系统，免维护，运行成本低；对环境条件无特殊要求，冬季不需做防冻处理；使用安全，无二次污染。</w:t>
            </w:r>
          </w:p>
          <w:p w14:paraId="60BD3D04">
            <w:pPr>
              <w:rPr>
                <w:rFonts w:hint="default"/>
                <w:color w:val="auto"/>
                <w:highlight w:val="none"/>
                <w:lang w:val="en-US" w:eastAsia="zh-CN"/>
              </w:rPr>
            </w:pPr>
            <w:r>
              <w:rPr>
                <w:rFonts w:hint="eastAsia" w:cs="Times New Roman"/>
                <w:color w:val="auto"/>
                <w:lang w:val="en-US" w:eastAsia="zh-CN"/>
              </w:rPr>
              <w:t>参考《陕西省排污许可制支撑空气质量持续改善实施方案》（陕环发〔2023〕59号）表1</w:t>
            </w:r>
            <w:r>
              <w:rPr>
                <w:rFonts w:hint="eastAsia" w:cs="Times New Roman"/>
                <w:color w:val="auto"/>
                <w:highlight w:val="none"/>
                <w:lang w:val="en-US" w:eastAsia="zh-CN"/>
              </w:rPr>
              <w:t>，本项目通风橱属于包围型集气设备（风速不小于0.5m/s），集气效率为80%</w:t>
            </w:r>
            <w:r>
              <w:rPr>
                <w:rFonts w:hint="eastAsia" w:ascii="Times New Roman" w:hAnsi="Times New Roman" w:cs="Times New Roman"/>
                <w:color w:val="auto"/>
                <w:highlight w:val="none"/>
                <w:lang w:val="en-US" w:eastAsia="zh-CN"/>
              </w:rPr>
              <w:t>，</w:t>
            </w:r>
            <w:r>
              <w:rPr>
                <w:rFonts w:hint="eastAsia" w:cs="Times New Roman"/>
                <w:color w:val="auto"/>
                <w:highlight w:val="none"/>
                <w:lang w:val="en-US" w:eastAsia="zh-CN"/>
              </w:rPr>
              <w:t>根据建设单位提供数据，</w:t>
            </w:r>
            <w:r>
              <w:rPr>
                <w:rFonts w:hint="eastAsia"/>
                <w:color w:val="auto"/>
                <w:sz w:val="24"/>
                <w:highlight w:val="none"/>
              </w:rPr>
              <w:t>SDG吸附箱</w:t>
            </w:r>
            <w:r>
              <w:rPr>
                <w:color w:val="auto"/>
                <w:sz w:val="24"/>
                <w:highlight w:val="none"/>
              </w:rPr>
              <w:t>吸附效率</w:t>
            </w:r>
            <w:r>
              <w:rPr>
                <w:rFonts w:hint="eastAsia"/>
                <w:color w:val="auto"/>
                <w:sz w:val="24"/>
                <w:highlight w:val="none"/>
              </w:rPr>
              <w:t>按90</w:t>
            </w:r>
            <w:r>
              <w:rPr>
                <w:color w:val="auto"/>
                <w:sz w:val="24"/>
                <w:highlight w:val="none"/>
              </w:rPr>
              <w:t>%计</w:t>
            </w:r>
            <w:r>
              <w:rPr>
                <w:rFonts w:hint="eastAsia" w:ascii="Times New Roman" w:hAnsi="Times New Roman" w:cs="Times New Roman"/>
                <w:color w:val="auto"/>
                <w:highlight w:val="none"/>
                <w:lang w:val="en-US" w:eastAsia="zh-CN"/>
              </w:rPr>
              <w:t>，涉酸</w:t>
            </w:r>
            <w:r>
              <w:rPr>
                <w:rFonts w:hint="eastAsia" w:cs="Times New Roman"/>
                <w:color w:val="auto"/>
                <w:highlight w:val="none"/>
                <w:lang w:val="en-US" w:eastAsia="zh-CN"/>
              </w:rPr>
              <w:t>试剂主要是当电路板蚀刻液使用，使用时间不固定，涉酸实验</w:t>
            </w:r>
            <w:r>
              <w:rPr>
                <w:rFonts w:hint="eastAsia" w:ascii="Times New Roman" w:hAnsi="Times New Roman" w:cs="Times New Roman"/>
                <w:color w:val="auto"/>
                <w:highlight w:val="none"/>
                <w:lang w:val="en-US" w:eastAsia="zh-CN"/>
              </w:rPr>
              <w:t>时间按</w:t>
            </w:r>
            <w:r>
              <w:rPr>
                <w:rFonts w:hint="eastAsia" w:cs="Times New Roman"/>
                <w:color w:val="auto"/>
                <w:highlight w:val="none"/>
                <w:lang w:val="en-US" w:eastAsia="zh-CN"/>
              </w:rPr>
              <w:t>1255</w:t>
            </w:r>
            <w:r>
              <w:rPr>
                <w:rFonts w:hint="eastAsia" w:ascii="Times New Roman" w:hAnsi="Times New Roman" w:cs="Times New Roman"/>
                <w:color w:val="auto"/>
                <w:highlight w:val="none"/>
                <w:lang w:val="en-US" w:eastAsia="zh-CN"/>
              </w:rPr>
              <w:t>h/d计</w:t>
            </w:r>
            <w:r>
              <w:rPr>
                <w:rFonts w:hint="eastAsia" w:cs="Times New Roman"/>
                <w:color w:val="auto"/>
                <w:highlight w:val="none"/>
                <w:lang w:val="en-US" w:eastAsia="zh-CN"/>
              </w:rPr>
              <w:t>，</w:t>
            </w:r>
            <w:r>
              <w:rPr>
                <w:rFonts w:hint="eastAsia" w:ascii="Times New Roman" w:hAnsi="Times New Roman" w:cs="Times New Roman"/>
                <w:color w:val="auto"/>
                <w:highlight w:val="none"/>
                <w:lang w:val="en-US" w:eastAsia="zh-CN"/>
              </w:rPr>
              <w:t>风机风量为</w:t>
            </w:r>
            <w:r>
              <w:rPr>
                <w:rFonts w:hint="eastAsia" w:cs="Times New Roman"/>
                <w:color w:val="auto"/>
                <w:highlight w:val="none"/>
                <w:lang w:val="en-US" w:eastAsia="zh-CN"/>
              </w:rPr>
              <w:t>5000</w:t>
            </w:r>
            <w:r>
              <w:rPr>
                <w:rFonts w:hint="eastAsia" w:ascii="Times New Roman" w:hAnsi="Times New Roman" w:cs="Times New Roman"/>
                <w:color w:val="auto"/>
                <w:highlight w:val="none"/>
                <w:lang w:val="en-US" w:eastAsia="zh-CN"/>
              </w:rPr>
              <w:t>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vertAlign w:val="baseline"/>
                <w:lang w:val="en-US" w:eastAsia="zh-CN"/>
              </w:rPr>
              <w:t>/h</w:t>
            </w:r>
            <w:r>
              <w:rPr>
                <w:rFonts w:hint="eastAsia" w:ascii="Times New Roman" w:hAnsi="Times New Roman" w:cs="Times New Roman"/>
                <w:color w:val="auto"/>
                <w:highlight w:val="none"/>
                <w:lang w:val="en-US" w:eastAsia="zh-CN"/>
              </w:rPr>
              <w:t>。则酸性废气产排情况见表4-</w:t>
            </w:r>
            <w:r>
              <w:rPr>
                <w:rFonts w:hint="eastAsia" w:cs="Times New Roman"/>
                <w:color w:val="auto"/>
                <w:highlight w:val="none"/>
                <w:lang w:val="en-US" w:eastAsia="zh-CN"/>
              </w:rPr>
              <w:t>2</w:t>
            </w:r>
            <w:r>
              <w:rPr>
                <w:rFonts w:hint="eastAsia" w:ascii="Times New Roman" w:hAnsi="Times New Roman" w:cs="Times New Roman"/>
                <w:color w:val="auto"/>
                <w:highlight w:val="none"/>
                <w:lang w:val="en-US" w:eastAsia="zh-CN"/>
              </w:rPr>
              <w:t>。</w:t>
            </w:r>
          </w:p>
          <w:p w14:paraId="2EEAB470">
            <w:pPr>
              <w:keepNext w:val="0"/>
              <w:keepLines w:val="0"/>
              <w:suppressLineNumbers w:val="0"/>
              <w:bidi w:val="0"/>
              <w:spacing w:before="0" w:beforeAutospacing="0" w:after="0" w:afterAutospacing="0"/>
              <w:ind w:left="0" w:right="0"/>
              <w:jc w:val="center"/>
              <w:rPr>
                <w:rFonts w:hint="eastAsia" w:ascii="Times New Roman" w:hAnsi="Times New Roman" w:cs="Times New Roman"/>
                <w:b/>
                <w:bCs/>
                <w:color w:val="auto"/>
                <w:lang w:val="en-US" w:eastAsia="zh-CN"/>
              </w:rPr>
            </w:pPr>
          </w:p>
          <w:p w14:paraId="42A91702">
            <w:pPr>
              <w:keepNext w:val="0"/>
              <w:keepLines w:val="0"/>
              <w:suppressLineNumbers w:val="0"/>
              <w:bidi w:val="0"/>
              <w:spacing w:before="0" w:beforeAutospacing="0" w:after="0" w:afterAutospacing="0"/>
              <w:ind w:left="0" w:right="0"/>
              <w:jc w:val="center"/>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表4-</w:t>
            </w:r>
            <w:r>
              <w:rPr>
                <w:rFonts w:hint="eastAsia" w:cs="Times New Roman"/>
                <w:b/>
                <w:bCs/>
                <w:color w:val="auto"/>
                <w:lang w:val="en-US" w:eastAsia="zh-CN"/>
              </w:rPr>
              <w:t>2</w:t>
            </w:r>
            <w:r>
              <w:rPr>
                <w:rFonts w:hint="eastAsia" w:ascii="Times New Roman" w:hAnsi="Times New Roman" w:cs="Times New Roman"/>
                <w:b/>
                <w:bCs/>
                <w:color w:val="auto"/>
                <w:lang w:val="en-US" w:eastAsia="zh-CN"/>
              </w:rPr>
              <w:t xml:space="preserve">  酸性废气产排情况一览表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43"/>
              <w:gridCol w:w="1057"/>
              <w:gridCol w:w="792"/>
              <w:gridCol w:w="1137"/>
              <w:gridCol w:w="1075"/>
              <w:gridCol w:w="1331"/>
              <w:gridCol w:w="1084"/>
              <w:gridCol w:w="1060"/>
            </w:tblGrid>
            <w:tr w14:paraId="38665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jc w:val="center"/>
              </w:trPr>
              <w:tc>
                <w:tcPr>
                  <w:tcW w:w="607" w:type="pct"/>
                  <w:shd w:val="clear" w:color="auto" w:fill="auto"/>
                  <w:vAlign w:val="center"/>
                </w:tcPr>
                <w:p w14:paraId="4A708C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产排污环节</w:t>
                  </w:r>
                </w:p>
              </w:tc>
              <w:tc>
                <w:tcPr>
                  <w:tcW w:w="616" w:type="pct"/>
                  <w:shd w:val="clear" w:color="auto" w:fill="auto"/>
                  <w:vAlign w:val="center"/>
                </w:tcPr>
                <w:p w14:paraId="7A1FF9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排放方式</w:t>
                  </w:r>
                </w:p>
              </w:tc>
              <w:tc>
                <w:tcPr>
                  <w:tcW w:w="461" w:type="pct"/>
                  <w:shd w:val="clear" w:color="auto" w:fill="auto"/>
                  <w:vAlign w:val="center"/>
                </w:tcPr>
                <w:p w14:paraId="56E38A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工作时间</w:t>
                  </w:r>
                  <w:r>
                    <w:rPr>
                      <w:b/>
                      <w:bCs/>
                      <w:color w:val="auto"/>
                      <w:spacing w:val="-11"/>
                      <w:sz w:val="21"/>
                      <w:szCs w:val="21"/>
                      <w:lang w:val="en-US" w:eastAsia="zh-CN"/>
                    </w:rPr>
                    <w:t>/h/a</w:t>
                  </w:r>
                </w:p>
              </w:tc>
              <w:tc>
                <w:tcPr>
                  <w:tcW w:w="662" w:type="pct"/>
                  <w:shd w:val="clear" w:color="auto" w:fill="auto"/>
                  <w:vAlign w:val="center"/>
                </w:tcPr>
                <w:p w14:paraId="712B00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产生量</w:t>
                  </w:r>
                  <w:r>
                    <w:rPr>
                      <w:b/>
                      <w:bCs/>
                      <w:color w:val="auto"/>
                      <w:spacing w:val="-11"/>
                      <w:sz w:val="21"/>
                      <w:szCs w:val="21"/>
                      <w:lang w:val="en-US" w:eastAsia="zh-CN"/>
                    </w:rPr>
                    <w:t>/t/a</w:t>
                  </w:r>
                </w:p>
              </w:tc>
              <w:tc>
                <w:tcPr>
                  <w:tcW w:w="626" w:type="pct"/>
                  <w:shd w:val="clear" w:color="auto" w:fill="auto"/>
                  <w:vAlign w:val="center"/>
                </w:tcPr>
                <w:p w14:paraId="67B81F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产生速率</w:t>
                  </w:r>
                  <w:r>
                    <w:rPr>
                      <w:b/>
                      <w:bCs/>
                      <w:color w:val="auto"/>
                      <w:spacing w:val="-11"/>
                      <w:sz w:val="21"/>
                      <w:szCs w:val="21"/>
                      <w:lang w:val="en-US" w:eastAsia="zh-CN"/>
                    </w:rPr>
                    <w:t>/kg/h</w:t>
                  </w:r>
                </w:p>
              </w:tc>
              <w:tc>
                <w:tcPr>
                  <w:tcW w:w="775" w:type="pct"/>
                  <w:shd w:val="clear" w:color="auto" w:fill="auto"/>
                  <w:noWrap/>
                  <w:vAlign w:val="center"/>
                </w:tcPr>
                <w:p w14:paraId="37AA2B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lang w:val="en-US" w:eastAsia="zh-CN"/>
                    </w:rPr>
                  </w:pPr>
                  <w:r>
                    <w:rPr>
                      <w:rFonts w:hint="eastAsia"/>
                      <w:b/>
                      <w:bCs/>
                      <w:color w:val="auto"/>
                      <w:spacing w:val="-11"/>
                      <w:sz w:val="21"/>
                      <w:szCs w:val="21"/>
                      <w:lang w:val="en-US" w:eastAsia="zh-CN"/>
                    </w:rPr>
                    <w:t>风机风量</w:t>
                  </w:r>
                </w:p>
                <w:p w14:paraId="3CAFC41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pacing w:val="-11"/>
                      <w:sz w:val="21"/>
                      <w:szCs w:val="21"/>
                      <w:lang w:val="en-US"/>
                    </w:rPr>
                  </w:pPr>
                  <w:r>
                    <w:rPr>
                      <w:rFonts w:hint="eastAsia"/>
                      <w:b/>
                      <w:bCs/>
                      <w:color w:val="auto"/>
                      <w:spacing w:val="-11"/>
                      <w:sz w:val="21"/>
                      <w:szCs w:val="21"/>
                      <w:lang w:val="en-US" w:eastAsia="zh-CN"/>
                    </w:rPr>
                    <w:t>/m</w:t>
                  </w:r>
                  <w:r>
                    <w:rPr>
                      <w:rFonts w:hint="eastAsia"/>
                      <w:b/>
                      <w:bCs/>
                      <w:color w:val="auto"/>
                      <w:spacing w:val="-11"/>
                      <w:sz w:val="21"/>
                      <w:szCs w:val="21"/>
                      <w:vertAlign w:val="superscript"/>
                      <w:lang w:val="en-US" w:eastAsia="zh-CN"/>
                    </w:rPr>
                    <w:t>3</w:t>
                  </w:r>
                  <w:r>
                    <w:rPr>
                      <w:rFonts w:hint="eastAsia"/>
                      <w:b/>
                      <w:bCs/>
                      <w:color w:val="auto"/>
                      <w:spacing w:val="-11"/>
                      <w:sz w:val="21"/>
                      <w:szCs w:val="21"/>
                      <w:lang w:val="en-US" w:eastAsia="zh-CN"/>
                    </w:rPr>
                    <w:t>/h</w:t>
                  </w:r>
                </w:p>
              </w:tc>
              <w:tc>
                <w:tcPr>
                  <w:tcW w:w="631" w:type="pct"/>
                  <w:shd w:val="clear" w:color="auto" w:fill="auto"/>
                  <w:vAlign w:val="center"/>
                </w:tcPr>
                <w:p w14:paraId="2994EA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排放速率</w:t>
                  </w:r>
                  <w:r>
                    <w:rPr>
                      <w:b/>
                      <w:bCs/>
                      <w:color w:val="auto"/>
                      <w:spacing w:val="-11"/>
                      <w:sz w:val="21"/>
                      <w:szCs w:val="21"/>
                      <w:lang w:val="en-US" w:eastAsia="zh-CN"/>
                    </w:rPr>
                    <w:t>/kg/h</w:t>
                  </w:r>
                </w:p>
              </w:tc>
              <w:tc>
                <w:tcPr>
                  <w:tcW w:w="617" w:type="pct"/>
                  <w:shd w:val="clear" w:color="auto" w:fill="auto"/>
                  <w:vAlign w:val="center"/>
                </w:tcPr>
                <w:p w14:paraId="65E215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排放量</w:t>
                  </w:r>
                  <w:r>
                    <w:rPr>
                      <w:b/>
                      <w:bCs/>
                      <w:color w:val="auto"/>
                      <w:spacing w:val="-11"/>
                      <w:sz w:val="21"/>
                      <w:szCs w:val="21"/>
                      <w:lang w:val="en-US" w:eastAsia="zh-CN"/>
                    </w:rPr>
                    <w:t>/t/a</w:t>
                  </w:r>
                </w:p>
              </w:tc>
            </w:tr>
            <w:tr w14:paraId="5F22C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607" w:type="pct"/>
                  <w:shd w:val="clear" w:color="auto" w:fill="auto"/>
                  <w:vAlign w:val="center"/>
                </w:tcPr>
                <w:p w14:paraId="56542A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pacing w:val="-11"/>
                      <w:sz w:val="21"/>
                      <w:szCs w:val="21"/>
                    </w:rPr>
                  </w:pPr>
                  <w:r>
                    <w:rPr>
                      <w:rFonts w:hint="eastAsia"/>
                      <w:color w:val="auto"/>
                      <w:spacing w:val="-11"/>
                      <w:sz w:val="21"/>
                      <w:szCs w:val="21"/>
                      <w:lang w:val="en-US" w:eastAsia="zh-CN"/>
                    </w:rPr>
                    <w:t>氯化氢</w:t>
                  </w:r>
                </w:p>
              </w:tc>
              <w:tc>
                <w:tcPr>
                  <w:tcW w:w="616" w:type="pct"/>
                  <w:shd w:val="clear" w:color="auto" w:fill="auto"/>
                  <w:vAlign w:val="center"/>
                </w:tcPr>
                <w:p w14:paraId="7B0953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pacing w:val="-11"/>
                      <w:sz w:val="21"/>
                      <w:szCs w:val="21"/>
                    </w:rPr>
                  </w:pPr>
                  <w:r>
                    <w:rPr>
                      <w:rFonts w:hint="eastAsia"/>
                      <w:color w:val="auto"/>
                      <w:spacing w:val="-11"/>
                      <w:sz w:val="21"/>
                      <w:szCs w:val="21"/>
                      <w:lang w:val="en-US" w:eastAsia="zh-CN"/>
                    </w:rPr>
                    <w:t>无组织</w:t>
                  </w:r>
                </w:p>
              </w:tc>
              <w:tc>
                <w:tcPr>
                  <w:tcW w:w="461" w:type="pct"/>
                  <w:vMerge w:val="restart"/>
                  <w:shd w:val="clear" w:color="auto" w:fill="auto"/>
                  <w:vAlign w:val="center"/>
                </w:tcPr>
                <w:p w14:paraId="71AD07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auto"/>
                      <w:spacing w:val="-11"/>
                      <w:sz w:val="21"/>
                      <w:szCs w:val="21"/>
                      <w:lang w:val="en-US" w:eastAsia="zh-CN"/>
                    </w:rPr>
                  </w:pPr>
                  <w:r>
                    <w:rPr>
                      <w:rFonts w:hint="eastAsia"/>
                      <w:color w:val="auto"/>
                      <w:spacing w:val="-11"/>
                      <w:sz w:val="21"/>
                      <w:szCs w:val="21"/>
                      <w:lang w:val="en-US" w:eastAsia="zh-CN"/>
                    </w:rPr>
                    <w:t>1225</w:t>
                  </w:r>
                </w:p>
              </w:tc>
              <w:tc>
                <w:tcPr>
                  <w:tcW w:w="662" w:type="pct"/>
                  <w:shd w:val="clear" w:color="auto" w:fill="auto"/>
                  <w:vAlign w:val="center"/>
                </w:tcPr>
                <w:p w14:paraId="142F37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0.009</w:t>
                  </w:r>
                </w:p>
              </w:tc>
              <w:tc>
                <w:tcPr>
                  <w:tcW w:w="626" w:type="pct"/>
                  <w:shd w:val="clear" w:color="auto" w:fill="auto"/>
                  <w:vAlign w:val="center"/>
                </w:tcPr>
                <w:p w14:paraId="1C4A48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0.004</w:t>
                  </w:r>
                </w:p>
              </w:tc>
              <w:tc>
                <w:tcPr>
                  <w:tcW w:w="775" w:type="pct"/>
                  <w:vMerge w:val="restart"/>
                  <w:shd w:val="clear" w:color="auto" w:fill="auto"/>
                  <w:noWrap/>
                  <w:vAlign w:val="center"/>
                </w:tcPr>
                <w:p w14:paraId="63189D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5000</w:t>
                  </w:r>
                </w:p>
              </w:tc>
              <w:tc>
                <w:tcPr>
                  <w:tcW w:w="631" w:type="pct"/>
                  <w:shd w:val="clear" w:color="auto" w:fill="auto"/>
                  <w:vAlign w:val="center"/>
                </w:tcPr>
                <w:p w14:paraId="2188DE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617" w:type="pct"/>
                  <w:shd w:val="clear" w:color="auto" w:fill="auto"/>
                  <w:vAlign w:val="center"/>
                </w:tcPr>
                <w:p w14:paraId="3C628F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0.00152</w:t>
                  </w:r>
                </w:p>
              </w:tc>
            </w:tr>
            <w:tr w14:paraId="55CA5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607" w:type="pct"/>
                  <w:shd w:val="clear" w:color="auto" w:fill="auto"/>
                  <w:vAlign w:val="center"/>
                </w:tcPr>
                <w:p w14:paraId="07DD7E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pacing w:val="-11"/>
                      <w:sz w:val="21"/>
                      <w:szCs w:val="21"/>
                    </w:rPr>
                  </w:pPr>
                  <w:r>
                    <w:rPr>
                      <w:rFonts w:hint="eastAsia"/>
                      <w:color w:val="auto"/>
                      <w:spacing w:val="-11"/>
                      <w:sz w:val="21"/>
                      <w:szCs w:val="21"/>
                      <w:lang w:val="en-US" w:eastAsia="zh-CN"/>
                    </w:rPr>
                    <w:t>氮氧化物</w:t>
                  </w:r>
                </w:p>
              </w:tc>
              <w:tc>
                <w:tcPr>
                  <w:tcW w:w="616" w:type="pct"/>
                  <w:shd w:val="clear" w:color="auto" w:fill="auto"/>
                  <w:vAlign w:val="center"/>
                </w:tcPr>
                <w:p w14:paraId="694AD4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pacing w:val="-11"/>
                      <w:sz w:val="21"/>
                      <w:szCs w:val="21"/>
                    </w:rPr>
                  </w:pPr>
                  <w:r>
                    <w:rPr>
                      <w:rFonts w:hint="eastAsia"/>
                      <w:color w:val="auto"/>
                      <w:spacing w:val="-11"/>
                      <w:sz w:val="21"/>
                      <w:szCs w:val="21"/>
                      <w:lang w:val="en-US" w:eastAsia="zh-CN"/>
                    </w:rPr>
                    <w:t>无组织</w:t>
                  </w:r>
                </w:p>
              </w:tc>
              <w:tc>
                <w:tcPr>
                  <w:tcW w:w="461" w:type="pct"/>
                  <w:vMerge w:val="continue"/>
                  <w:shd w:val="clear" w:color="auto" w:fill="auto"/>
                  <w:vAlign w:val="center"/>
                </w:tcPr>
                <w:p w14:paraId="414663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pacing w:val="-11"/>
                      <w:sz w:val="21"/>
                      <w:szCs w:val="21"/>
                    </w:rPr>
                  </w:pPr>
                </w:p>
              </w:tc>
              <w:tc>
                <w:tcPr>
                  <w:tcW w:w="662" w:type="pct"/>
                  <w:shd w:val="clear" w:color="auto" w:fill="auto"/>
                  <w:vAlign w:val="center"/>
                </w:tcPr>
                <w:p w14:paraId="18B4E6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0.005</w:t>
                  </w:r>
                </w:p>
              </w:tc>
              <w:tc>
                <w:tcPr>
                  <w:tcW w:w="626" w:type="pct"/>
                  <w:shd w:val="clear" w:color="auto" w:fill="auto"/>
                  <w:vAlign w:val="center"/>
                </w:tcPr>
                <w:p w14:paraId="0F67E9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0.002</w:t>
                  </w:r>
                </w:p>
              </w:tc>
              <w:tc>
                <w:tcPr>
                  <w:tcW w:w="775" w:type="pct"/>
                  <w:vMerge w:val="continue"/>
                  <w:shd w:val="clear" w:color="auto" w:fill="auto"/>
                  <w:noWrap/>
                  <w:vAlign w:val="center"/>
                </w:tcPr>
                <w:p w14:paraId="739842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p>
              </w:tc>
              <w:tc>
                <w:tcPr>
                  <w:tcW w:w="631" w:type="pct"/>
                  <w:shd w:val="clear" w:color="auto" w:fill="auto"/>
                  <w:vAlign w:val="center"/>
                </w:tcPr>
                <w:p w14:paraId="781749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617" w:type="pct"/>
                  <w:shd w:val="clear" w:color="auto" w:fill="auto"/>
                  <w:vAlign w:val="center"/>
                </w:tcPr>
                <w:p w14:paraId="04174F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0.0014</w:t>
                  </w:r>
                </w:p>
              </w:tc>
            </w:tr>
          </w:tbl>
          <w:p w14:paraId="0B6AEFFC">
            <w:pPr>
              <w:rPr>
                <w:rFonts w:hint="eastAsia"/>
                <w:b w:val="0"/>
                <w:bCs w:val="0"/>
                <w:color w:val="auto"/>
                <w:lang w:eastAsia="zh-CN"/>
              </w:rPr>
            </w:pPr>
            <w:r>
              <w:rPr>
                <w:rFonts w:hint="eastAsia"/>
                <w:b w:val="0"/>
                <w:bCs w:val="0"/>
                <w:color w:val="auto"/>
                <w:lang w:val="en-US" w:eastAsia="zh-CN"/>
              </w:rPr>
              <w:t>②</w:t>
            </w:r>
            <w:r>
              <w:rPr>
                <w:rFonts w:hint="eastAsia"/>
                <w:b w:val="0"/>
                <w:bCs w:val="0"/>
                <w:color w:val="auto"/>
                <w:lang w:eastAsia="zh-CN"/>
              </w:rPr>
              <w:t>有机废气</w:t>
            </w:r>
          </w:p>
          <w:p w14:paraId="4AD1CDDF">
            <w:pPr>
              <w:rPr>
                <w:rFonts w:hint="default" w:eastAsia="宋体" w:cs="Times New Roman"/>
                <w:color w:val="auto"/>
                <w:highlight w:val="none"/>
                <w:lang w:val="en-US" w:eastAsia="zh-CN"/>
              </w:rPr>
            </w:pPr>
            <w:r>
              <w:rPr>
                <w:rFonts w:hint="eastAsia" w:eastAsia="宋体" w:cs="Times New Roman"/>
                <w:color w:val="auto"/>
                <w:highlight w:val="none"/>
                <w:lang w:val="en-US" w:eastAsia="zh-CN"/>
              </w:rPr>
              <w:t>根据建设单位提供的资料，项目年消耗</w:t>
            </w:r>
            <w:r>
              <w:rPr>
                <w:rFonts w:hint="default" w:eastAsia="宋体" w:cs="Times New Roman"/>
                <w:color w:val="auto"/>
                <w:highlight w:val="none"/>
                <w:lang w:val="en-US" w:eastAsia="zh-CN"/>
              </w:rPr>
              <w:t>电路板保护剂</w:t>
            </w:r>
            <w:r>
              <w:rPr>
                <w:rFonts w:hint="eastAsia" w:eastAsia="宋体" w:cs="Times New Roman"/>
                <w:color w:val="auto"/>
                <w:highlight w:val="none"/>
                <w:lang w:val="en-US" w:eastAsia="zh-CN"/>
              </w:rPr>
              <w:t>50L/a（0.05t/a）、乙醇25L/a（0.02t/a）、有机</w:t>
            </w:r>
            <w:r>
              <w:rPr>
                <w:rFonts w:hint="eastAsia" w:cs="Times New Roman"/>
                <w:color w:val="auto"/>
                <w:highlight w:val="none"/>
                <w:lang w:val="en-US" w:eastAsia="zh-CN"/>
              </w:rPr>
              <w:t>溶</w:t>
            </w:r>
            <w:r>
              <w:rPr>
                <w:rFonts w:hint="eastAsia" w:eastAsia="宋体" w:cs="Times New Roman"/>
                <w:color w:val="auto"/>
                <w:highlight w:val="none"/>
                <w:lang w:val="en-US" w:eastAsia="zh-CN"/>
              </w:rPr>
              <w:t>剂</w:t>
            </w:r>
            <w:r>
              <w:rPr>
                <w:rFonts w:hint="eastAsia" w:cs="Times New Roman"/>
                <w:color w:val="auto"/>
                <w:highlight w:val="none"/>
                <w:lang w:val="en-US" w:eastAsia="zh-CN"/>
              </w:rPr>
              <w:t>176</w:t>
            </w:r>
            <w:r>
              <w:rPr>
                <w:rFonts w:hint="eastAsia" w:eastAsia="宋体" w:cs="Times New Roman"/>
                <w:color w:val="auto"/>
                <w:highlight w:val="none"/>
                <w:lang w:val="en-US" w:eastAsia="zh-CN"/>
              </w:rPr>
              <w:t>kg/a（</w:t>
            </w:r>
            <w:r>
              <w:rPr>
                <w:rFonts w:hint="eastAsia" w:cs="Times New Roman"/>
                <w:color w:val="auto"/>
                <w:highlight w:val="none"/>
                <w:lang w:val="en-US" w:eastAsia="zh-CN"/>
              </w:rPr>
              <w:t>0.176</w:t>
            </w:r>
            <w:r>
              <w:rPr>
                <w:rFonts w:hint="eastAsia" w:eastAsia="宋体" w:cs="Times New Roman"/>
                <w:color w:val="auto"/>
                <w:highlight w:val="none"/>
                <w:lang w:val="en-US" w:eastAsia="zh-CN"/>
              </w:rPr>
              <w:t>t/a）、异丙醇5L/a（0.004t/a）。</w:t>
            </w:r>
          </w:p>
          <w:p w14:paraId="2FE77DDE">
            <w:pPr>
              <w:rPr>
                <w:rFonts w:hint="eastAsia" w:eastAsia="宋体" w:cs="Times New Roman"/>
                <w:color w:val="auto"/>
                <w:highlight w:val="none"/>
                <w:lang w:val="en-US" w:eastAsia="zh-CN"/>
              </w:rPr>
            </w:pPr>
            <w:r>
              <w:rPr>
                <w:rFonts w:hint="eastAsia" w:cs="Times New Roman"/>
                <w:color w:val="auto"/>
                <w:highlight w:val="none"/>
                <w:lang w:val="en-US" w:eastAsia="zh-CN"/>
              </w:rPr>
              <w:t>项</w:t>
            </w:r>
            <w:r>
              <w:rPr>
                <w:rFonts w:hint="eastAsia" w:eastAsia="宋体" w:cs="Times New Roman"/>
                <w:color w:val="auto"/>
                <w:highlight w:val="none"/>
                <w:lang w:val="en-US" w:eastAsia="zh-CN"/>
              </w:rPr>
              <w:t>目使用电路板保护剂对PCB板进行电路板保护处理，涂覆及烘干过程在</w:t>
            </w:r>
            <w:r>
              <w:rPr>
                <w:rFonts w:hint="default" w:eastAsia="宋体" w:cs="Times New Roman"/>
                <w:color w:val="auto"/>
                <w:highlight w:val="none"/>
                <w:lang w:val="en-US" w:eastAsia="zh-CN"/>
              </w:rPr>
              <w:t>IGBT模块</w:t>
            </w:r>
            <w:r>
              <w:rPr>
                <w:rFonts w:hint="eastAsia" w:eastAsia="宋体" w:cs="Times New Roman"/>
                <w:color w:val="auto"/>
                <w:highlight w:val="none"/>
                <w:lang w:val="en-US" w:eastAsia="zh-CN"/>
              </w:rPr>
              <w:t>保护设备内完成，会产生电路板保护废气，项目年使用电路板保护剂0.05t，电路板保护剂中挥发性有机物含量为</w:t>
            </w:r>
            <w:r>
              <w:rPr>
                <w:rFonts w:hint="eastAsia" w:cs="Times New Roman"/>
                <w:color w:val="auto"/>
                <w:highlight w:val="none"/>
                <w:lang w:val="en-US" w:eastAsia="zh-CN"/>
              </w:rPr>
              <w:t>24.8</w:t>
            </w:r>
            <w:r>
              <w:rPr>
                <w:rFonts w:hint="eastAsia" w:eastAsia="宋体" w:cs="Times New Roman"/>
                <w:color w:val="auto"/>
                <w:highlight w:val="none"/>
                <w:lang w:val="en-US" w:eastAsia="zh-CN"/>
              </w:rPr>
              <w:t>%，挥发性有机物为0.0</w:t>
            </w:r>
            <w:r>
              <w:rPr>
                <w:rFonts w:hint="eastAsia" w:cs="Times New Roman"/>
                <w:color w:val="auto"/>
                <w:highlight w:val="none"/>
                <w:lang w:val="en-US" w:eastAsia="zh-CN"/>
              </w:rPr>
              <w:t>124</w:t>
            </w:r>
            <w:r>
              <w:rPr>
                <w:rFonts w:hint="eastAsia" w:eastAsia="宋体" w:cs="Times New Roman"/>
                <w:color w:val="auto"/>
                <w:highlight w:val="none"/>
                <w:lang w:val="en-US" w:eastAsia="zh-CN"/>
              </w:rPr>
              <w:t>t，按照挥发性有机物全挥发考虑，则电路板保护过程产生非甲烷总烃0.0</w:t>
            </w:r>
            <w:r>
              <w:rPr>
                <w:rFonts w:hint="eastAsia" w:cs="Times New Roman"/>
                <w:color w:val="auto"/>
                <w:highlight w:val="none"/>
                <w:lang w:val="en-US" w:eastAsia="zh-CN"/>
              </w:rPr>
              <w:t>124</w:t>
            </w:r>
            <w:r>
              <w:rPr>
                <w:rFonts w:hint="eastAsia" w:eastAsia="宋体" w:cs="Times New Roman"/>
                <w:color w:val="auto"/>
                <w:highlight w:val="none"/>
                <w:lang w:val="en-US" w:eastAsia="zh-CN"/>
              </w:rPr>
              <w:t>t/a。</w:t>
            </w:r>
          </w:p>
          <w:p w14:paraId="48C94609">
            <w:pPr>
              <w:rPr>
                <w:rFonts w:hint="default" w:eastAsia="宋体" w:cs="Times New Roman"/>
                <w:color w:val="auto"/>
                <w:highlight w:val="none"/>
                <w:lang w:val="en-US" w:eastAsia="zh-CN"/>
              </w:rPr>
            </w:pPr>
            <w:r>
              <w:rPr>
                <w:rFonts w:hint="eastAsia" w:eastAsia="宋体" w:cs="Times New Roman"/>
                <w:color w:val="auto"/>
                <w:highlight w:val="none"/>
                <w:lang w:val="en-US" w:eastAsia="zh-CN"/>
              </w:rPr>
              <w:t>项目生产过程中使用酒精进行擦拭清洁，会有酒精挥发废气产生，项目年使用酒精0.02t，酒精挥发废气产生量按照酒精全部挥发的最不利情况计算，产生的有机废气按非甲烷总烃计，则酒精挥发废气产生量为0.02t/a。</w:t>
            </w:r>
          </w:p>
          <w:p w14:paraId="72CF8F0E">
            <w:pPr>
              <w:rPr>
                <w:rFonts w:hint="eastAsia" w:eastAsia="宋体" w:cs="Times New Roman"/>
                <w:color w:val="auto"/>
                <w:highlight w:val="none"/>
                <w:lang w:val="en-US" w:eastAsia="zh-CN"/>
              </w:rPr>
            </w:pPr>
            <w:r>
              <w:rPr>
                <w:rFonts w:hint="eastAsia" w:eastAsia="宋体" w:cs="Times New Roman"/>
                <w:color w:val="auto"/>
                <w:highlight w:val="none"/>
                <w:lang w:val="en-US" w:eastAsia="zh-CN"/>
              </w:rPr>
              <w:t>项目有机胶剂有</w:t>
            </w:r>
            <w:r>
              <w:rPr>
                <w:rFonts w:hint="default" w:eastAsia="宋体" w:cs="Times New Roman"/>
                <w:color w:val="auto"/>
                <w:highlight w:val="none"/>
                <w:lang w:val="en-US" w:eastAsia="zh-CN"/>
              </w:rPr>
              <w:t>太阳电池组件专用密封剂</w:t>
            </w:r>
            <w:r>
              <w:rPr>
                <w:rFonts w:hint="eastAsia" w:eastAsia="宋体" w:cs="Times New Roman"/>
                <w:color w:val="auto"/>
                <w:highlight w:val="none"/>
                <w:lang w:val="en-US" w:eastAsia="zh-CN"/>
              </w:rPr>
              <w:t xml:space="preserve"> 8kg/a、</w:t>
            </w:r>
            <w:r>
              <w:rPr>
                <w:rFonts w:hint="eastAsia" w:cs="Times New Roman"/>
                <w:color w:val="auto"/>
                <w:highlight w:val="none"/>
                <w:lang w:val="en-US" w:eastAsia="zh-CN"/>
              </w:rPr>
              <w:t>电路板保护剂</w:t>
            </w:r>
            <w:r>
              <w:rPr>
                <w:rFonts w:hint="default" w:eastAsia="宋体" w:cs="Times New Roman"/>
                <w:color w:val="auto"/>
                <w:highlight w:val="none"/>
                <w:lang w:val="en-US" w:eastAsia="zh-CN"/>
              </w:rPr>
              <w:t>高效解胶剂</w:t>
            </w:r>
            <w:r>
              <w:rPr>
                <w:rFonts w:hint="eastAsia" w:cs="Times New Roman"/>
                <w:color w:val="auto"/>
                <w:kern w:val="0"/>
                <w:sz w:val="21"/>
                <w:szCs w:val="21"/>
                <w:highlight w:val="none"/>
                <w:lang w:val="en-US" w:eastAsia="zh-CN"/>
              </w:rPr>
              <w:t>12</w:t>
            </w:r>
            <w:r>
              <w:rPr>
                <w:rFonts w:hint="eastAsia" w:eastAsia="宋体" w:cs="Times New Roman"/>
                <w:color w:val="auto"/>
                <w:highlight w:val="none"/>
                <w:lang w:val="en-US" w:eastAsia="zh-CN"/>
              </w:rPr>
              <w:t>kg/a</w:t>
            </w:r>
            <w:r>
              <w:rPr>
                <w:rFonts w:hint="eastAsia" w:cs="Times New Roman"/>
                <w:color w:val="auto"/>
                <w:kern w:val="0"/>
                <w:sz w:val="21"/>
                <w:szCs w:val="21"/>
                <w:highlight w:val="none"/>
                <w:lang w:val="en-US" w:eastAsia="zh-CN"/>
              </w:rPr>
              <w:t xml:space="preserve"> 、</w:t>
            </w:r>
            <w:r>
              <w:rPr>
                <w:rFonts w:hint="default" w:eastAsia="宋体" w:cs="Times New Roman"/>
                <w:color w:val="auto"/>
                <w:highlight w:val="none"/>
                <w:lang w:val="en-US" w:eastAsia="zh-CN"/>
              </w:rPr>
              <w:t>环氧树脂固化剂</w:t>
            </w:r>
            <w:r>
              <w:rPr>
                <w:rFonts w:hint="eastAsia" w:eastAsia="宋体" w:cs="Times New Roman"/>
                <w:color w:val="auto"/>
                <w:highlight w:val="none"/>
                <w:lang w:val="en-US" w:eastAsia="zh-CN"/>
              </w:rPr>
              <w:t>30kg/a、</w:t>
            </w:r>
            <w:r>
              <w:rPr>
                <w:rFonts w:hint="default" w:eastAsia="宋体" w:cs="Times New Roman"/>
                <w:color w:val="auto"/>
                <w:highlight w:val="none"/>
                <w:lang w:val="en-US" w:eastAsia="zh-CN"/>
              </w:rPr>
              <w:t>双酚-A型液态环氧树脂</w:t>
            </w:r>
            <w:r>
              <w:rPr>
                <w:rFonts w:hint="eastAsia" w:eastAsia="宋体" w:cs="Times New Roman"/>
                <w:color w:val="auto"/>
                <w:highlight w:val="none"/>
                <w:lang w:val="en-US" w:eastAsia="zh-CN"/>
              </w:rPr>
              <w:t>30kg/a、</w:t>
            </w:r>
            <w:r>
              <w:rPr>
                <w:rFonts w:hint="default" w:eastAsia="宋体" w:cs="Times New Roman"/>
                <w:color w:val="auto"/>
                <w:highlight w:val="none"/>
                <w:lang w:val="en-US" w:eastAsia="zh-CN"/>
              </w:rPr>
              <w:t>环氧树脂硬化剂</w:t>
            </w:r>
            <w:r>
              <w:rPr>
                <w:rFonts w:hint="eastAsia" w:eastAsia="宋体" w:cs="Times New Roman"/>
                <w:color w:val="auto"/>
                <w:highlight w:val="none"/>
                <w:lang w:val="en-US" w:eastAsia="zh-CN"/>
              </w:rPr>
              <w:t>30kg/a</w:t>
            </w:r>
            <w:r>
              <w:rPr>
                <w:rFonts w:hint="eastAsia" w:cs="Times New Roman"/>
                <w:color w:val="auto"/>
                <w:highlight w:val="none"/>
                <w:lang w:val="en-US" w:eastAsia="zh-CN"/>
              </w:rPr>
              <w:t>、漂洗</w:t>
            </w:r>
            <w:r>
              <w:rPr>
                <w:rFonts w:hint="eastAsia" w:eastAsia="宋体" w:cs="Times New Roman"/>
                <w:color w:val="auto"/>
                <w:highlight w:val="none"/>
                <w:lang w:val="en-US" w:eastAsia="zh-CN"/>
              </w:rPr>
              <w:t>剂5kg/a、</w:t>
            </w:r>
            <w:r>
              <w:rPr>
                <w:rFonts w:hint="eastAsia" w:cs="Times New Roman"/>
                <w:color w:val="auto"/>
                <w:highlight w:val="none"/>
                <w:lang w:val="en-US" w:eastAsia="zh-CN"/>
              </w:rPr>
              <w:t>清洗剂5</w:t>
            </w:r>
            <w:r>
              <w:rPr>
                <w:rFonts w:hint="eastAsia" w:eastAsia="宋体" w:cs="Times New Roman"/>
                <w:color w:val="auto"/>
                <w:highlight w:val="none"/>
                <w:lang w:val="en-US" w:eastAsia="zh-CN"/>
              </w:rPr>
              <w:t>kg/a</w:t>
            </w:r>
            <w:r>
              <w:rPr>
                <w:rFonts w:hint="eastAsia" w:cs="Times New Roman"/>
                <w:color w:val="auto"/>
                <w:highlight w:val="none"/>
                <w:lang w:val="en-US" w:eastAsia="zh-CN"/>
              </w:rPr>
              <w:t>、乐泰7452促进剂1</w:t>
            </w:r>
            <w:r>
              <w:rPr>
                <w:rFonts w:hint="eastAsia" w:eastAsia="宋体" w:cs="Times New Roman"/>
                <w:color w:val="auto"/>
                <w:highlight w:val="none"/>
                <w:lang w:val="en-US" w:eastAsia="zh-CN"/>
              </w:rPr>
              <w:t>kg/a</w:t>
            </w:r>
            <w:r>
              <w:rPr>
                <w:rFonts w:hint="eastAsia" w:cs="Times New Roman"/>
                <w:color w:val="auto"/>
                <w:highlight w:val="none"/>
                <w:lang w:val="en-US" w:eastAsia="zh-CN"/>
              </w:rPr>
              <w:t>和乐泰416瞬干胶5</w:t>
            </w:r>
            <w:r>
              <w:rPr>
                <w:rFonts w:hint="eastAsia" w:eastAsia="宋体" w:cs="Times New Roman"/>
                <w:color w:val="auto"/>
                <w:highlight w:val="none"/>
                <w:lang w:val="en-US" w:eastAsia="zh-CN"/>
              </w:rPr>
              <w:t>kg/a</w:t>
            </w:r>
            <w:r>
              <w:rPr>
                <w:rFonts w:hint="eastAsia" w:cs="Times New Roman"/>
                <w:color w:val="auto"/>
                <w:highlight w:val="none"/>
                <w:lang w:val="en-US" w:eastAsia="zh-CN"/>
              </w:rPr>
              <w:t>。</w:t>
            </w:r>
            <w:r>
              <w:rPr>
                <w:rFonts w:hint="eastAsia" w:eastAsia="宋体" w:cs="Times New Roman"/>
                <w:color w:val="auto"/>
                <w:highlight w:val="none"/>
                <w:lang w:val="en-US" w:eastAsia="zh-CN"/>
              </w:rPr>
              <w:t>其中</w:t>
            </w:r>
            <w:r>
              <w:rPr>
                <w:rFonts w:hint="default" w:eastAsia="宋体" w:cs="Times New Roman"/>
                <w:color w:val="auto"/>
                <w:highlight w:val="none"/>
                <w:lang w:val="en-US" w:eastAsia="zh-CN"/>
              </w:rPr>
              <w:t>环氧树脂固化剂</w:t>
            </w:r>
            <w:r>
              <w:rPr>
                <w:rFonts w:hint="eastAsia" w:eastAsia="宋体" w:cs="Times New Roman"/>
                <w:color w:val="auto"/>
                <w:highlight w:val="none"/>
                <w:lang w:val="en-US" w:eastAsia="zh-CN"/>
              </w:rPr>
              <w:t>有机成分10%，按全部挥发计，产生的挥发性有机物为0.003t/a；其中</w:t>
            </w:r>
            <w:r>
              <w:rPr>
                <w:rFonts w:hint="default" w:eastAsia="宋体" w:cs="Times New Roman"/>
                <w:color w:val="auto"/>
                <w:highlight w:val="none"/>
                <w:lang w:val="en-US" w:eastAsia="zh-CN"/>
              </w:rPr>
              <w:t>双酚-A型液态环氧树脂</w:t>
            </w:r>
            <w:r>
              <w:rPr>
                <w:rFonts w:hint="eastAsia" w:eastAsia="宋体" w:cs="Times New Roman"/>
                <w:color w:val="auto"/>
                <w:highlight w:val="none"/>
                <w:lang w:val="en-US" w:eastAsia="zh-CN"/>
              </w:rPr>
              <w:t>有机成分2%，按全部挥发计，产生的挥发性有机物为0.0006t/a；其中</w:t>
            </w:r>
            <w:r>
              <w:rPr>
                <w:rFonts w:hint="default" w:eastAsia="宋体" w:cs="Times New Roman"/>
                <w:color w:val="auto"/>
                <w:highlight w:val="none"/>
                <w:lang w:val="en-US" w:eastAsia="zh-CN"/>
              </w:rPr>
              <w:t>太阳电池组件专用密封剂</w:t>
            </w:r>
            <w:r>
              <w:rPr>
                <w:rFonts w:hint="eastAsia" w:eastAsia="宋体" w:cs="Times New Roman"/>
                <w:color w:val="auto"/>
                <w:highlight w:val="none"/>
                <w:lang w:val="en-US" w:eastAsia="zh-CN"/>
              </w:rPr>
              <w:t>有机成分</w:t>
            </w:r>
            <w:r>
              <w:rPr>
                <w:rFonts w:hint="eastAsia" w:cs="Times New Roman"/>
                <w:color w:val="auto"/>
                <w:highlight w:val="none"/>
                <w:lang w:val="en-US" w:eastAsia="zh-CN"/>
              </w:rPr>
              <w:t>5</w:t>
            </w:r>
            <w:r>
              <w:rPr>
                <w:rFonts w:hint="eastAsia" w:eastAsia="宋体" w:cs="Times New Roman"/>
                <w:color w:val="auto"/>
                <w:highlight w:val="none"/>
                <w:lang w:val="en-US" w:eastAsia="zh-CN"/>
              </w:rPr>
              <w:t>%，按全部挥发计，产生的挥发性有机物为0.00</w:t>
            </w:r>
            <w:r>
              <w:rPr>
                <w:rFonts w:hint="eastAsia" w:cs="Times New Roman"/>
                <w:color w:val="auto"/>
                <w:highlight w:val="none"/>
                <w:lang w:val="en-US" w:eastAsia="zh-CN"/>
              </w:rPr>
              <w:t>04</w:t>
            </w:r>
            <w:r>
              <w:rPr>
                <w:rFonts w:hint="eastAsia" w:eastAsia="宋体" w:cs="Times New Roman"/>
                <w:color w:val="auto"/>
                <w:highlight w:val="none"/>
                <w:lang w:val="en-US" w:eastAsia="zh-CN"/>
              </w:rPr>
              <w:t>t/a；其中</w:t>
            </w:r>
            <w:r>
              <w:rPr>
                <w:rFonts w:hint="eastAsia" w:cs="Times New Roman"/>
                <w:color w:val="auto"/>
                <w:highlight w:val="none"/>
                <w:lang w:val="en-US" w:eastAsia="zh-CN"/>
              </w:rPr>
              <w:t>电路板保护剂</w:t>
            </w:r>
            <w:r>
              <w:rPr>
                <w:rFonts w:hint="eastAsia" w:eastAsia="宋体" w:cs="Times New Roman"/>
                <w:color w:val="auto"/>
                <w:highlight w:val="none"/>
                <w:lang w:val="en-US" w:eastAsia="zh-CN"/>
              </w:rPr>
              <w:t>高效解胶剂有机成分</w:t>
            </w:r>
            <w:r>
              <w:rPr>
                <w:rFonts w:hint="eastAsia" w:cs="Times New Roman"/>
                <w:color w:val="auto"/>
                <w:highlight w:val="none"/>
                <w:lang w:val="en-US" w:eastAsia="zh-CN"/>
              </w:rPr>
              <w:t>30</w:t>
            </w:r>
            <w:r>
              <w:rPr>
                <w:rFonts w:hint="eastAsia" w:eastAsia="宋体" w:cs="Times New Roman"/>
                <w:color w:val="auto"/>
                <w:highlight w:val="none"/>
                <w:lang w:val="en-US" w:eastAsia="zh-CN"/>
              </w:rPr>
              <w:t>%，按全部挥发计，产生的挥发性有机物为0.00</w:t>
            </w:r>
            <w:r>
              <w:rPr>
                <w:rFonts w:hint="eastAsia" w:cs="Times New Roman"/>
                <w:color w:val="auto"/>
                <w:highlight w:val="none"/>
                <w:lang w:val="en-US" w:eastAsia="zh-CN"/>
              </w:rPr>
              <w:t>36</w:t>
            </w:r>
            <w:r>
              <w:rPr>
                <w:rFonts w:hint="eastAsia" w:eastAsia="宋体" w:cs="Times New Roman"/>
                <w:color w:val="auto"/>
                <w:highlight w:val="none"/>
                <w:lang w:val="en-US" w:eastAsia="zh-CN"/>
              </w:rPr>
              <w:t>t/a；其中环</w:t>
            </w:r>
            <w:r>
              <w:rPr>
                <w:rFonts w:hint="default" w:eastAsia="宋体" w:cs="Times New Roman"/>
                <w:color w:val="auto"/>
                <w:highlight w:val="none"/>
                <w:lang w:val="en-US" w:eastAsia="zh-CN"/>
              </w:rPr>
              <w:t>氧树脂硬化剂</w:t>
            </w:r>
            <w:r>
              <w:rPr>
                <w:rFonts w:hint="eastAsia" w:eastAsia="宋体" w:cs="Times New Roman"/>
                <w:color w:val="auto"/>
                <w:highlight w:val="none"/>
                <w:lang w:val="en-US" w:eastAsia="zh-CN"/>
              </w:rPr>
              <w:t>有机成分</w:t>
            </w:r>
            <w:r>
              <w:rPr>
                <w:rFonts w:hint="eastAsia" w:cs="Times New Roman"/>
                <w:color w:val="auto"/>
                <w:highlight w:val="none"/>
                <w:lang w:val="en-US" w:eastAsia="zh-CN"/>
              </w:rPr>
              <w:t>10</w:t>
            </w:r>
            <w:r>
              <w:rPr>
                <w:rFonts w:hint="eastAsia" w:eastAsia="宋体" w:cs="Times New Roman"/>
                <w:color w:val="auto"/>
                <w:highlight w:val="none"/>
                <w:lang w:val="en-US" w:eastAsia="zh-CN"/>
              </w:rPr>
              <w:t>%，按全部挥发计，产生的挥发性有机物为0.00</w:t>
            </w:r>
            <w:r>
              <w:rPr>
                <w:rFonts w:hint="eastAsia" w:cs="Times New Roman"/>
                <w:color w:val="auto"/>
                <w:highlight w:val="none"/>
                <w:lang w:val="en-US" w:eastAsia="zh-CN"/>
              </w:rPr>
              <w:t>3</w:t>
            </w:r>
            <w:r>
              <w:rPr>
                <w:rFonts w:hint="eastAsia" w:eastAsia="宋体" w:cs="Times New Roman"/>
                <w:color w:val="auto"/>
                <w:highlight w:val="none"/>
                <w:lang w:val="en-US" w:eastAsia="zh-CN"/>
              </w:rPr>
              <w:t>t/a；</w:t>
            </w:r>
            <w:r>
              <w:rPr>
                <w:rFonts w:hint="eastAsia" w:cs="Times New Roman"/>
                <w:color w:val="auto"/>
                <w:highlight w:val="none"/>
                <w:lang w:val="en-US" w:eastAsia="zh-CN"/>
              </w:rPr>
              <w:t>漂白剂、清洗剂易挥发有机成分以10%计，</w:t>
            </w:r>
            <w:r>
              <w:rPr>
                <w:rFonts w:hint="eastAsia" w:eastAsia="宋体" w:cs="Times New Roman"/>
                <w:color w:val="auto"/>
                <w:highlight w:val="none"/>
                <w:lang w:val="en-US" w:eastAsia="zh-CN"/>
              </w:rPr>
              <w:t>按全部挥发计，产生的挥发性有机物为0.00</w:t>
            </w:r>
            <w:r>
              <w:rPr>
                <w:rFonts w:hint="eastAsia" w:cs="Times New Roman"/>
                <w:color w:val="auto"/>
                <w:highlight w:val="none"/>
                <w:lang w:val="en-US" w:eastAsia="zh-CN"/>
              </w:rPr>
              <w:t>1</w:t>
            </w:r>
            <w:r>
              <w:rPr>
                <w:rFonts w:hint="eastAsia" w:eastAsia="宋体" w:cs="Times New Roman"/>
                <w:color w:val="auto"/>
                <w:highlight w:val="none"/>
                <w:lang w:val="en-US" w:eastAsia="zh-CN"/>
              </w:rPr>
              <w:t>t/a</w:t>
            </w:r>
            <w:r>
              <w:rPr>
                <w:rFonts w:hint="eastAsia" w:cs="Times New Roman"/>
                <w:color w:val="auto"/>
                <w:highlight w:val="none"/>
                <w:lang w:val="en-US" w:eastAsia="zh-CN"/>
              </w:rPr>
              <w:t>；</w:t>
            </w:r>
            <w:r>
              <w:rPr>
                <w:rFonts w:hint="default" w:cs="Times New Roman"/>
                <w:color w:val="auto"/>
                <w:highlight w:val="none"/>
                <w:lang w:val="en-US" w:eastAsia="zh-CN"/>
              </w:rPr>
              <w:t>乐泰7452促进剂</w:t>
            </w:r>
            <w:r>
              <w:rPr>
                <w:rFonts w:hint="eastAsia" w:cs="Times New Roman"/>
                <w:color w:val="auto"/>
                <w:highlight w:val="none"/>
                <w:lang w:val="en-US" w:eastAsia="zh-CN"/>
              </w:rPr>
              <w:t>、</w:t>
            </w:r>
            <w:r>
              <w:rPr>
                <w:rFonts w:hint="default" w:cs="Times New Roman"/>
                <w:color w:val="auto"/>
                <w:highlight w:val="none"/>
                <w:lang w:val="en-US" w:eastAsia="zh-CN"/>
              </w:rPr>
              <w:t>乐泰416瞬干胶</w:t>
            </w:r>
            <w:r>
              <w:rPr>
                <w:rFonts w:hint="eastAsia" w:cs="Times New Roman"/>
                <w:color w:val="auto"/>
                <w:highlight w:val="none"/>
                <w:lang w:val="en-US" w:eastAsia="zh-CN"/>
              </w:rPr>
              <w:t>易挥发有机成分以1%计，</w:t>
            </w:r>
            <w:r>
              <w:rPr>
                <w:rFonts w:hint="eastAsia" w:eastAsia="宋体" w:cs="Times New Roman"/>
                <w:color w:val="auto"/>
                <w:highlight w:val="none"/>
                <w:lang w:val="en-US" w:eastAsia="zh-CN"/>
              </w:rPr>
              <w:t>按全部挥发计，产生的挥发性有机物为0.00</w:t>
            </w:r>
            <w:r>
              <w:rPr>
                <w:rFonts w:hint="eastAsia" w:cs="Times New Roman"/>
                <w:color w:val="auto"/>
                <w:highlight w:val="none"/>
                <w:lang w:val="en-US" w:eastAsia="zh-CN"/>
              </w:rPr>
              <w:t>006</w:t>
            </w:r>
            <w:r>
              <w:rPr>
                <w:rFonts w:hint="eastAsia" w:eastAsia="宋体" w:cs="Times New Roman"/>
                <w:color w:val="auto"/>
                <w:highlight w:val="none"/>
                <w:lang w:val="en-US" w:eastAsia="zh-CN"/>
              </w:rPr>
              <w:t>t/a</w:t>
            </w:r>
          </w:p>
          <w:p w14:paraId="1F2C344E">
            <w:pPr>
              <w:rPr>
                <w:rFonts w:hint="default" w:eastAsia="宋体" w:cs="Times New Roman"/>
                <w:color w:val="auto"/>
                <w:highlight w:val="none"/>
                <w:lang w:val="en-US" w:eastAsia="zh-CN"/>
              </w:rPr>
            </w:pPr>
            <w:r>
              <w:rPr>
                <w:rFonts w:hint="eastAsia" w:cs="Times New Roman"/>
                <w:color w:val="auto"/>
                <w:highlight w:val="none"/>
                <w:lang w:val="en-US" w:eastAsia="zh-CN"/>
              </w:rPr>
              <w:t>使用</w:t>
            </w:r>
            <w:r>
              <w:rPr>
                <w:rFonts w:hint="eastAsia" w:eastAsia="宋体" w:cs="Times New Roman"/>
                <w:color w:val="auto"/>
                <w:highlight w:val="none"/>
                <w:lang w:val="en-US" w:eastAsia="zh-CN"/>
              </w:rPr>
              <w:t>有机胶剂产生的有机废气按非甲烷总烃计，则</w:t>
            </w:r>
            <w:r>
              <w:rPr>
                <w:rFonts w:hint="eastAsia" w:cs="Times New Roman"/>
                <w:color w:val="auto"/>
                <w:highlight w:val="none"/>
                <w:lang w:val="en-US" w:eastAsia="zh-CN"/>
              </w:rPr>
              <w:t>非甲烷总烃</w:t>
            </w:r>
            <w:r>
              <w:rPr>
                <w:rFonts w:hint="eastAsia" w:eastAsia="宋体" w:cs="Times New Roman"/>
                <w:color w:val="auto"/>
                <w:highlight w:val="none"/>
                <w:lang w:val="en-US" w:eastAsia="zh-CN"/>
              </w:rPr>
              <w:t>废气产生量为0.0</w:t>
            </w:r>
            <w:r>
              <w:rPr>
                <w:rFonts w:hint="eastAsia" w:cs="Times New Roman"/>
                <w:color w:val="auto"/>
                <w:highlight w:val="none"/>
                <w:lang w:val="en-US" w:eastAsia="zh-CN"/>
              </w:rPr>
              <w:t>12</w:t>
            </w:r>
            <w:r>
              <w:rPr>
                <w:rFonts w:hint="eastAsia" w:eastAsia="宋体" w:cs="Times New Roman"/>
                <w:color w:val="auto"/>
                <w:highlight w:val="none"/>
                <w:lang w:val="en-US" w:eastAsia="zh-CN"/>
              </w:rPr>
              <w:t>t/a</w:t>
            </w:r>
            <w:r>
              <w:rPr>
                <w:rFonts w:hint="eastAsia" w:cs="Times New Roman"/>
                <w:color w:val="auto"/>
                <w:highlight w:val="none"/>
                <w:lang w:val="en-US" w:eastAsia="zh-CN"/>
              </w:rPr>
              <w:t>；</w:t>
            </w:r>
          </w:p>
          <w:p w14:paraId="6E5E8B66">
            <w:pPr>
              <w:bidi w:val="0"/>
              <w:rPr>
                <w:rFonts w:hint="eastAsia" w:eastAsia="宋体" w:cs="Times New Roman"/>
                <w:color w:val="auto"/>
                <w:highlight w:val="none"/>
                <w:lang w:val="en-US" w:eastAsia="zh-CN"/>
              </w:rPr>
            </w:pPr>
            <w:r>
              <w:rPr>
                <w:rFonts w:hint="eastAsia"/>
                <w:bCs/>
                <w:color w:val="auto"/>
                <w:sz w:val="24"/>
                <w:highlight w:val="none"/>
                <w:lang w:val="en-US" w:eastAsia="zh-CN"/>
              </w:rPr>
              <w:t>项目研发过程中使用的</w:t>
            </w:r>
            <w:r>
              <w:rPr>
                <w:rFonts w:hint="eastAsia" w:eastAsia="宋体" w:cs="Times New Roman"/>
                <w:color w:val="auto"/>
                <w:highlight w:val="none"/>
                <w:lang w:val="en-US" w:eastAsia="zh-CN"/>
              </w:rPr>
              <w:t>异丙醇为</w:t>
            </w:r>
            <w:r>
              <w:rPr>
                <w:rFonts w:hint="eastAsia" w:ascii="Times New Roman" w:hAnsi="Times New Roman" w:eastAsia="宋体" w:cs="Times New Roman"/>
                <w:caps w:val="0"/>
                <w:smallCaps w:val="0"/>
                <w:color w:val="000000"/>
                <w:szCs w:val="24"/>
                <w:highlight w:val="none"/>
                <w:lang w:val="en-US" w:eastAsia="zh-CN"/>
              </w:rPr>
              <w:t>挥发性有机溶剂，项目年使用</w:t>
            </w:r>
            <w:r>
              <w:rPr>
                <w:rFonts w:hint="eastAsia" w:eastAsia="宋体" w:cs="Times New Roman"/>
                <w:color w:val="auto"/>
                <w:highlight w:val="none"/>
                <w:lang w:val="en-US" w:eastAsia="zh-CN"/>
              </w:rPr>
              <w:t>5L/a（0.004t/a），按照挥发性有机物全挥发考虑，则</w:t>
            </w:r>
            <w:r>
              <w:rPr>
                <w:rFonts w:hint="eastAsia"/>
                <w:bCs/>
                <w:color w:val="auto"/>
                <w:sz w:val="24"/>
                <w:highlight w:val="none"/>
                <w:lang w:val="en-US" w:eastAsia="zh-CN"/>
              </w:rPr>
              <w:t>研发过程中使用</w:t>
            </w:r>
            <w:r>
              <w:rPr>
                <w:rFonts w:hint="eastAsia" w:eastAsia="宋体" w:cs="Times New Roman"/>
                <w:color w:val="auto"/>
                <w:highlight w:val="none"/>
                <w:lang w:val="en-US" w:eastAsia="zh-CN"/>
              </w:rPr>
              <w:t>异丙醇产生的非甲烷总烃为0.004t/a。</w:t>
            </w:r>
          </w:p>
          <w:p w14:paraId="6907D6FB">
            <w:pPr>
              <w:bidi w:val="0"/>
              <w:rPr>
                <w:rFonts w:hint="default" w:eastAsia="宋体" w:cs="Times New Roman"/>
                <w:color w:val="auto"/>
                <w:highlight w:val="none"/>
                <w:lang w:val="en-US" w:eastAsia="zh-CN"/>
              </w:rPr>
            </w:pPr>
            <w:r>
              <w:rPr>
                <w:rFonts w:hint="eastAsia" w:cs="Times New Roman"/>
                <w:color w:val="auto"/>
                <w:highlight w:val="none"/>
                <w:lang w:val="en-US" w:eastAsia="zh-CN"/>
              </w:rPr>
              <w:t>项目将使用含VOCs的工位设置为单独的</w:t>
            </w:r>
            <w:r>
              <w:rPr>
                <w:rFonts w:hint="eastAsia" w:eastAsia="宋体" w:cs="Times New Roman"/>
                <w:color w:val="auto"/>
                <w:highlight w:val="none"/>
                <w:lang w:val="en-US" w:eastAsia="zh-CN"/>
              </w:rPr>
              <w:t>密闭空间</w:t>
            </w:r>
            <w:r>
              <w:rPr>
                <w:rFonts w:hint="eastAsia" w:cs="Times New Roman"/>
                <w:color w:val="auto"/>
                <w:highlight w:val="none"/>
                <w:lang w:val="en-US" w:eastAsia="zh-CN"/>
              </w:rPr>
              <w:t>，并</w:t>
            </w:r>
            <w:r>
              <w:rPr>
                <w:rFonts w:hint="eastAsia" w:eastAsia="宋体" w:cs="Times New Roman"/>
                <w:color w:val="auto"/>
                <w:highlight w:val="none"/>
                <w:lang w:val="en-US" w:eastAsia="zh-CN"/>
              </w:rPr>
              <w:t>设置两级活性炭的通风排气设备，</w:t>
            </w:r>
            <w:r>
              <w:rPr>
                <w:rFonts w:hint="eastAsia" w:cs="Times New Roman"/>
                <w:color w:val="auto"/>
                <w:highlight w:val="none"/>
                <w:lang w:val="en-US" w:eastAsia="zh-CN"/>
              </w:rPr>
              <w:t>研发过程</w:t>
            </w:r>
            <w:r>
              <w:rPr>
                <w:rFonts w:hint="eastAsia" w:eastAsia="宋体" w:cs="Times New Roman"/>
                <w:color w:val="auto"/>
                <w:highlight w:val="none"/>
                <w:lang w:val="en-US" w:eastAsia="zh-CN"/>
              </w:rPr>
              <w:t>产生的非甲烷</w:t>
            </w:r>
            <w:r>
              <w:rPr>
                <w:rFonts w:hint="eastAsia" w:cs="Times New Roman"/>
                <w:color w:val="auto"/>
                <w:highlight w:val="none"/>
                <w:lang w:val="en-US" w:eastAsia="zh-CN"/>
              </w:rPr>
              <w:t>总烃</w:t>
            </w:r>
            <w:r>
              <w:rPr>
                <w:rFonts w:hint="eastAsia" w:eastAsia="宋体" w:cs="Times New Roman"/>
                <w:color w:val="auto"/>
                <w:highlight w:val="none"/>
                <w:lang w:val="en-US" w:eastAsia="zh-CN"/>
              </w:rPr>
              <w:t>废气通过两级活性炭处理后，经通风排气设备无组织排放。</w:t>
            </w:r>
          </w:p>
          <w:p w14:paraId="53FAF61C">
            <w:pPr>
              <w:bidi w:val="0"/>
              <w:rPr>
                <w:rFonts w:hint="eastAsia" w:cs="Times New Roman"/>
                <w:color w:val="auto"/>
                <w:highlight w:val="none"/>
                <w:lang w:val="en-US" w:eastAsia="zh-CN"/>
              </w:rPr>
            </w:pPr>
            <w:r>
              <w:rPr>
                <w:rFonts w:hint="eastAsia" w:cs="Times New Roman"/>
                <w:color w:val="auto"/>
                <w:highlight w:val="none"/>
                <w:lang w:val="en-US" w:eastAsia="zh-CN"/>
              </w:rPr>
              <w:t>参考《陕西省排污许可制支撑空气质量持续改善实施方案》（陕环发〔2023〕59号）表1，本项目将“活性炭年更换量×活性炭吸附比例”（蜂窝状活性炭取值20%）作为废气处理设施VOCs削减量。根据建设单位提供设备资料，单个活性炭箱的装填高度为0.4m，装填量为0.05t（0.25m</w:t>
            </w:r>
            <w:r>
              <w:rPr>
                <w:rFonts w:hint="eastAsia" w:cs="Times New Roman"/>
                <w:color w:val="auto"/>
                <w:highlight w:val="none"/>
                <w:vertAlign w:val="superscript"/>
                <w:lang w:val="en-US" w:eastAsia="zh-CN"/>
              </w:rPr>
              <w:t>3</w:t>
            </w:r>
            <w:r>
              <w:rPr>
                <w:rFonts w:hint="eastAsia" w:cs="Times New Roman"/>
                <w:color w:val="auto"/>
                <w:highlight w:val="none"/>
                <w:lang w:val="en-US" w:eastAsia="zh-CN"/>
              </w:rPr>
              <w:t>，密度为0.2t/m</w:t>
            </w:r>
            <w:r>
              <w:rPr>
                <w:rFonts w:hint="eastAsia" w:cs="Times New Roman"/>
                <w:color w:val="auto"/>
                <w:highlight w:val="none"/>
                <w:vertAlign w:val="superscript"/>
                <w:lang w:val="en-US" w:eastAsia="zh-CN"/>
              </w:rPr>
              <w:t>3</w:t>
            </w:r>
            <w:r>
              <w:rPr>
                <w:rFonts w:hint="eastAsia" w:cs="Times New Roman"/>
                <w:color w:val="auto"/>
                <w:highlight w:val="none"/>
                <w:lang w:val="en-US" w:eastAsia="zh-CN"/>
              </w:rPr>
              <w:t>），要求蜂窝状活性炭碘吸附值不低于600mg/g或四氯化碳吸附率不低于30%，该废气处理设施活性炭更换量</w:t>
            </w:r>
            <w:r>
              <w:rPr>
                <w:rFonts w:hint="eastAsia" w:ascii="Times New Roman" w:hAnsi="Times New Roman" w:eastAsia="宋体" w:cs="Times New Roman"/>
                <w:color w:val="auto"/>
                <w:highlight w:val="none"/>
                <w:lang w:val="en-US" w:eastAsia="zh-CN"/>
              </w:rPr>
              <w:t>为0.05t/次，</w:t>
            </w:r>
            <w:r>
              <w:rPr>
                <w:rFonts w:hint="eastAsia" w:cs="Times New Roman"/>
                <w:color w:val="auto"/>
                <w:highlight w:val="none"/>
                <w:lang w:val="en-US" w:eastAsia="zh-CN"/>
              </w:rPr>
              <w:t>每4个月更换1次，则VOCs削减量为0.03t/a，核算去除效率约为62%。研发时间按2008h/a计，风机风量为5000m</w:t>
            </w:r>
            <w:r>
              <w:rPr>
                <w:rFonts w:hint="eastAsia" w:cs="Times New Roman"/>
                <w:color w:val="auto"/>
                <w:highlight w:val="none"/>
                <w:vertAlign w:val="superscript"/>
                <w:lang w:val="en-US" w:eastAsia="zh-CN"/>
              </w:rPr>
              <w:t>3</w:t>
            </w:r>
            <w:r>
              <w:rPr>
                <w:rFonts w:hint="eastAsia" w:cs="Times New Roman"/>
                <w:color w:val="auto"/>
                <w:highlight w:val="none"/>
                <w:lang w:val="en-US" w:eastAsia="zh-CN"/>
              </w:rPr>
              <w:t>/h。</w:t>
            </w:r>
          </w:p>
          <w:p w14:paraId="73F18D81">
            <w:pPr>
              <w:bidi w:val="0"/>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有机废气产排情况见表4-3。</w:t>
            </w:r>
          </w:p>
          <w:p w14:paraId="4F3B4F3B">
            <w:pPr>
              <w:keepNext w:val="0"/>
              <w:keepLines w:val="0"/>
              <w:suppressLineNumbers w:val="0"/>
              <w:bidi w:val="0"/>
              <w:spacing w:before="0" w:beforeAutospacing="0" w:after="0" w:afterAutospacing="0"/>
              <w:ind w:left="0" w:right="0"/>
              <w:jc w:val="center"/>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表4-</w:t>
            </w:r>
            <w:r>
              <w:rPr>
                <w:rFonts w:hint="eastAsia" w:cs="Times New Roman"/>
                <w:b/>
                <w:bCs/>
                <w:color w:val="auto"/>
                <w:lang w:val="en-US" w:eastAsia="zh-CN"/>
              </w:rPr>
              <w:t>3</w:t>
            </w:r>
            <w:r>
              <w:rPr>
                <w:rFonts w:hint="eastAsia" w:ascii="Times New Roman" w:hAnsi="Times New Roman" w:cs="Times New Roman"/>
                <w:b/>
                <w:bCs/>
                <w:color w:val="auto"/>
                <w:lang w:val="en-US" w:eastAsia="zh-CN"/>
              </w:rPr>
              <w:t xml:space="preserve">  有机废气产排情况一览表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46"/>
              <w:gridCol w:w="1154"/>
              <w:gridCol w:w="792"/>
              <w:gridCol w:w="1137"/>
              <w:gridCol w:w="1075"/>
              <w:gridCol w:w="1331"/>
              <w:gridCol w:w="1084"/>
              <w:gridCol w:w="1060"/>
            </w:tblGrid>
            <w:tr w14:paraId="58A13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jc w:val="center"/>
              </w:trPr>
              <w:tc>
                <w:tcPr>
                  <w:tcW w:w="551" w:type="pct"/>
                  <w:shd w:val="clear" w:color="auto" w:fill="auto"/>
                  <w:vAlign w:val="center"/>
                </w:tcPr>
                <w:p w14:paraId="2857BF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产排污环节</w:t>
                  </w:r>
                </w:p>
              </w:tc>
              <w:tc>
                <w:tcPr>
                  <w:tcW w:w="672" w:type="pct"/>
                  <w:shd w:val="clear" w:color="auto" w:fill="auto"/>
                  <w:vAlign w:val="center"/>
                </w:tcPr>
                <w:p w14:paraId="17BD94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排放方式</w:t>
                  </w:r>
                </w:p>
              </w:tc>
              <w:tc>
                <w:tcPr>
                  <w:tcW w:w="461" w:type="pct"/>
                  <w:shd w:val="clear" w:color="auto" w:fill="auto"/>
                  <w:vAlign w:val="center"/>
                </w:tcPr>
                <w:p w14:paraId="3680C0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工作时间</w:t>
                  </w:r>
                  <w:r>
                    <w:rPr>
                      <w:b/>
                      <w:bCs/>
                      <w:color w:val="auto"/>
                      <w:spacing w:val="-11"/>
                      <w:sz w:val="21"/>
                      <w:szCs w:val="21"/>
                      <w:lang w:val="en-US" w:eastAsia="zh-CN"/>
                    </w:rPr>
                    <w:t>/h/a</w:t>
                  </w:r>
                </w:p>
              </w:tc>
              <w:tc>
                <w:tcPr>
                  <w:tcW w:w="662" w:type="pct"/>
                  <w:shd w:val="clear" w:color="auto" w:fill="auto"/>
                  <w:vAlign w:val="center"/>
                </w:tcPr>
                <w:p w14:paraId="2717DE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产生量</w:t>
                  </w:r>
                  <w:r>
                    <w:rPr>
                      <w:b/>
                      <w:bCs/>
                      <w:color w:val="auto"/>
                      <w:spacing w:val="-11"/>
                      <w:sz w:val="21"/>
                      <w:szCs w:val="21"/>
                      <w:lang w:val="en-US" w:eastAsia="zh-CN"/>
                    </w:rPr>
                    <w:t>/t/a</w:t>
                  </w:r>
                </w:p>
              </w:tc>
              <w:tc>
                <w:tcPr>
                  <w:tcW w:w="626" w:type="pct"/>
                  <w:shd w:val="clear" w:color="auto" w:fill="auto"/>
                  <w:vAlign w:val="center"/>
                </w:tcPr>
                <w:p w14:paraId="799259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highlight w:val="none"/>
                    </w:rPr>
                  </w:pPr>
                  <w:r>
                    <w:rPr>
                      <w:rFonts w:hint="eastAsia"/>
                      <w:b/>
                      <w:bCs/>
                      <w:color w:val="auto"/>
                      <w:spacing w:val="-11"/>
                      <w:sz w:val="21"/>
                      <w:szCs w:val="21"/>
                      <w:highlight w:val="none"/>
                      <w:lang w:val="en-US" w:eastAsia="zh-CN"/>
                    </w:rPr>
                    <w:t>产生速率</w:t>
                  </w:r>
                  <w:r>
                    <w:rPr>
                      <w:b/>
                      <w:bCs/>
                      <w:color w:val="auto"/>
                      <w:spacing w:val="-11"/>
                      <w:sz w:val="21"/>
                      <w:szCs w:val="21"/>
                      <w:highlight w:val="none"/>
                      <w:lang w:val="en-US" w:eastAsia="zh-CN"/>
                    </w:rPr>
                    <w:t>/kg/h</w:t>
                  </w:r>
                </w:p>
              </w:tc>
              <w:tc>
                <w:tcPr>
                  <w:tcW w:w="775" w:type="pct"/>
                  <w:shd w:val="clear" w:color="auto" w:fill="auto"/>
                  <w:noWrap/>
                  <w:vAlign w:val="center"/>
                </w:tcPr>
                <w:p w14:paraId="1E03D9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lang w:val="en-US" w:eastAsia="zh-CN"/>
                    </w:rPr>
                  </w:pPr>
                  <w:r>
                    <w:rPr>
                      <w:rFonts w:hint="eastAsia"/>
                      <w:b/>
                      <w:bCs/>
                      <w:color w:val="auto"/>
                      <w:spacing w:val="-11"/>
                      <w:sz w:val="21"/>
                      <w:szCs w:val="21"/>
                      <w:lang w:val="en-US" w:eastAsia="zh-CN"/>
                    </w:rPr>
                    <w:t>风机风量</w:t>
                  </w:r>
                </w:p>
                <w:p w14:paraId="2E4740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pacing w:val="-11"/>
                      <w:sz w:val="21"/>
                      <w:szCs w:val="21"/>
                      <w:lang w:val="en-US"/>
                    </w:rPr>
                  </w:pPr>
                  <w:r>
                    <w:rPr>
                      <w:rFonts w:hint="eastAsia"/>
                      <w:b/>
                      <w:bCs/>
                      <w:color w:val="auto"/>
                      <w:spacing w:val="-11"/>
                      <w:sz w:val="21"/>
                      <w:szCs w:val="21"/>
                      <w:lang w:val="en-US" w:eastAsia="zh-CN"/>
                    </w:rPr>
                    <w:t>/m</w:t>
                  </w:r>
                  <w:r>
                    <w:rPr>
                      <w:rFonts w:hint="eastAsia"/>
                      <w:b/>
                      <w:bCs/>
                      <w:color w:val="auto"/>
                      <w:spacing w:val="-11"/>
                      <w:sz w:val="21"/>
                      <w:szCs w:val="21"/>
                      <w:vertAlign w:val="superscript"/>
                      <w:lang w:val="en-US" w:eastAsia="zh-CN"/>
                    </w:rPr>
                    <w:t>3</w:t>
                  </w:r>
                  <w:r>
                    <w:rPr>
                      <w:rFonts w:hint="eastAsia"/>
                      <w:b/>
                      <w:bCs/>
                      <w:color w:val="auto"/>
                      <w:spacing w:val="-11"/>
                      <w:sz w:val="21"/>
                      <w:szCs w:val="21"/>
                      <w:lang w:val="en-US" w:eastAsia="zh-CN"/>
                    </w:rPr>
                    <w:t>/h</w:t>
                  </w:r>
                </w:p>
              </w:tc>
              <w:tc>
                <w:tcPr>
                  <w:tcW w:w="631" w:type="pct"/>
                  <w:shd w:val="clear" w:color="auto" w:fill="auto"/>
                  <w:vAlign w:val="center"/>
                </w:tcPr>
                <w:p w14:paraId="5226CA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排放速率</w:t>
                  </w:r>
                  <w:r>
                    <w:rPr>
                      <w:b/>
                      <w:bCs/>
                      <w:color w:val="auto"/>
                      <w:spacing w:val="-11"/>
                      <w:sz w:val="21"/>
                      <w:szCs w:val="21"/>
                      <w:lang w:val="en-US" w:eastAsia="zh-CN"/>
                    </w:rPr>
                    <w:t>/kg/h</w:t>
                  </w:r>
                </w:p>
              </w:tc>
              <w:tc>
                <w:tcPr>
                  <w:tcW w:w="617" w:type="pct"/>
                  <w:shd w:val="clear" w:color="auto" w:fill="auto"/>
                  <w:vAlign w:val="center"/>
                </w:tcPr>
                <w:p w14:paraId="5FD3DC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pacing w:val="-11"/>
                      <w:sz w:val="21"/>
                      <w:szCs w:val="21"/>
                    </w:rPr>
                  </w:pPr>
                  <w:r>
                    <w:rPr>
                      <w:rFonts w:hint="eastAsia"/>
                      <w:b/>
                      <w:bCs/>
                      <w:color w:val="auto"/>
                      <w:spacing w:val="-11"/>
                      <w:sz w:val="21"/>
                      <w:szCs w:val="21"/>
                      <w:lang w:val="en-US" w:eastAsia="zh-CN"/>
                    </w:rPr>
                    <w:t>排放量</w:t>
                  </w:r>
                  <w:r>
                    <w:rPr>
                      <w:b/>
                      <w:bCs/>
                      <w:color w:val="auto"/>
                      <w:spacing w:val="-11"/>
                      <w:sz w:val="21"/>
                      <w:szCs w:val="21"/>
                      <w:lang w:val="en-US" w:eastAsia="zh-CN"/>
                    </w:rPr>
                    <w:t>/t/a</w:t>
                  </w:r>
                </w:p>
              </w:tc>
            </w:tr>
            <w:tr w14:paraId="439ED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551" w:type="pct"/>
                  <w:vMerge w:val="restart"/>
                  <w:shd w:val="clear" w:color="auto" w:fill="auto"/>
                  <w:vAlign w:val="center"/>
                </w:tcPr>
                <w:p w14:paraId="63B331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pacing w:val="-11"/>
                      <w:sz w:val="21"/>
                      <w:szCs w:val="21"/>
                      <w:lang w:val="en-US" w:eastAsia="zh-CN"/>
                    </w:rPr>
                  </w:pPr>
                  <w:r>
                    <w:rPr>
                      <w:rFonts w:hint="default"/>
                      <w:color w:val="auto"/>
                      <w:spacing w:val="-11"/>
                      <w:sz w:val="21"/>
                      <w:szCs w:val="21"/>
                      <w:lang w:val="en-US" w:eastAsia="zh-CN"/>
                    </w:rPr>
                    <w:t>电路板保护剂</w:t>
                  </w:r>
                </w:p>
              </w:tc>
              <w:tc>
                <w:tcPr>
                  <w:tcW w:w="672" w:type="pct"/>
                  <w:vMerge w:val="restart"/>
                  <w:shd w:val="clear" w:color="auto" w:fill="auto"/>
                  <w:vAlign w:val="center"/>
                </w:tcPr>
                <w:p w14:paraId="31DCFA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pacing w:val="-11"/>
                      <w:sz w:val="21"/>
                      <w:szCs w:val="21"/>
                    </w:rPr>
                  </w:pPr>
                  <w:r>
                    <w:rPr>
                      <w:rFonts w:hint="eastAsia"/>
                      <w:color w:val="auto"/>
                      <w:spacing w:val="-11"/>
                      <w:sz w:val="21"/>
                      <w:szCs w:val="21"/>
                      <w:lang w:val="en-US" w:eastAsia="zh-CN"/>
                    </w:rPr>
                    <w:t>无组织</w:t>
                  </w:r>
                </w:p>
              </w:tc>
              <w:tc>
                <w:tcPr>
                  <w:tcW w:w="461" w:type="pct"/>
                  <w:vMerge w:val="restart"/>
                  <w:shd w:val="clear" w:color="auto" w:fill="auto"/>
                  <w:vAlign w:val="center"/>
                </w:tcPr>
                <w:p w14:paraId="595B54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auto"/>
                      <w:spacing w:val="-11"/>
                      <w:sz w:val="21"/>
                      <w:szCs w:val="21"/>
                      <w:lang w:val="en-US" w:eastAsia="zh-CN"/>
                    </w:rPr>
                  </w:pPr>
                  <w:r>
                    <w:rPr>
                      <w:rFonts w:hint="eastAsia"/>
                      <w:color w:val="auto"/>
                      <w:spacing w:val="-11"/>
                      <w:sz w:val="21"/>
                      <w:szCs w:val="21"/>
                      <w:lang w:val="en-US" w:eastAsia="zh-CN"/>
                    </w:rPr>
                    <w:t>2008</w:t>
                  </w:r>
                </w:p>
              </w:tc>
              <w:tc>
                <w:tcPr>
                  <w:tcW w:w="662" w:type="pct"/>
                  <w:shd w:val="clear" w:color="auto" w:fill="auto"/>
                  <w:vAlign w:val="center"/>
                </w:tcPr>
                <w:p w14:paraId="541709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0.0124</w:t>
                  </w:r>
                </w:p>
              </w:tc>
              <w:tc>
                <w:tcPr>
                  <w:tcW w:w="626" w:type="pct"/>
                  <w:shd w:val="clear" w:color="auto" w:fill="auto"/>
                  <w:vAlign w:val="center"/>
                </w:tcPr>
                <w:p w14:paraId="7524A2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0.00</w:t>
                  </w:r>
                  <w:r>
                    <w:rPr>
                      <w:rFonts w:hint="eastAsia" w:cs="Times New Roman"/>
                      <w:color w:val="auto"/>
                      <w:spacing w:val="-11"/>
                      <w:sz w:val="21"/>
                      <w:szCs w:val="21"/>
                      <w:highlight w:val="none"/>
                      <w:lang w:val="en-US" w:eastAsia="zh-CN"/>
                    </w:rPr>
                    <w:t>62</w:t>
                  </w:r>
                </w:p>
              </w:tc>
              <w:tc>
                <w:tcPr>
                  <w:tcW w:w="775" w:type="pct"/>
                  <w:vMerge w:val="restart"/>
                  <w:shd w:val="clear" w:color="auto" w:fill="auto"/>
                  <w:noWrap/>
                  <w:vAlign w:val="center"/>
                </w:tcPr>
                <w:p w14:paraId="185B34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5000</w:t>
                  </w:r>
                </w:p>
              </w:tc>
              <w:tc>
                <w:tcPr>
                  <w:tcW w:w="631" w:type="pct"/>
                  <w:shd w:val="clear" w:color="auto" w:fill="auto"/>
                  <w:vAlign w:val="center"/>
                </w:tcPr>
                <w:p w14:paraId="7B50B6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617" w:type="pct"/>
                  <w:shd w:val="clear" w:color="auto" w:fill="auto"/>
                  <w:vAlign w:val="center"/>
                </w:tcPr>
                <w:p w14:paraId="1C057C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0.0047</w:t>
                  </w:r>
                </w:p>
              </w:tc>
            </w:tr>
            <w:tr w14:paraId="7CC70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551" w:type="pct"/>
                  <w:vMerge w:val="restart"/>
                  <w:shd w:val="clear" w:color="auto" w:fill="auto"/>
                  <w:vAlign w:val="center"/>
                </w:tcPr>
                <w:p w14:paraId="70D58F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pacing w:val="-11"/>
                      <w:sz w:val="21"/>
                      <w:szCs w:val="21"/>
                      <w:lang w:val="en-US" w:eastAsia="zh-CN"/>
                    </w:rPr>
                  </w:pPr>
                  <w:r>
                    <w:rPr>
                      <w:rFonts w:hint="eastAsia"/>
                      <w:color w:val="auto"/>
                      <w:spacing w:val="-11"/>
                      <w:sz w:val="21"/>
                      <w:szCs w:val="21"/>
                      <w:lang w:val="en-US" w:eastAsia="zh-CN"/>
                    </w:rPr>
                    <w:t>酒精</w:t>
                  </w:r>
                </w:p>
              </w:tc>
              <w:tc>
                <w:tcPr>
                  <w:tcW w:w="672" w:type="pct"/>
                  <w:vMerge w:val="restart"/>
                  <w:shd w:val="clear" w:color="auto" w:fill="auto"/>
                  <w:vAlign w:val="center"/>
                </w:tcPr>
                <w:p w14:paraId="4702B8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pacing w:val="-11"/>
                      <w:sz w:val="21"/>
                      <w:szCs w:val="21"/>
                    </w:rPr>
                  </w:pPr>
                  <w:r>
                    <w:rPr>
                      <w:rFonts w:hint="eastAsia"/>
                      <w:color w:val="auto"/>
                      <w:spacing w:val="-11"/>
                      <w:sz w:val="21"/>
                      <w:szCs w:val="21"/>
                      <w:lang w:val="en-US" w:eastAsia="zh-CN"/>
                    </w:rPr>
                    <w:t>无组织</w:t>
                  </w:r>
                </w:p>
              </w:tc>
              <w:tc>
                <w:tcPr>
                  <w:tcW w:w="461" w:type="pct"/>
                  <w:vMerge w:val="continue"/>
                  <w:shd w:val="clear" w:color="auto" w:fill="auto"/>
                  <w:vAlign w:val="center"/>
                </w:tcPr>
                <w:p w14:paraId="0FAD20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pacing w:val="-11"/>
                      <w:sz w:val="21"/>
                      <w:szCs w:val="21"/>
                    </w:rPr>
                  </w:pPr>
                </w:p>
              </w:tc>
              <w:tc>
                <w:tcPr>
                  <w:tcW w:w="662" w:type="pct"/>
                  <w:shd w:val="clear" w:color="auto" w:fill="auto"/>
                  <w:vAlign w:val="center"/>
                </w:tcPr>
                <w:p w14:paraId="328462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ascii="Times New Roman" w:hAnsi="Times New Roman" w:eastAsia="宋体" w:cs="Times New Roman"/>
                      <w:color w:val="auto"/>
                      <w:spacing w:val="-11"/>
                      <w:sz w:val="21"/>
                      <w:szCs w:val="21"/>
                      <w:lang w:val="en-US" w:eastAsia="zh-CN"/>
                    </w:rPr>
                    <w:t>0.0</w:t>
                  </w:r>
                  <w:r>
                    <w:rPr>
                      <w:rFonts w:hint="eastAsia" w:cs="Times New Roman"/>
                      <w:color w:val="auto"/>
                      <w:spacing w:val="-11"/>
                      <w:sz w:val="21"/>
                      <w:szCs w:val="21"/>
                      <w:lang w:val="en-US" w:eastAsia="zh-CN"/>
                    </w:rPr>
                    <w:t>2</w:t>
                  </w:r>
                </w:p>
              </w:tc>
              <w:tc>
                <w:tcPr>
                  <w:tcW w:w="626" w:type="pct"/>
                  <w:shd w:val="clear" w:color="auto" w:fill="auto"/>
                  <w:vAlign w:val="center"/>
                </w:tcPr>
                <w:p w14:paraId="641962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0.0</w:t>
                  </w:r>
                  <w:r>
                    <w:rPr>
                      <w:rFonts w:hint="eastAsia" w:cs="Times New Roman"/>
                      <w:color w:val="auto"/>
                      <w:spacing w:val="-11"/>
                      <w:sz w:val="21"/>
                      <w:szCs w:val="21"/>
                      <w:highlight w:val="none"/>
                      <w:lang w:val="en-US" w:eastAsia="zh-CN"/>
                    </w:rPr>
                    <w:t>1</w:t>
                  </w:r>
                </w:p>
              </w:tc>
              <w:tc>
                <w:tcPr>
                  <w:tcW w:w="775" w:type="pct"/>
                  <w:vMerge w:val="continue"/>
                  <w:shd w:val="clear" w:color="auto" w:fill="auto"/>
                  <w:noWrap/>
                  <w:vAlign w:val="center"/>
                </w:tcPr>
                <w:p w14:paraId="44E537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p>
              </w:tc>
              <w:tc>
                <w:tcPr>
                  <w:tcW w:w="631" w:type="pct"/>
                  <w:shd w:val="clear" w:color="auto" w:fill="auto"/>
                  <w:vAlign w:val="center"/>
                </w:tcPr>
                <w:p w14:paraId="495D5B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617" w:type="pct"/>
                  <w:shd w:val="clear" w:color="auto" w:fill="auto"/>
                  <w:vAlign w:val="center"/>
                </w:tcPr>
                <w:p w14:paraId="7664B0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0.0076</w:t>
                  </w:r>
                </w:p>
              </w:tc>
            </w:tr>
            <w:tr w14:paraId="337E4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551" w:type="pct"/>
                  <w:vMerge w:val="restart"/>
                  <w:shd w:val="clear" w:color="auto" w:fill="auto"/>
                  <w:vAlign w:val="center"/>
                </w:tcPr>
                <w:p w14:paraId="234133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auto"/>
                      <w:spacing w:val="-11"/>
                      <w:sz w:val="21"/>
                      <w:szCs w:val="21"/>
                      <w:lang w:val="en-US" w:eastAsia="zh-CN"/>
                    </w:rPr>
                  </w:pPr>
                  <w:r>
                    <w:rPr>
                      <w:rFonts w:hint="eastAsia" w:eastAsia="宋体"/>
                      <w:color w:val="auto"/>
                      <w:spacing w:val="-11"/>
                      <w:sz w:val="21"/>
                      <w:szCs w:val="21"/>
                      <w:lang w:val="en-US" w:eastAsia="zh-CN"/>
                    </w:rPr>
                    <w:t>有机胶剂</w:t>
                  </w:r>
                </w:p>
              </w:tc>
              <w:tc>
                <w:tcPr>
                  <w:tcW w:w="672" w:type="pct"/>
                  <w:vMerge w:val="restart"/>
                  <w:shd w:val="clear" w:color="auto" w:fill="auto"/>
                  <w:vAlign w:val="center"/>
                </w:tcPr>
                <w:p w14:paraId="4D9260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pacing w:val="-11"/>
                      <w:sz w:val="21"/>
                      <w:szCs w:val="21"/>
                      <w:lang w:val="en-US" w:eastAsia="zh-CN"/>
                    </w:rPr>
                  </w:pPr>
                  <w:r>
                    <w:rPr>
                      <w:rFonts w:hint="eastAsia"/>
                      <w:color w:val="auto"/>
                      <w:spacing w:val="-11"/>
                      <w:sz w:val="21"/>
                      <w:szCs w:val="21"/>
                      <w:lang w:val="en-US" w:eastAsia="zh-CN"/>
                    </w:rPr>
                    <w:t>无组织</w:t>
                  </w:r>
                </w:p>
              </w:tc>
              <w:tc>
                <w:tcPr>
                  <w:tcW w:w="461" w:type="pct"/>
                  <w:vMerge w:val="continue"/>
                  <w:shd w:val="clear" w:color="auto" w:fill="auto"/>
                  <w:vAlign w:val="center"/>
                </w:tcPr>
                <w:p w14:paraId="07EA64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pacing w:val="-11"/>
                      <w:sz w:val="21"/>
                      <w:szCs w:val="21"/>
                    </w:rPr>
                  </w:pPr>
                </w:p>
              </w:tc>
              <w:tc>
                <w:tcPr>
                  <w:tcW w:w="662" w:type="pct"/>
                  <w:shd w:val="clear" w:color="auto" w:fill="auto"/>
                  <w:vAlign w:val="center"/>
                </w:tcPr>
                <w:p w14:paraId="6D45A8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0.012</w:t>
                  </w:r>
                </w:p>
              </w:tc>
              <w:tc>
                <w:tcPr>
                  <w:tcW w:w="626" w:type="pct"/>
                  <w:shd w:val="clear" w:color="auto" w:fill="auto"/>
                  <w:vAlign w:val="center"/>
                </w:tcPr>
                <w:p w14:paraId="412F11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0.00</w:t>
                  </w:r>
                  <w:r>
                    <w:rPr>
                      <w:rFonts w:hint="eastAsia" w:cs="Times New Roman"/>
                      <w:color w:val="auto"/>
                      <w:spacing w:val="-11"/>
                      <w:sz w:val="21"/>
                      <w:szCs w:val="21"/>
                      <w:highlight w:val="none"/>
                      <w:lang w:val="en-US" w:eastAsia="zh-CN"/>
                    </w:rPr>
                    <w:t>6</w:t>
                  </w:r>
                </w:p>
              </w:tc>
              <w:tc>
                <w:tcPr>
                  <w:tcW w:w="775" w:type="pct"/>
                  <w:vMerge w:val="continue"/>
                  <w:shd w:val="clear" w:color="auto" w:fill="auto"/>
                  <w:noWrap/>
                  <w:vAlign w:val="center"/>
                </w:tcPr>
                <w:p w14:paraId="0F48C8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p>
              </w:tc>
              <w:tc>
                <w:tcPr>
                  <w:tcW w:w="631" w:type="pct"/>
                  <w:shd w:val="clear" w:color="auto" w:fill="auto"/>
                  <w:vAlign w:val="center"/>
                </w:tcPr>
                <w:p w14:paraId="32B52B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617" w:type="pct"/>
                  <w:shd w:val="clear" w:color="auto" w:fill="auto"/>
                  <w:vAlign w:val="center"/>
                </w:tcPr>
                <w:p w14:paraId="49C886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r>
                    <w:rPr>
                      <w:rFonts w:hint="eastAsia" w:cs="Times New Roman"/>
                      <w:color w:val="auto"/>
                      <w:spacing w:val="-11"/>
                      <w:sz w:val="21"/>
                      <w:szCs w:val="21"/>
                      <w:lang w:val="en-US" w:eastAsia="zh-CN"/>
                    </w:rPr>
                    <w:t>0.0046</w:t>
                  </w:r>
                </w:p>
              </w:tc>
            </w:tr>
            <w:tr w14:paraId="271B5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51" w:type="pct"/>
                  <w:shd w:val="clear" w:color="auto" w:fill="auto"/>
                  <w:vAlign w:val="center"/>
                </w:tcPr>
                <w:p w14:paraId="34736F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lang w:val="en-US" w:eastAsia="zh-CN"/>
                    </w:rPr>
                  </w:pPr>
                  <w:r>
                    <w:rPr>
                      <w:rFonts w:hint="eastAsia" w:ascii="Times New Roman" w:hAnsi="Times New Roman" w:eastAsia="宋体" w:cs="Times New Roman"/>
                      <w:color w:val="auto"/>
                      <w:spacing w:val="-11"/>
                      <w:sz w:val="21"/>
                      <w:szCs w:val="21"/>
                      <w:lang w:val="en-US" w:eastAsia="zh-CN"/>
                    </w:rPr>
                    <w:t>异丙醇</w:t>
                  </w:r>
                </w:p>
              </w:tc>
              <w:tc>
                <w:tcPr>
                  <w:tcW w:w="672" w:type="pct"/>
                  <w:shd w:val="clear" w:color="auto" w:fill="auto"/>
                  <w:vAlign w:val="center"/>
                </w:tcPr>
                <w:p w14:paraId="2859B6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color w:val="auto"/>
                      <w:spacing w:val="-11"/>
                      <w:sz w:val="21"/>
                      <w:szCs w:val="21"/>
                      <w:lang w:val="en-US" w:eastAsia="zh-CN"/>
                    </w:rPr>
                    <w:t>无组织</w:t>
                  </w:r>
                </w:p>
              </w:tc>
              <w:tc>
                <w:tcPr>
                  <w:tcW w:w="461" w:type="pct"/>
                  <w:vMerge w:val="continue"/>
                  <w:shd w:val="clear" w:color="auto" w:fill="auto"/>
                  <w:vAlign w:val="center"/>
                </w:tcPr>
                <w:p w14:paraId="7E01B9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p>
              </w:tc>
              <w:tc>
                <w:tcPr>
                  <w:tcW w:w="662" w:type="pct"/>
                  <w:shd w:val="clear" w:color="auto" w:fill="auto"/>
                  <w:vAlign w:val="center"/>
                </w:tcPr>
                <w:p w14:paraId="1E84E6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0.004</w:t>
                  </w:r>
                </w:p>
              </w:tc>
              <w:tc>
                <w:tcPr>
                  <w:tcW w:w="626" w:type="pct"/>
                  <w:shd w:val="clear" w:color="auto" w:fill="auto"/>
                  <w:vAlign w:val="center"/>
                </w:tcPr>
                <w:p w14:paraId="328617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auto"/>
                      <w:spacing w:val="-11"/>
                      <w:sz w:val="21"/>
                      <w:szCs w:val="21"/>
                      <w:highlight w:val="none"/>
                      <w:lang w:val="en-US" w:eastAsia="zh-CN"/>
                    </w:rPr>
                  </w:pPr>
                  <w:r>
                    <w:rPr>
                      <w:rFonts w:hint="eastAsia" w:cs="Times New Roman"/>
                      <w:color w:val="auto"/>
                      <w:spacing w:val="-11"/>
                      <w:sz w:val="21"/>
                      <w:szCs w:val="21"/>
                      <w:highlight w:val="none"/>
                      <w:lang w:val="en-US" w:eastAsia="zh-CN"/>
                    </w:rPr>
                    <w:t>0.002</w:t>
                  </w:r>
                </w:p>
              </w:tc>
              <w:tc>
                <w:tcPr>
                  <w:tcW w:w="775" w:type="pct"/>
                  <w:vMerge w:val="continue"/>
                  <w:shd w:val="clear" w:color="auto" w:fill="auto"/>
                  <w:noWrap/>
                  <w:vAlign w:val="center"/>
                </w:tcPr>
                <w:p w14:paraId="22C576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11"/>
                      <w:sz w:val="21"/>
                      <w:szCs w:val="21"/>
                      <w:lang w:val="en-US" w:eastAsia="zh-CN"/>
                    </w:rPr>
                  </w:pPr>
                </w:p>
              </w:tc>
              <w:tc>
                <w:tcPr>
                  <w:tcW w:w="631" w:type="pct"/>
                  <w:shd w:val="clear" w:color="auto" w:fill="auto"/>
                  <w:vAlign w:val="center"/>
                </w:tcPr>
                <w:p w14:paraId="43CC32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auto"/>
                      <w:spacing w:val="-11"/>
                      <w:sz w:val="21"/>
                      <w:szCs w:val="21"/>
                      <w:lang w:val="en-US" w:eastAsia="zh-CN"/>
                    </w:rPr>
                  </w:pPr>
                  <w:r>
                    <w:rPr>
                      <w:rFonts w:hint="eastAsia" w:cs="Times New Roman"/>
                      <w:color w:val="auto"/>
                      <w:spacing w:val="-11"/>
                      <w:sz w:val="21"/>
                      <w:szCs w:val="21"/>
                      <w:lang w:val="en-US" w:eastAsia="zh-CN"/>
                    </w:rPr>
                    <w:t>/</w:t>
                  </w:r>
                </w:p>
              </w:tc>
              <w:tc>
                <w:tcPr>
                  <w:tcW w:w="617" w:type="pct"/>
                  <w:shd w:val="clear" w:color="auto" w:fill="auto"/>
                  <w:vAlign w:val="center"/>
                </w:tcPr>
                <w:p w14:paraId="33ACB9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auto"/>
                      <w:spacing w:val="-11"/>
                      <w:sz w:val="21"/>
                      <w:szCs w:val="21"/>
                      <w:lang w:val="en-US" w:eastAsia="zh-CN"/>
                    </w:rPr>
                  </w:pPr>
                  <w:r>
                    <w:rPr>
                      <w:rFonts w:hint="eastAsia" w:cs="Times New Roman"/>
                      <w:color w:val="auto"/>
                      <w:spacing w:val="-11"/>
                      <w:sz w:val="21"/>
                      <w:szCs w:val="21"/>
                      <w:lang w:val="en-US" w:eastAsia="zh-CN"/>
                    </w:rPr>
                    <w:t>0.00152</w:t>
                  </w:r>
                </w:p>
              </w:tc>
            </w:tr>
          </w:tbl>
          <w:p w14:paraId="4D784369">
            <w:pPr>
              <w:spacing w:line="360" w:lineRule="auto"/>
              <w:ind w:firstLine="482"/>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③焊接烟尘</w:t>
            </w:r>
          </w:p>
          <w:p w14:paraId="305BECE2">
            <w:pPr>
              <w:spacing w:line="360" w:lineRule="auto"/>
              <w:ind w:firstLine="482"/>
              <w:rPr>
                <w:rFonts w:hint="default" w:ascii="Times New Roman" w:hAnsi="Times New Roman" w:eastAsia="宋体" w:cs="Times New Roman"/>
                <w:bCs/>
                <w:color w:val="auto"/>
                <w:sz w:val="24"/>
                <w:highlight w:val="none"/>
                <w:lang w:val="en-US" w:eastAsia="zh-CN"/>
              </w:rPr>
            </w:pPr>
            <w:r>
              <w:rPr>
                <w:rFonts w:hint="eastAsia"/>
                <w:bCs/>
                <w:color w:val="auto"/>
                <w:sz w:val="24"/>
                <w:highlight w:val="none"/>
                <w:lang w:val="en-US" w:eastAsia="zh-CN"/>
              </w:rPr>
              <w:t>焊接烟尘</w:t>
            </w:r>
            <w:r>
              <w:rPr>
                <w:rFonts w:hint="eastAsia"/>
                <w:bCs/>
                <w:color w:val="auto"/>
                <w:sz w:val="24"/>
                <w:highlight w:val="none"/>
              </w:rPr>
              <w:t>根据《排放源统计调查产排污核算方法和系数手册》（2021年6月）</w:t>
            </w:r>
            <w:r>
              <w:rPr>
                <w:rFonts w:hint="eastAsia"/>
                <w:bCs/>
                <w:color w:val="auto"/>
                <w:sz w:val="24"/>
                <w:highlight w:val="none"/>
                <w:lang w:val="en-US" w:eastAsia="zh-CN"/>
              </w:rPr>
              <w:t>中“38电气机械和器材制造业”相关系数进行计算，使用无铅焊料进行焊接，不同焊接工艺的焊接烟尘产生系数分别为“</w:t>
            </w:r>
            <w:r>
              <w:rPr>
                <w:rFonts w:hint="eastAsia"/>
                <w:bCs/>
                <w:color w:val="auto"/>
                <w:sz w:val="24"/>
                <w:highlight w:val="none"/>
                <w:vertAlign w:val="baseline"/>
                <w:lang w:val="en-US" w:eastAsia="zh-CN"/>
              </w:rPr>
              <w:t>手工焊4.023</w:t>
            </w:r>
            <w:r>
              <w:rPr>
                <w:rFonts w:hint="default" w:ascii="Arial" w:hAnsi="Arial" w:cs="Arial"/>
                <w:bCs/>
                <w:color w:val="auto"/>
                <w:sz w:val="24"/>
                <w:highlight w:val="none"/>
                <w:lang w:val="en-US" w:eastAsia="zh-CN"/>
              </w:rPr>
              <w:t>×</w:t>
            </w:r>
            <w:r>
              <w:rPr>
                <w:rFonts w:hint="eastAsia"/>
                <w:bCs/>
                <w:color w:val="auto"/>
                <w:sz w:val="24"/>
                <w:highlight w:val="none"/>
                <w:lang w:val="en-US" w:eastAsia="zh-CN"/>
              </w:rPr>
              <w:t>10</w:t>
            </w:r>
            <w:r>
              <w:rPr>
                <w:rFonts w:hint="eastAsia"/>
                <w:bCs/>
                <w:color w:val="auto"/>
                <w:sz w:val="24"/>
                <w:highlight w:val="none"/>
                <w:vertAlign w:val="superscript"/>
                <w:lang w:val="en-US" w:eastAsia="zh-CN"/>
              </w:rPr>
              <w:t>-1</w:t>
            </w:r>
            <w:r>
              <w:rPr>
                <w:rFonts w:hint="eastAsia"/>
                <w:bCs/>
                <w:color w:val="auto"/>
                <w:sz w:val="24"/>
                <w:highlight w:val="none"/>
                <w:vertAlign w:val="baseline"/>
                <w:lang w:val="en-US" w:eastAsia="zh-CN"/>
              </w:rPr>
              <w:t>g/kg-焊料</w:t>
            </w:r>
            <w:r>
              <w:rPr>
                <w:rFonts w:hint="eastAsia"/>
                <w:bCs/>
                <w:color w:val="auto"/>
                <w:sz w:val="24"/>
                <w:highlight w:val="none"/>
                <w:lang w:val="en-US" w:eastAsia="zh-CN"/>
              </w:rPr>
              <w:t>”。项目手工焊使用焊锡丝2t/a，则焊接烟尘产生量为</w:t>
            </w:r>
            <w:r>
              <w:rPr>
                <w:rFonts w:hint="eastAsia"/>
                <w:bCs/>
                <w:color w:val="auto"/>
                <w:sz w:val="24"/>
                <w:highlight w:val="none"/>
                <w:vertAlign w:val="baseline"/>
                <w:lang w:val="en-US" w:eastAsia="zh-CN"/>
              </w:rPr>
              <w:t>手工焊0.8kg/a</w:t>
            </w:r>
            <w:r>
              <w:rPr>
                <w:rFonts w:hint="eastAsia"/>
                <w:bCs/>
                <w:color w:val="auto"/>
                <w:sz w:val="24"/>
                <w:highlight w:val="none"/>
                <w:lang w:val="en-US" w:eastAsia="zh-CN"/>
              </w:rPr>
              <w:t>”。</w:t>
            </w:r>
            <w:r>
              <w:rPr>
                <w:rFonts w:hint="eastAsia" w:ascii="Times New Roman" w:hAnsi="Times New Roman" w:eastAsia="宋体" w:cs="Times New Roman"/>
                <w:bCs/>
                <w:color w:val="auto"/>
                <w:sz w:val="24"/>
                <w:highlight w:val="none"/>
                <w:lang w:val="en-US" w:eastAsia="zh-CN"/>
              </w:rPr>
              <w:t>焊接工序产生的焊接烟尘</w:t>
            </w:r>
            <w:r>
              <w:rPr>
                <w:rFonts w:hint="default" w:ascii="Times New Roman" w:hAnsi="Times New Roman" w:eastAsia="宋体" w:cs="Times New Roman"/>
                <w:bCs/>
                <w:color w:val="auto"/>
                <w:sz w:val="24"/>
                <w:highlight w:val="none"/>
                <w:lang w:val="en-US" w:eastAsia="zh-CN"/>
              </w:rPr>
              <w:t>经</w:t>
            </w:r>
            <w:r>
              <w:rPr>
                <w:rFonts w:hint="eastAsia" w:cs="Times New Roman"/>
                <w:bCs/>
                <w:color w:val="auto"/>
                <w:sz w:val="24"/>
                <w:highlight w:val="none"/>
                <w:lang w:val="en-US" w:eastAsia="zh-CN"/>
              </w:rPr>
              <w:t>焊烟净化器</w:t>
            </w:r>
            <w:r>
              <w:rPr>
                <w:rFonts w:hint="default" w:ascii="Times New Roman" w:hAnsi="Times New Roman" w:eastAsia="宋体" w:cs="Times New Roman"/>
                <w:bCs/>
                <w:color w:val="auto"/>
                <w:sz w:val="24"/>
                <w:highlight w:val="none"/>
                <w:lang w:val="en-US" w:eastAsia="zh-CN"/>
              </w:rPr>
              <w:t>处理</w:t>
            </w:r>
            <w:r>
              <w:rPr>
                <w:rFonts w:hint="eastAsia" w:ascii="Times New Roman" w:hAnsi="Times New Roman" w:eastAsia="宋体" w:cs="Times New Roman"/>
                <w:bCs/>
                <w:color w:val="auto"/>
                <w:sz w:val="24"/>
                <w:highlight w:val="none"/>
                <w:lang w:val="en-US" w:eastAsia="zh-CN"/>
              </w:rPr>
              <w:t>后无组织排放，焊接烟尘</w:t>
            </w:r>
            <w:r>
              <w:rPr>
                <w:rFonts w:hint="eastAsia" w:cs="Times New Roman"/>
                <w:bCs/>
                <w:color w:val="auto"/>
                <w:sz w:val="24"/>
                <w:highlight w:val="none"/>
                <w:lang w:val="en-US" w:eastAsia="zh-CN"/>
              </w:rPr>
              <w:t>焊烟净化器</w:t>
            </w:r>
            <w:r>
              <w:rPr>
                <w:rFonts w:hint="eastAsia" w:ascii="Times New Roman" w:hAnsi="Times New Roman" w:eastAsia="宋体" w:cs="Times New Roman"/>
                <w:bCs/>
                <w:color w:val="auto"/>
                <w:sz w:val="24"/>
                <w:highlight w:val="none"/>
                <w:lang w:val="en-US" w:eastAsia="zh-CN"/>
              </w:rPr>
              <w:t>处理效率为80%，焊接烟尘排放量为0.00016</w:t>
            </w:r>
            <w:r>
              <w:rPr>
                <w:rFonts w:hint="eastAsia"/>
                <w:bCs/>
                <w:color w:val="auto"/>
                <w:sz w:val="24"/>
                <w:highlight w:val="none"/>
                <w:vertAlign w:val="baseline"/>
                <w:lang w:val="en-US" w:eastAsia="zh-CN"/>
              </w:rPr>
              <w:t>t/a。</w:t>
            </w:r>
          </w:p>
          <w:p w14:paraId="36481F34">
            <w:pPr>
              <w:spacing w:line="360" w:lineRule="auto"/>
              <w:ind w:firstLine="482"/>
              <w:rPr>
                <w:rFonts w:hint="default"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④餐厅油烟</w:t>
            </w:r>
          </w:p>
          <w:p w14:paraId="59E25EFC">
            <w:pPr>
              <w:spacing w:line="360" w:lineRule="auto"/>
              <w:ind w:firstLine="482"/>
              <w:rPr>
                <w:rFonts w:hint="default"/>
                <w:bCs/>
                <w:color w:val="auto"/>
                <w:sz w:val="24"/>
                <w:highlight w:val="none"/>
                <w:lang w:val="en-US" w:eastAsia="zh-CN"/>
              </w:rPr>
            </w:pPr>
            <w:r>
              <w:rPr>
                <w:rFonts w:hint="eastAsia"/>
                <w:bCs/>
                <w:color w:val="auto"/>
                <w:sz w:val="24"/>
                <w:highlight w:val="none"/>
                <w:lang w:val="en-US" w:eastAsia="zh-CN"/>
              </w:rPr>
              <w:t>本项目</w:t>
            </w:r>
            <w:r>
              <w:rPr>
                <w:rFonts w:hint="eastAsia"/>
                <w:bCs/>
                <w:color w:val="auto"/>
                <w:sz w:val="24"/>
                <w:highlight w:val="none"/>
                <w:lang w:eastAsia="zh-CN"/>
              </w:rPr>
              <w:t>餐厅</w:t>
            </w:r>
            <w:r>
              <w:rPr>
                <w:rFonts w:hint="eastAsia"/>
                <w:bCs/>
                <w:color w:val="auto"/>
                <w:sz w:val="24"/>
                <w:highlight w:val="none"/>
                <w:lang w:val="en-US" w:eastAsia="zh-CN"/>
              </w:rPr>
              <w:t>使用</w:t>
            </w:r>
            <w:r>
              <w:rPr>
                <w:rFonts w:hint="eastAsia"/>
                <w:bCs/>
                <w:color w:val="auto"/>
                <w:sz w:val="24"/>
                <w:highlight w:val="none"/>
              </w:rPr>
              <w:t>天然气作为能源，天然气为清洁能源，</w:t>
            </w:r>
            <w:r>
              <w:rPr>
                <w:rFonts w:hint="eastAsia"/>
                <w:bCs/>
                <w:color w:val="auto"/>
                <w:sz w:val="24"/>
                <w:highlight w:val="none"/>
                <w:lang w:eastAsia="zh-CN"/>
              </w:rPr>
              <w:t>餐厅</w:t>
            </w:r>
            <w:r>
              <w:rPr>
                <w:rFonts w:hint="eastAsia"/>
                <w:bCs/>
                <w:color w:val="auto"/>
                <w:sz w:val="24"/>
                <w:highlight w:val="none"/>
              </w:rPr>
              <w:t>设油烟净化器</w:t>
            </w:r>
            <w:r>
              <w:rPr>
                <w:rFonts w:hint="eastAsia"/>
                <w:bCs/>
                <w:color w:val="auto"/>
                <w:sz w:val="24"/>
                <w:highlight w:val="none"/>
                <w:lang w:val="en-US" w:eastAsia="zh-CN"/>
              </w:rPr>
              <w:t>对</w:t>
            </w:r>
            <w:r>
              <w:rPr>
                <w:rFonts w:hint="eastAsia"/>
                <w:bCs/>
                <w:color w:val="auto"/>
                <w:sz w:val="24"/>
                <w:highlight w:val="none"/>
              </w:rPr>
              <w:t>油烟</w:t>
            </w:r>
            <w:r>
              <w:rPr>
                <w:rFonts w:hint="eastAsia"/>
                <w:bCs/>
                <w:color w:val="auto"/>
                <w:sz w:val="24"/>
                <w:highlight w:val="none"/>
                <w:lang w:val="en-US" w:eastAsia="zh-CN"/>
              </w:rPr>
              <w:t>进行</w:t>
            </w:r>
            <w:r>
              <w:rPr>
                <w:rFonts w:hint="eastAsia"/>
                <w:bCs/>
                <w:color w:val="auto"/>
                <w:sz w:val="24"/>
                <w:highlight w:val="none"/>
              </w:rPr>
              <w:t>处理</w:t>
            </w:r>
            <w:r>
              <w:rPr>
                <w:rFonts w:hint="eastAsia"/>
                <w:bCs/>
                <w:color w:val="auto"/>
                <w:sz w:val="24"/>
                <w:highlight w:val="none"/>
                <w:lang w:val="en-US" w:eastAsia="zh-CN"/>
              </w:rPr>
              <w:t>后</w:t>
            </w:r>
            <w:r>
              <w:rPr>
                <w:rFonts w:hint="eastAsia"/>
                <w:bCs/>
                <w:color w:val="auto"/>
                <w:sz w:val="24"/>
                <w:highlight w:val="none"/>
              </w:rPr>
              <w:t>由</w:t>
            </w:r>
            <w:r>
              <w:rPr>
                <w:rFonts w:hint="eastAsia"/>
                <w:bCs/>
                <w:color w:val="auto"/>
                <w:sz w:val="24"/>
                <w:highlight w:val="none"/>
                <w:lang w:val="en-US" w:eastAsia="zh-CN"/>
              </w:rPr>
              <w:t>专用管道引至</w:t>
            </w:r>
            <w:r>
              <w:rPr>
                <w:rFonts w:hint="eastAsia"/>
                <w:bCs/>
                <w:color w:val="auto"/>
                <w:sz w:val="24"/>
                <w:highlight w:val="none"/>
              </w:rPr>
              <w:t>楼顶排放</w:t>
            </w:r>
            <w:r>
              <w:rPr>
                <w:rFonts w:hint="eastAsia"/>
                <w:bCs/>
                <w:color w:val="auto"/>
                <w:sz w:val="24"/>
                <w:highlight w:val="none"/>
                <w:lang w:eastAsia="zh-CN"/>
              </w:rPr>
              <w:t>，</w:t>
            </w:r>
            <w:r>
              <w:rPr>
                <w:rFonts w:hint="eastAsia"/>
                <w:bCs/>
                <w:color w:val="auto"/>
                <w:sz w:val="24"/>
                <w:highlight w:val="none"/>
              </w:rPr>
              <w:t>根据《饮食业油烟排放标准(试行)》(GB18483-2001)要求，属</w:t>
            </w:r>
            <w:r>
              <w:rPr>
                <w:rFonts w:hint="eastAsia"/>
                <w:bCs/>
                <w:color w:val="auto"/>
                <w:sz w:val="24"/>
                <w:highlight w:val="none"/>
                <w:lang w:val="en-US" w:eastAsia="zh-CN"/>
              </w:rPr>
              <w:t>大</w:t>
            </w:r>
            <w:r>
              <w:rPr>
                <w:rFonts w:hint="eastAsia"/>
                <w:bCs/>
                <w:color w:val="auto"/>
                <w:sz w:val="24"/>
                <w:highlight w:val="none"/>
              </w:rPr>
              <w:t>型规模，就餐人数按照</w:t>
            </w:r>
            <w:r>
              <w:rPr>
                <w:rFonts w:hint="eastAsia"/>
                <w:bCs/>
                <w:color w:val="auto"/>
                <w:sz w:val="24"/>
                <w:highlight w:val="none"/>
                <w:lang w:val="en-US" w:eastAsia="zh-CN"/>
              </w:rPr>
              <w:t>2400</w:t>
            </w:r>
            <w:r>
              <w:rPr>
                <w:rFonts w:hint="eastAsia"/>
                <w:bCs/>
                <w:color w:val="auto"/>
                <w:sz w:val="24"/>
                <w:highlight w:val="none"/>
              </w:rPr>
              <w:t>人计，根据《饮食业环境保护技术规范》，</w:t>
            </w:r>
            <w:r>
              <w:rPr>
                <w:rFonts w:hint="eastAsia"/>
                <w:bCs/>
                <w:color w:val="auto"/>
                <w:sz w:val="24"/>
                <w:highlight w:val="none"/>
                <w:lang w:eastAsia="zh-CN"/>
              </w:rPr>
              <w:t>餐厅</w:t>
            </w:r>
            <w:r>
              <w:rPr>
                <w:rFonts w:hint="eastAsia"/>
                <w:bCs/>
                <w:color w:val="auto"/>
                <w:sz w:val="24"/>
                <w:highlight w:val="none"/>
              </w:rPr>
              <w:t>食用油耗油系数以3kg/100人•d计，油烟和油的挥发量占总耗油量的2%~4%之间，本次以</w:t>
            </w:r>
            <w:r>
              <w:rPr>
                <w:rFonts w:hint="eastAsia"/>
                <w:bCs/>
                <w:color w:val="auto"/>
                <w:sz w:val="24"/>
                <w:highlight w:val="none"/>
                <w:lang w:val="en-US" w:eastAsia="zh-CN"/>
              </w:rPr>
              <w:t>3</w:t>
            </w:r>
            <w:r>
              <w:rPr>
                <w:rFonts w:hint="eastAsia"/>
                <w:bCs/>
                <w:color w:val="auto"/>
                <w:sz w:val="24"/>
                <w:highlight w:val="none"/>
              </w:rPr>
              <w:t>%计，则消耗食油约</w:t>
            </w:r>
            <w:r>
              <w:rPr>
                <w:rFonts w:hint="eastAsia"/>
                <w:bCs/>
                <w:color w:val="auto"/>
                <w:sz w:val="24"/>
                <w:highlight w:val="none"/>
                <w:lang w:val="en-US" w:eastAsia="zh-CN"/>
              </w:rPr>
              <w:t>18.07</w:t>
            </w:r>
            <w:r>
              <w:rPr>
                <w:rFonts w:hint="eastAsia"/>
                <w:bCs/>
                <w:color w:val="auto"/>
                <w:sz w:val="24"/>
                <w:highlight w:val="none"/>
              </w:rPr>
              <w:t>t/a，油烟产生量约</w:t>
            </w:r>
            <w:r>
              <w:rPr>
                <w:rFonts w:hint="eastAsia"/>
                <w:bCs/>
                <w:color w:val="auto"/>
                <w:sz w:val="24"/>
                <w:highlight w:val="none"/>
                <w:lang w:val="en-US" w:eastAsia="zh-CN"/>
              </w:rPr>
              <w:t>0.54</w:t>
            </w:r>
            <w:r>
              <w:rPr>
                <w:rFonts w:hint="eastAsia"/>
                <w:bCs/>
                <w:color w:val="auto"/>
                <w:sz w:val="24"/>
                <w:highlight w:val="none"/>
              </w:rPr>
              <w:t>t/a，产生浓度为</w:t>
            </w:r>
            <w:r>
              <w:rPr>
                <w:rFonts w:hint="eastAsia"/>
                <w:bCs/>
                <w:color w:val="auto"/>
                <w:sz w:val="24"/>
                <w:highlight w:val="none"/>
                <w:lang w:val="en-US" w:eastAsia="zh-CN"/>
              </w:rPr>
              <w:t>4500</w:t>
            </w:r>
            <w:r>
              <w:rPr>
                <w:rFonts w:hint="eastAsia"/>
                <w:bCs/>
                <w:color w:val="auto"/>
                <w:sz w:val="24"/>
                <w:highlight w:val="none"/>
              </w:rPr>
              <w:t>mg/m</w:t>
            </w:r>
            <w:r>
              <w:rPr>
                <w:rFonts w:hint="eastAsia"/>
                <w:bCs/>
                <w:color w:val="auto"/>
                <w:sz w:val="24"/>
                <w:highlight w:val="none"/>
                <w:vertAlign w:val="superscript"/>
              </w:rPr>
              <w:t>3</w:t>
            </w:r>
            <w:r>
              <w:rPr>
                <w:rFonts w:hint="eastAsia"/>
                <w:bCs/>
                <w:color w:val="auto"/>
                <w:sz w:val="24"/>
                <w:highlight w:val="none"/>
              </w:rPr>
              <w:t>；</w:t>
            </w:r>
            <w:r>
              <w:rPr>
                <w:rFonts w:hint="eastAsia"/>
                <w:bCs/>
                <w:color w:val="auto"/>
                <w:sz w:val="24"/>
                <w:highlight w:val="none"/>
                <w:lang w:eastAsia="zh-CN"/>
              </w:rPr>
              <w:t>餐厅</w:t>
            </w:r>
            <w:r>
              <w:rPr>
                <w:rFonts w:hint="eastAsia"/>
                <w:bCs/>
                <w:color w:val="auto"/>
                <w:sz w:val="24"/>
                <w:highlight w:val="none"/>
              </w:rPr>
              <w:t>安装油烟净化器去除效率按</w:t>
            </w:r>
            <w:r>
              <w:rPr>
                <w:rFonts w:hint="eastAsia"/>
                <w:bCs/>
                <w:color w:val="auto"/>
                <w:sz w:val="24"/>
                <w:highlight w:val="none"/>
                <w:lang w:val="en-US" w:eastAsia="zh-CN"/>
              </w:rPr>
              <w:t>8</w:t>
            </w:r>
            <w:r>
              <w:rPr>
                <w:rFonts w:hint="eastAsia"/>
                <w:bCs/>
                <w:color w:val="auto"/>
                <w:sz w:val="24"/>
                <w:highlight w:val="none"/>
              </w:rPr>
              <w:t>5%计(风机量为</w:t>
            </w:r>
            <w:r>
              <w:rPr>
                <w:rFonts w:hint="eastAsia"/>
                <w:bCs/>
                <w:color w:val="auto"/>
                <w:sz w:val="24"/>
                <w:highlight w:val="none"/>
                <w:lang w:val="en-US" w:eastAsia="zh-CN"/>
              </w:rPr>
              <w:t>20000</w:t>
            </w:r>
            <w:r>
              <w:rPr>
                <w:rFonts w:hint="eastAsia"/>
                <w:bCs/>
                <w:color w:val="auto"/>
                <w:sz w:val="24"/>
                <w:highlight w:val="none"/>
              </w:rPr>
              <w:t>m</w:t>
            </w:r>
            <w:r>
              <w:rPr>
                <w:rFonts w:hint="eastAsia"/>
                <w:bCs/>
                <w:color w:val="auto"/>
                <w:sz w:val="24"/>
                <w:highlight w:val="none"/>
                <w:vertAlign w:val="superscript"/>
              </w:rPr>
              <w:t>3</w:t>
            </w:r>
            <w:r>
              <w:rPr>
                <w:rFonts w:hint="eastAsia"/>
                <w:bCs/>
                <w:color w:val="auto"/>
                <w:sz w:val="24"/>
                <w:highlight w:val="none"/>
              </w:rPr>
              <w:t>/h，每天按6h工作计)，则油烟排放量为</w:t>
            </w:r>
            <w:r>
              <w:rPr>
                <w:rFonts w:hint="eastAsia"/>
                <w:bCs/>
                <w:color w:val="auto"/>
                <w:sz w:val="24"/>
                <w:highlight w:val="none"/>
                <w:lang w:val="en-US" w:eastAsia="zh-CN"/>
              </w:rPr>
              <w:t>0.081</w:t>
            </w:r>
            <w:r>
              <w:rPr>
                <w:rFonts w:hint="eastAsia"/>
                <w:bCs/>
                <w:color w:val="auto"/>
                <w:sz w:val="24"/>
                <w:highlight w:val="none"/>
              </w:rPr>
              <w:t>t/a，浓度为</w:t>
            </w:r>
            <w:r>
              <w:rPr>
                <w:rFonts w:hint="eastAsia"/>
                <w:bCs/>
                <w:color w:val="auto"/>
                <w:sz w:val="24"/>
                <w:highlight w:val="none"/>
                <w:lang w:val="en-US" w:eastAsia="zh-CN"/>
              </w:rPr>
              <w:t>675</w:t>
            </w:r>
            <w:r>
              <w:rPr>
                <w:rFonts w:hint="eastAsia"/>
                <w:bCs/>
                <w:color w:val="auto"/>
                <w:sz w:val="24"/>
                <w:highlight w:val="none"/>
              </w:rPr>
              <w:t>mg/m</w:t>
            </w:r>
            <w:r>
              <w:rPr>
                <w:rFonts w:hint="eastAsia"/>
                <w:bCs/>
                <w:color w:val="auto"/>
                <w:sz w:val="24"/>
                <w:highlight w:val="none"/>
                <w:vertAlign w:val="superscript"/>
              </w:rPr>
              <w:t>3</w:t>
            </w:r>
            <w:r>
              <w:rPr>
                <w:rFonts w:hint="eastAsia"/>
                <w:bCs/>
                <w:color w:val="auto"/>
                <w:sz w:val="24"/>
                <w:highlight w:val="none"/>
                <w:lang w:eastAsia="zh-CN"/>
              </w:rPr>
              <w:t>。</w:t>
            </w:r>
          </w:p>
          <w:p w14:paraId="69ED3F60">
            <w:pPr>
              <w:keepNext w:val="0"/>
              <w:keepLines w:val="0"/>
              <w:pageBreakBefore w:val="0"/>
              <w:widowControl w:val="0"/>
              <w:kinsoku/>
              <w:wordWrap/>
              <w:overflowPunct/>
              <w:topLinePunct w:val="0"/>
              <w:autoSpaceDE/>
              <w:autoSpaceDN/>
              <w:bidi w:val="0"/>
              <w:adjustRightInd/>
              <w:snapToGrid/>
              <w:spacing w:after="157" w:afterLines="50"/>
              <w:ind w:left="0" w:leftChars="0" w:firstLine="482" w:firstLineChars="200"/>
              <w:textAlignment w:val="auto"/>
              <w:rPr>
                <w:rFonts w:hint="eastAsia"/>
                <w:b/>
                <w:bCs/>
                <w:color w:val="auto"/>
                <w:lang w:val="en-US" w:eastAsia="zh-CN"/>
              </w:rPr>
            </w:pPr>
            <w:r>
              <w:rPr>
                <w:rFonts w:hint="eastAsia"/>
                <w:b/>
                <w:bCs/>
                <w:color w:val="auto"/>
                <w:lang w:val="en-US" w:eastAsia="zh-CN"/>
              </w:rPr>
              <w:t>（2）监测计划</w:t>
            </w:r>
          </w:p>
          <w:p w14:paraId="65D06203">
            <w:pPr>
              <w:spacing w:line="360" w:lineRule="auto"/>
              <w:ind w:firstLine="482"/>
              <w:rPr>
                <w:bCs/>
                <w:color w:val="auto"/>
                <w:sz w:val="24"/>
                <w:highlight w:val="none"/>
              </w:rPr>
            </w:pPr>
            <w:r>
              <w:rPr>
                <w:rFonts w:hint="eastAsia"/>
                <w:bCs/>
                <w:color w:val="auto"/>
                <w:sz w:val="24"/>
                <w:highlight w:val="none"/>
              </w:rPr>
              <w:t>参照《排污单位自行监测技术指南 总则》（HJ819-2017）、《排污单位自行监测技术指南 电子工业》（HJ1253-2022），</w:t>
            </w:r>
            <w:r>
              <w:rPr>
                <w:bCs/>
                <w:color w:val="auto"/>
                <w:sz w:val="24"/>
                <w:highlight w:val="none"/>
              </w:rPr>
              <w:t>污染源监测计划见表</w:t>
            </w:r>
            <w:r>
              <w:rPr>
                <w:rFonts w:hint="eastAsia"/>
                <w:bCs/>
                <w:color w:val="auto"/>
                <w:sz w:val="24"/>
                <w:highlight w:val="none"/>
                <w:lang w:val="en-US" w:eastAsia="zh-CN"/>
              </w:rPr>
              <w:t>4-4</w:t>
            </w:r>
            <w:r>
              <w:rPr>
                <w:rFonts w:hint="eastAsia"/>
                <w:bCs/>
                <w:color w:val="auto"/>
                <w:sz w:val="24"/>
                <w:highlight w:val="none"/>
              </w:rPr>
              <w:t>。</w:t>
            </w:r>
          </w:p>
          <w:p w14:paraId="3E82626B">
            <w:pPr>
              <w:jc w:val="center"/>
              <w:rPr>
                <w:rFonts w:hint="eastAsia"/>
                <w:b/>
                <w:color w:val="auto"/>
                <w:szCs w:val="21"/>
                <w:highlight w:val="none"/>
              </w:rPr>
            </w:pPr>
            <w:r>
              <w:rPr>
                <w:rFonts w:hint="eastAsia"/>
                <w:b/>
                <w:color w:val="auto"/>
                <w:szCs w:val="21"/>
                <w:highlight w:val="none"/>
              </w:rPr>
              <w:t>表</w:t>
            </w:r>
            <w:r>
              <w:rPr>
                <w:rFonts w:hint="eastAsia"/>
                <w:b/>
                <w:color w:val="auto"/>
                <w:szCs w:val="21"/>
                <w:highlight w:val="none"/>
                <w:lang w:val="en-US" w:eastAsia="zh-CN"/>
              </w:rPr>
              <w:t>4-4</w:t>
            </w:r>
            <w:r>
              <w:rPr>
                <w:rFonts w:hint="eastAsia"/>
                <w:b/>
                <w:color w:val="auto"/>
                <w:szCs w:val="21"/>
                <w:highlight w:val="none"/>
              </w:rPr>
              <w:t xml:space="preserve">   废气污染源监测计划表</w:t>
            </w:r>
          </w:p>
          <w:tbl>
            <w:tblPr>
              <w:tblStyle w:val="1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1"/>
              <w:gridCol w:w="1404"/>
              <w:gridCol w:w="2043"/>
              <w:gridCol w:w="1013"/>
              <w:gridCol w:w="979"/>
              <w:gridCol w:w="2548"/>
            </w:tblGrid>
            <w:tr w14:paraId="6458F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4" w:type="pct"/>
                  <w:noWrap w:val="0"/>
                  <w:vAlign w:val="center"/>
                </w:tcPr>
                <w:p w14:paraId="5F46DB97">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b/>
                      <w:bCs/>
                      <w:color w:val="auto"/>
                      <w:kern w:val="2"/>
                      <w:sz w:val="21"/>
                      <w:szCs w:val="21"/>
                      <w:highlight w:val="none"/>
                      <w:lang w:val="en-GB"/>
                    </w:rPr>
                  </w:pPr>
                  <w:r>
                    <w:rPr>
                      <w:b/>
                      <w:bCs/>
                      <w:color w:val="auto"/>
                      <w:kern w:val="2"/>
                      <w:sz w:val="21"/>
                      <w:szCs w:val="21"/>
                      <w:highlight w:val="none"/>
                      <w:lang w:val="en-GB"/>
                    </w:rPr>
                    <w:t>项目</w:t>
                  </w:r>
                </w:p>
              </w:tc>
              <w:tc>
                <w:tcPr>
                  <w:tcW w:w="818" w:type="pct"/>
                  <w:noWrap w:val="0"/>
                  <w:vAlign w:val="center"/>
                </w:tcPr>
                <w:p w14:paraId="2EC4ED2D">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b/>
                      <w:bCs/>
                      <w:color w:val="auto"/>
                      <w:kern w:val="2"/>
                      <w:sz w:val="21"/>
                      <w:szCs w:val="21"/>
                      <w:highlight w:val="none"/>
                      <w:lang w:val="en-GB"/>
                    </w:rPr>
                  </w:pPr>
                  <w:r>
                    <w:rPr>
                      <w:b/>
                      <w:bCs/>
                      <w:color w:val="auto"/>
                      <w:kern w:val="2"/>
                      <w:sz w:val="21"/>
                      <w:szCs w:val="21"/>
                      <w:highlight w:val="none"/>
                      <w:lang w:val="en-GB"/>
                    </w:rPr>
                    <w:t>监测项目</w:t>
                  </w:r>
                </w:p>
              </w:tc>
              <w:tc>
                <w:tcPr>
                  <w:tcW w:w="1190" w:type="pct"/>
                  <w:noWrap w:val="0"/>
                  <w:vAlign w:val="center"/>
                </w:tcPr>
                <w:p w14:paraId="3B6B32DD">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b/>
                      <w:bCs/>
                      <w:color w:val="auto"/>
                      <w:kern w:val="2"/>
                      <w:sz w:val="21"/>
                      <w:szCs w:val="21"/>
                      <w:highlight w:val="none"/>
                      <w:lang w:val="en-GB"/>
                    </w:rPr>
                  </w:pPr>
                  <w:r>
                    <w:rPr>
                      <w:b/>
                      <w:bCs/>
                      <w:color w:val="auto"/>
                      <w:kern w:val="2"/>
                      <w:sz w:val="21"/>
                      <w:szCs w:val="21"/>
                      <w:highlight w:val="none"/>
                      <w:lang w:val="en-GB"/>
                    </w:rPr>
                    <w:t>监测点位置</w:t>
                  </w:r>
                </w:p>
              </w:tc>
              <w:tc>
                <w:tcPr>
                  <w:tcW w:w="590" w:type="pct"/>
                  <w:noWrap w:val="0"/>
                  <w:vAlign w:val="center"/>
                </w:tcPr>
                <w:p w14:paraId="279055E7">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b/>
                      <w:bCs/>
                      <w:color w:val="auto"/>
                      <w:kern w:val="2"/>
                      <w:sz w:val="21"/>
                      <w:szCs w:val="21"/>
                      <w:highlight w:val="none"/>
                      <w:lang w:val="en-GB"/>
                    </w:rPr>
                  </w:pPr>
                  <w:r>
                    <w:rPr>
                      <w:b/>
                      <w:bCs/>
                      <w:color w:val="auto"/>
                      <w:kern w:val="2"/>
                      <w:sz w:val="21"/>
                      <w:szCs w:val="21"/>
                      <w:highlight w:val="none"/>
                      <w:lang w:val="en-GB"/>
                    </w:rPr>
                    <w:t>监测点数</w:t>
                  </w:r>
                </w:p>
              </w:tc>
              <w:tc>
                <w:tcPr>
                  <w:tcW w:w="570" w:type="pct"/>
                  <w:noWrap w:val="0"/>
                  <w:vAlign w:val="center"/>
                </w:tcPr>
                <w:p w14:paraId="23C9624F">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b/>
                      <w:bCs/>
                      <w:color w:val="auto"/>
                      <w:kern w:val="2"/>
                      <w:sz w:val="21"/>
                      <w:szCs w:val="21"/>
                      <w:highlight w:val="none"/>
                      <w:lang w:val="en-GB"/>
                    </w:rPr>
                  </w:pPr>
                  <w:r>
                    <w:rPr>
                      <w:b/>
                      <w:bCs/>
                      <w:color w:val="auto"/>
                      <w:kern w:val="2"/>
                      <w:sz w:val="21"/>
                      <w:szCs w:val="21"/>
                      <w:highlight w:val="none"/>
                      <w:lang w:val="en-GB"/>
                    </w:rPr>
                    <w:t>监测频率</w:t>
                  </w:r>
                </w:p>
              </w:tc>
              <w:tc>
                <w:tcPr>
                  <w:tcW w:w="1485" w:type="pct"/>
                  <w:noWrap w:val="0"/>
                  <w:vAlign w:val="center"/>
                </w:tcPr>
                <w:p w14:paraId="2FB89577">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b/>
                      <w:bCs/>
                      <w:color w:val="auto"/>
                      <w:kern w:val="2"/>
                      <w:sz w:val="21"/>
                      <w:szCs w:val="21"/>
                      <w:highlight w:val="none"/>
                      <w:lang w:val="en-GB"/>
                    </w:rPr>
                  </w:pPr>
                  <w:r>
                    <w:rPr>
                      <w:b/>
                      <w:bCs/>
                      <w:color w:val="auto"/>
                      <w:kern w:val="2"/>
                      <w:sz w:val="21"/>
                      <w:szCs w:val="21"/>
                      <w:highlight w:val="none"/>
                      <w:lang w:val="en-GB"/>
                    </w:rPr>
                    <w:t>控制指标</w:t>
                  </w:r>
                </w:p>
              </w:tc>
            </w:tr>
            <w:tr w14:paraId="6E18D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344" w:type="pct"/>
                  <w:vMerge w:val="restart"/>
                  <w:noWrap w:val="0"/>
                  <w:vAlign w:val="center"/>
                </w:tcPr>
                <w:p w14:paraId="2B6733F0">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eastAsia="宋体"/>
                      <w:color w:val="auto"/>
                      <w:kern w:val="2"/>
                      <w:sz w:val="21"/>
                      <w:szCs w:val="21"/>
                      <w:highlight w:val="none"/>
                      <w:lang w:val="en-US" w:eastAsia="zh-CN"/>
                    </w:rPr>
                  </w:pPr>
                  <w:r>
                    <w:rPr>
                      <w:rFonts w:hint="eastAsia"/>
                      <w:color w:val="auto"/>
                      <w:kern w:val="2"/>
                      <w:sz w:val="21"/>
                      <w:szCs w:val="21"/>
                      <w:highlight w:val="none"/>
                      <w:lang w:val="en-US" w:eastAsia="zh-CN"/>
                    </w:rPr>
                    <w:t>废气</w:t>
                  </w:r>
                </w:p>
              </w:tc>
              <w:tc>
                <w:tcPr>
                  <w:tcW w:w="818" w:type="pct"/>
                  <w:noWrap w:val="0"/>
                  <w:vAlign w:val="center"/>
                </w:tcPr>
                <w:p w14:paraId="184A6D59">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rFonts w:hint="default" w:eastAsia="宋体"/>
                      <w:color w:val="auto"/>
                      <w:kern w:val="2"/>
                      <w:sz w:val="21"/>
                      <w:szCs w:val="21"/>
                      <w:highlight w:val="none"/>
                      <w:lang w:val="en-US" w:eastAsia="zh-CN"/>
                    </w:rPr>
                  </w:pPr>
                  <w:r>
                    <w:rPr>
                      <w:rFonts w:hint="default" w:eastAsia="宋体"/>
                      <w:color w:val="auto"/>
                      <w:kern w:val="2"/>
                      <w:sz w:val="21"/>
                      <w:szCs w:val="21"/>
                      <w:highlight w:val="none"/>
                      <w:lang w:val="en-US" w:eastAsia="zh-CN"/>
                    </w:rPr>
                    <w:t>颗粒物</w:t>
                  </w:r>
                </w:p>
              </w:tc>
              <w:tc>
                <w:tcPr>
                  <w:tcW w:w="1190" w:type="pct"/>
                  <w:noWrap w:val="0"/>
                  <w:vAlign w:val="center"/>
                </w:tcPr>
                <w:p w14:paraId="4C0D9C4E">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eastAsia="宋体"/>
                      <w:color w:val="auto"/>
                      <w:kern w:val="2"/>
                      <w:sz w:val="21"/>
                      <w:szCs w:val="21"/>
                      <w:highlight w:val="none"/>
                      <w:lang w:val="en-US" w:eastAsia="zh-CN"/>
                    </w:rPr>
                  </w:pPr>
                  <w:r>
                    <w:rPr>
                      <w:color w:val="auto"/>
                      <w:kern w:val="2"/>
                      <w:sz w:val="21"/>
                      <w:szCs w:val="21"/>
                      <w:highlight w:val="none"/>
                      <w:lang w:val="en-GB"/>
                    </w:rPr>
                    <w:t>厂界</w:t>
                  </w:r>
                  <w:r>
                    <w:rPr>
                      <w:rFonts w:hint="eastAsia"/>
                      <w:color w:val="auto"/>
                      <w:kern w:val="2"/>
                      <w:sz w:val="21"/>
                      <w:szCs w:val="21"/>
                      <w:highlight w:val="none"/>
                      <w:lang w:val="en-US" w:eastAsia="zh-CN"/>
                    </w:rPr>
                    <w:t>外</w:t>
                  </w:r>
                </w:p>
              </w:tc>
              <w:tc>
                <w:tcPr>
                  <w:tcW w:w="590" w:type="pct"/>
                  <w:noWrap w:val="0"/>
                  <w:vAlign w:val="center"/>
                </w:tcPr>
                <w:p w14:paraId="268CA015">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rFonts w:hint="default" w:eastAsia="宋体"/>
                      <w:color w:val="auto"/>
                      <w:kern w:val="2"/>
                      <w:sz w:val="21"/>
                      <w:szCs w:val="21"/>
                      <w:highlight w:val="none"/>
                      <w:lang w:val="en-US" w:eastAsia="zh-CN"/>
                    </w:rPr>
                  </w:pPr>
                  <w:r>
                    <w:rPr>
                      <w:rFonts w:hint="eastAsia"/>
                      <w:color w:val="auto"/>
                      <w:kern w:val="2"/>
                      <w:sz w:val="21"/>
                      <w:szCs w:val="21"/>
                      <w:highlight w:val="none"/>
                      <w:lang w:val="en-US" w:eastAsia="zh-CN"/>
                    </w:rPr>
                    <w:t>上风向1</w:t>
                  </w:r>
                  <w:r>
                    <w:rPr>
                      <w:color w:val="auto"/>
                      <w:kern w:val="2"/>
                      <w:sz w:val="21"/>
                      <w:szCs w:val="21"/>
                      <w:highlight w:val="none"/>
                      <w:lang w:val="en-GB"/>
                    </w:rPr>
                    <w:t>个</w:t>
                  </w:r>
                  <w:r>
                    <w:rPr>
                      <w:rFonts w:hint="eastAsia"/>
                      <w:color w:val="auto"/>
                      <w:kern w:val="2"/>
                      <w:sz w:val="21"/>
                      <w:szCs w:val="21"/>
                      <w:highlight w:val="none"/>
                      <w:lang w:val="en-GB" w:eastAsia="zh-CN"/>
                    </w:rPr>
                    <w:t>、</w:t>
                  </w:r>
                  <w:r>
                    <w:rPr>
                      <w:rFonts w:hint="eastAsia"/>
                      <w:color w:val="auto"/>
                      <w:kern w:val="2"/>
                      <w:sz w:val="21"/>
                      <w:szCs w:val="21"/>
                      <w:highlight w:val="none"/>
                      <w:lang w:val="en-US" w:eastAsia="zh-CN"/>
                    </w:rPr>
                    <w:t>下风向3个</w:t>
                  </w:r>
                </w:p>
              </w:tc>
              <w:tc>
                <w:tcPr>
                  <w:tcW w:w="570" w:type="pct"/>
                  <w:noWrap w:val="0"/>
                  <w:vAlign w:val="center"/>
                </w:tcPr>
                <w:p w14:paraId="14D77067">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color w:val="auto"/>
                      <w:kern w:val="2"/>
                      <w:sz w:val="21"/>
                      <w:szCs w:val="21"/>
                      <w:highlight w:val="none"/>
                      <w:lang w:val="en-GB"/>
                    </w:rPr>
                  </w:pPr>
                  <w:r>
                    <w:rPr>
                      <w:color w:val="auto"/>
                      <w:kern w:val="2"/>
                      <w:sz w:val="21"/>
                      <w:szCs w:val="21"/>
                      <w:highlight w:val="none"/>
                      <w:lang w:val="en-GB"/>
                    </w:rPr>
                    <w:t>每年1次</w:t>
                  </w:r>
                </w:p>
              </w:tc>
              <w:tc>
                <w:tcPr>
                  <w:tcW w:w="1485" w:type="pct"/>
                  <w:noWrap w:val="0"/>
                  <w:vAlign w:val="center"/>
                </w:tcPr>
                <w:p w14:paraId="48CFD96D">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color w:val="auto"/>
                      <w:kern w:val="2"/>
                      <w:sz w:val="21"/>
                      <w:szCs w:val="21"/>
                      <w:highlight w:val="none"/>
                      <w:lang w:val="en-GB"/>
                    </w:rPr>
                  </w:pPr>
                  <w:r>
                    <w:rPr>
                      <w:rFonts w:hint="default" w:ascii="Times New Roman" w:hAnsi="Times New Roman" w:cs="Times New Roman"/>
                      <w:color w:val="auto"/>
                      <w:kern w:val="2"/>
                      <w:sz w:val="21"/>
                      <w:szCs w:val="21"/>
                      <w:highlight w:val="none"/>
                      <w:lang w:val="en-US"/>
                    </w:rPr>
                    <w:t>《大气污染物综合排放标准》（GB16297-1996）</w:t>
                  </w:r>
                </w:p>
              </w:tc>
            </w:tr>
            <w:tr w14:paraId="5809F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344" w:type="pct"/>
                  <w:vMerge w:val="continue"/>
                  <w:noWrap w:val="0"/>
                  <w:vAlign w:val="center"/>
                </w:tcPr>
                <w:p w14:paraId="5F23E704">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color w:val="auto"/>
                      <w:kern w:val="2"/>
                      <w:sz w:val="21"/>
                      <w:szCs w:val="21"/>
                      <w:highlight w:val="none"/>
                      <w:lang w:val="en-GB"/>
                    </w:rPr>
                  </w:pPr>
                </w:p>
              </w:tc>
              <w:tc>
                <w:tcPr>
                  <w:tcW w:w="818" w:type="pct"/>
                  <w:noWrap w:val="0"/>
                  <w:vAlign w:val="center"/>
                </w:tcPr>
                <w:p w14:paraId="6D905A20">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color w:val="auto"/>
                      <w:kern w:val="2"/>
                      <w:sz w:val="21"/>
                      <w:szCs w:val="21"/>
                      <w:highlight w:val="none"/>
                      <w:lang w:val="en-GB"/>
                    </w:rPr>
                  </w:pPr>
                  <w:r>
                    <w:rPr>
                      <w:color w:val="auto"/>
                      <w:kern w:val="2"/>
                      <w:sz w:val="21"/>
                      <w:szCs w:val="21"/>
                      <w:highlight w:val="none"/>
                      <w:lang w:val="en-GB"/>
                    </w:rPr>
                    <w:t>非甲烷总烃</w:t>
                  </w:r>
                </w:p>
              </w:tc>
              <w:tc>
                <w:tcPr>
                  <w:tcW w:w="1190" w:type="pct"/>
                  <w:noWrap w:val="0"/>
                  <w:vAlign w:val="center"/>
                </w:tcPr>
                <w:p w14:paraId="16330E18">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rFonts w:hint="default"/>
                      <w:color w:val="auto"/>
                      <w:kern w:val="2"/>
                      <w:sz w:val="21"/>
                      <w:szCs w:val="21"/>
                      <w:highlight w:val="none"/>
                      <w:lang w:val="en-US" w:eastAsia="zh-CN"/>
                    </w:rPr>
                  </w:pPr>
                  <w:r>
                    <w:rPr>
                      <w:rFonts w:hint="eastAsia"/>
                      <w:color w:val="auto"/>
                      <w:kern w:val="2"/>
                      <w:sz w:val="21"/>
                      <w:szCs w:val="21"/>
                      <w:highlight w:val="none"/>
                      <w:lang w:val="en-US" w:eastAsia="zh-CN"/>
                    </w:rPr>
                    <w:t>厂房外</w:t>
                  </w:r>
                </w:p>
              </w:tc>
              <w:tc>
                <w:tcPr>
                  <w:tcW w:w="590" w:type="pct"/>
                  <w:noWrap w:val="0"/>
                  <w:vAlign w:val="center"/>
                </w:tcPr>
                <w:p w14:paraId="337909BE">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color w:val="auto"/>
                      <w:kern w:val="2"/>
                      <w:sz w:val="21"/>
                      <w:szCs w:val="21"/>
                      <w:highlight w:val="none"/>
                      <w:lang w:val="en-US" w:eastAsia="zh-CN"/>
                    </w:rPr>
                  </w:pPr>
                  <w:r>
                    <w:rPr>
                      <w:rFonts w:hint="eastAsia"/>
                      <w:color w:val="auto"/>
                      <w:kern w:val="2"/>
                      <w:sz w:val="21"/>
                      <w:szCs w:val="21"/>
                      <w:highlight w:val="none"/>
                      <w:lang w:val="en-US" w:eastAsia="zh-CN"/>
                    </w:rPr>
                    <w:t>1个</w:t>
                  </w:r>
                </w:p>
              </w:tc>
              <w:tc>
                <w:tcPr>
                  <w:tcW w:w="570" w:type="pct"/>
                  <w:noWrap w:val="0"/>
                  <w:vAlign w:val="center"/>
                </w:tcPr>
                <w:p w14:paraId="78A341F2">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color w:val="auto"/>
                      <w:kern w:val="2"/>
                      <w:sz w:val="21"/>
                      <w:szCs w:val="21"/>
                      <w:highlight w:val="none"/>
                      <w:lang w:val="en-GB"/>
                    </w:rPr>
                  </w:pPr>
                  <w:r>
                    <w:rPr>
                      <w:color w:val="auto"/>
                      <w:kern w:val="2"/>
                      <w:sz w:val="21"/>
                      <w:szCs w:val="21"/>
                      <w:highlight w:val="none"/>
                      <w:lang w:val="en-GB"/>
                    </w:rPr>
                    <w:t>每年1次</w:t>
                  </w:r>
                </w:p>
              </w:tc>
              <w:tc>
                <w:tcPr>
                  <w:tcW w:w="1485" w:type="pct"/>
                  <w:noWrap w:val="0"/>
                  <w:vAlign w:val="center"/>
                </w:tcPr>
                <w:p w14:paraId="52342747">
                  <w:pPr>
                    <w:pStyle w:val="34"/>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color w:val="auto"/>
                      <w:kern w:val="2"/>
                      <w:sz w:val="21"/>
                      <w:szCs w:val="21"/>
                      <w:highlight w:val="none"/>
                      <w:lang w:val="en-GB"/>
                    </w:rPr>
                  </w:pPr>
                  <w:r>
                    <w:rPr>
                      <w:rFonts w:hint="default" w:ascii="Times New Roman" w:hAnsi="Times New Roman" w:eastAsia="宋体" w:cs="Times New Roman"/>
                      <w:color w:val="auto"/>
                      <w:sz w:val="21"/>
                      <w:szCs w:val="21"/>
                      <w:highlight w:val="none"/>
                      <w:lang w:val="en-US" w:eastAsia="zh-CN"/>
                    </w:rPr>
                    <w:t>《挥发性有机物无组织排放控制标准》（GB37822-2019）</w:t>
                  </w:r>
                </w:p>
              </w:tc>
            </w:tr>
          </w:tbl>
          <w:p w14:paraId="2A6B51A8">
            <w:pPr>
              <w:ind w:firstLine="482"/>
              <w:rPr>
                <w:rFonts w:hint="default"/>
                <w:b/>
                <w:bCs/>
                <w:color w:val="auto"/>
                <w:lang w:val="en-US" w:eastAsia="zh-CN"/>
              </w:rPr>
            </w:pPr>
            <w:r>
              <w:rPr>
                <w:rFonts w:hint="eastAsia"/>
                <w:b/>
                <w:bCs/>
                <w:color w:val="auto"/>
                <w:lang w:val="en-US" w:eastAsia="zh-CN"/>
              </w:rPr>
              <w:t>（3）废气处理设施可行性分析</w:t>
            </w:r>
          </w:p>
          <w:p w14:paraId="1D2EF688">
            <w:pPr>
              <w:bidi w:val="0"/>
              <w:rPr>
                <w:rFonts w:ascii="宋体" w:hAnsi="宋体" w:eastAsia="宋体" w:cs="宋体"/>
                <w:color w:val="auto"/>
                <w:sz w:val="24"/>
                <w:szCs w:val="24"/>
              </w:rPr>
            </w:pPr>
            <w:r>
              <w:rPr>
                <w:rFonts w:hint="eastAsia"/>
                <w:b w:val="0"/>
                <w:bCs w:val="0"/>
                <w:color w:val="auto"/>
                <w:lang w:val="en-US" w:eastAsia="zh-CN"/>
              </w:rPr>
              <w:t>酸性气体（氯化氢、氮氧化物</w:t>
            </w:r>
            <w:r>
              <w:rPr>
                <w:rFonts w:hint="eastAsia" w:ascii="Times New Roman" w:hAnsi="Times New Roman" w:eastAsia="宋体" w:cs="Times New Roman"/>
                <w:b w:val="0"/>
                <w:bCs w:val="0"/>
                <w:color w:val="auto"/>
                <w:lang w:val="en-US" w:eastAsia="zh-CN"/>
              </w:rPr>
              <w:t>）经内置SDG酸性气体吸附剂通风橱后无组织排放；非甲烷总烃经两级活性炭吸附后无组织排放；焊接烟尘经焊接烟尘净化器处理后无组织排放；餐厅油烟经油</w:t>
            </w:r>
            <w:r>
              <w:rPr>
                <w:rFonts w:hint="eastAsia" w:ascii="宋体" w:hAnsi="宋体" w:eastAsia="宋体" w:cs="宋体"/>
                <w:color w:val="auto"/>
                <w:sz w:val="24"/>
                <w:szCs w:val="24"/>
                <w:lang w:val="en-US" w:eastAsia="zh-CN"/>
              </w:rPr>
              <w:t>烟净化器处理后，引至屋顶排放。本</w:t>
            </w:r>
            <w:r>
              <w:rPr>
                <w:rFonts w:hint="eastAsia" w:ascii="宋体" w:hAnsi="宋体" w:eastAsia="宋体" w:cs="宋体"/>
                <w:color w:val="auto"/>
                <w:sz w:val="24"/>
                <w:szCs w:val="24"/>
              </w:rPr>
              <w:t>项目</w:t>
            </w:r>
            <w:r>
              <w:rPr>
                <w:rFonts w:hint="eastAsia" w:ascii="宋体" w:hAnsi="宋体" w:eastAsia="宋体" w:cs="宋体"/>
                <w:color w:val="auto"/>
                <w:sz w:val="24"/>
                <w:szCs w:val="24"/>
                <w:lang w:val="en-US" w:eastAsia="zh-CN"/>
              </w:rPr>
              <w:t>废气经处理后可满足达标排放要求。</w:t>
            </w:r>
          </w:p>
          <w:p w14:paraId="7602462C">
            <w:pPr>
              <w:bidi w:val="0"/>
              <w:rPr>
                <w:rFonts w:hint="eastAsia"/>
                <w:bCs/>
                <w:color w:val="2C27FB"/>
                <w:sz w:val="24"/>
                <w:highlight w:val="none"/>
              </w:rPr>
            </w:pPr>
            <w:r>
              <w:rPr>
                <w:rFonts w:hint="eastAsia" w:ascii="宋体" w:hAnsi="宋体" w:eastAsia="宋体" w:cs="宋体"/>
                <w:color w:val="auto"/>
                <w:sz w:val="24"/>
                <w:szCs w:val="24"/>
              </w:rPr>
              <w:t>综上所述</w:t>
            </w:r>
            <w:r>
              <w:rPr>
                <w:rFonts w:hint="eastAsia"/>
                <w:bCs/>
                <w:color w:val="auto"/>
                <w:sz w:val="24"/>
                <w:highlight w:val="none"/>
              </w:rPr>
              <w:t>，项目通过采取评价提出的措施后，产生的废气对外环境影响较小。</w:t>
            </w:r>
          </w:p>
          <w:p w14:paraId="2FF4E6BD">
            <w:pPr>
              <w:bidi w:val="0"/>
              <w:rPr>
                <w:rFonts w:hint="eastAsia"/>
                <w:b/>
                <w:bCs/>
                <w:color w:val="auto"/>
                <w:lang w:eastAsia="zh-CN"/>
              </w:rPr>
            </w:pPr>
            <w:r>
              <w:rPr>
                <w:rFonts w:hint="eastAsia"/>
                <w:b/>
                <w:bCs/>
                <w:color w:val="auto"/>
                <w:lang w:val="en-US" w:eastAsia="zh-CN"/>
              </w:rPr>
              <w:t>（4）</w:t>
            </w:r>
            <w:r>
              <w:rPr>
                <w:rFonts w:hint="eastAsia"/>
                <w:b/>
                <w:bCs/>
                <w:color w:val="auto"/>
                <w:lang w:eastAsia="zh-CN"/>
              </w:rPr>
              <w:t>非正常工况下废气排放情况</w:t>
            </w:r>
          </w:p>
          <w:p w14:paraId="1A96A27E">
            <w:pPr>
              <w:bidi w:val="0"/>
              <w:rPr>
                <w:rFonts w:hint="eastAsia"/>
                <w:color w:val="auto"/>
                <w:lang w:eastAsia="zh-CN"/>
              </w:rPr>
            </w:pPr>
            <w:r>
              <w:rPr>
                <w:rFonts w:ascii="宋体" w:hAnsi="宋体" w:eastAsia="宋体" w:cs="宋体"/>
                <w:color w:val="auto"/>
                <w:sz w:val="24"/>
                <w:szCs w:val="24"/>
              </w:rPr>
              <w:t>项目非正常工况污染源主要为废气治理设施故障导致的废气非正常排放。该情况下的事故排放源强按未经过处理的污染物产生量计算，非正常工况下主要大气污染物的排放源强见下表：</w:t>
            </w:r>
          </w:p>
          <w:p w14:paraId="40CE9A3B">
            <w:pPr>
              <w:pStyle w:val="24"/>
              <w:bidi w:val="0"/>
              <w:rPr>
                <w:rFonts w:hint="eastAsia"/>
                <w:color w:val="auto"/>
                <w:sz w:val="24"/>
                <w:szCs w:val="24"/>
                <w:lang w:eastAsia="zh-CN"/>
              </w:rPr>
            </w:pPr>
            <w:r>
              <w:rPr>
                <w:rFonts w:hint="eastAsia"/>
                <w:color w:val="auto"/>
                <w:sz w:val="24"/>
                <w:szCs w:val="24"/>
                <w:lang w:eastAsia="zh-CN"/>
              </w:rPr>
              <w:t>表</w:t>
            </w:r>
            <w:r>
              <w:rPr>
                <w:rFonts w:hint="eastAsia"/>
                <w:color w:val="auto"/>
                <w:sz w:val="24"/>
                <w:szCs w:val="24"/>
                <w:lang w:val="en-US" w:eastAsia="zh-CN"/>
              </w:rPr>
              <w:t xml:space="preserve">4-5  </w:t>
            </w:r>
            <w:r>
              <w:rPr>
                <w:rFonts w:hint="eastAsia"/>
                <w:color w:val="auto"/>
                <w:sz w:val="24"/>
                <w:szCs w:val="24"/>
                <w:lang w:eastAsia="zh-CN"/>
              </w:rPr>
              <w:t>非正常工况污染源一览表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1"/>
              <w:gridCol w:w="1324"/>
              <w:gridCol w:w="1581"/>
              <w:gridCol w:w="1446"/>
              <w:gridCol w:w="1313"/>
              <w:gridCol w:w="969"/>
            </w:tblGrid>
            <w:tr w14:paraId="7DF5A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31" w:type="pct"/>
                  <w:vAlign w:val="center"/>
                </w:tcPr>
                <w:p w14:paraId="3048294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b/>
                      <w:bCs/>
                      <w:color w:val="auto"/>
                      <w:sz w:val="21"/>
                      <w:szCs w:val="21"/>
                      <w:highlight w:val="none"/>
                      <w:lang w:eastAsia="zh-CN"/>
                    </w:rPr>
                  </w:pPr>
                  <w:r>
                    <w:rPr>
                      <w:rFonts w:hint="eastAsia" w:ascii="Times New Roman" w:hAnsi="Times New Roman" w:cs="Times New Roman"/>
                      <w:b/>
                      <w:bCs/>
                      <w:color w:val="auto"/>
                      <w:sz w:val="21"/>
                      <w:szCs w:val="21"/>
                      <w:highlight w:val="none"/>
                      <w:lang w:eastAsia="zh-CN"/>
                    </w:rPr>
                    <w:t>污染物项目</w:t>
                  </w:r>
                </w:p>
              </w:tc>
              <w:tc>
                <w:tcPr>
                  <w:tcW w:w="772" w:type="pct"/>
                  <w:vAlign w:val="center"/>
                </w:tcPr>
                <w:p w14:paraId="64018B4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b/>
                      <w:bCs/>
                      <w:color w:val="auto"/>
                      <w:sz w:val="21"/>
                      <w:szCs w:val="21"/>
                      <w:highlight w:val="none"/>
                      <w:lang w:eastAsia="zh-CN"/>
                    </w:rPr>
                  </w:pPr>
                  <w:r>
                    <w:rPr>
                      <w:rFonts w:hint="eastAsia" w:ascii="Times New Roman" w:hAnsi="Times New Roman" w:cs="Times New Roman"/>
                      <w:b/>
                      <w:bCs/>
                      <w:color w:val="auto"/>
                      <w:sz w:val="21"/>
                      <w:szCs w:val="21"/>
                      <w:highlight w:val="none"/>
                      <w:lang w:eastAsia="zh-CN"/>
                    </w:rPr>
                    <w:t>排放量kg/a</w:t>
                  </w:r>
                </w:p>
              </w:tc>
              <w:tc>
                <w:tcPr>
                  <w:tcW w:w="921" w:type="pct"/>
                  <w:vAlign w:val="center"/>
                </w:tcPr>
                <w:p w14:paraId="328A045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b/>
                      <w:bCs/>
                      <w:color w:val="auto"/>
                      <w:sz w:val="21"/>
                      <w:szCs w:val="21"/>
                      <w:highlight w:val="none"/>
                      <w:lang w:eastAsia="zh-CN"/>
                    </w:rPr>
                  </w:pPr>
                  <w:r>
                    <w:rPr>
                      <w:rFonts w:hint="eastAsia" w:ascii="Times New Roman" w:hAnsi="Times New Roman" w:cs="Times New Roman"/>
                      <w:b/>
                      <w:bCs/>
                      <w:color w:val="auto"/>
                      <w:sz w:val="21"/>
                      <w:szCs w:val="21"/>
                      <w:highlight w:val="none"/>
                      <w:lang w:eastAsia="zh-CN"/>
                    </w:rPr>
                    <w:t>排放速率kg/h</w:t>
                  </w:r>
                </w:p>
              </w:tc>
              <w:tc>
                <w:tcPr>
                  <w:tcW w:w="843" w:type="pct"/>
                  <w:vAlign w:val="center"/>
                </w:tcPr>
                <w:p w14:paraId="3CFA691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b/>
                      <w:bCs/>
                      <w:color w:val="auto"/>
                      <w:sz w:val="21"/>
                      <w:szCs w:val="21"/>
                      <w:highlight w:val="none"/>
                      <w:lang w:eastAsia="zh-CN"/>
                    </w:rPr>
                  </w:pPr>
                  <w:r>
                    <w:rPr>
                      <w:rFonts w:hint="eastAsia"/>
                      <w:b/>
                      <w:bCs/>
                      <w:color w:val="auto"/>
                      <w:sz w:val="21"/>
                      <w:szCs w:val="21"/>
                      <w:highlight w:val="none"/>
                      <w:lang w:eastAsia="zh-CN"/>
                    </w:rPr>
                    <w:t>排放</w:t>
                  </w:r>
                  <w:r>
                    <w:rPr>
                      <w:b/>
                      <w:bCs/>
                      <w:color w:val="auto"/>
                      <w:sz w:val="21"/>
                      <w:szCs w:val="21"/>
                      <w:highlight w:val="none"/>
                    </w:rPr>
                    <w:t>浓度mg/m</w:t>
                  </w:r>
                  <w:r>
                    <w:rPr>
                      <w:b/>
                      <w:bCs/>
                      <w:color w:val="auto"/>
                      <w:sz w:val="21"/>
                      <w:szCs w:val="21"/>
                      <w:highlight w:val="none"/>
                      <w:vertAlign w:val="superscript"/>
                    </w:rPr>
                    <w:t>3</w:t>
                  </w:r>
                </w:p>
              </w:tc>
              <w:tc>
                <w:tcPr>
                  <w:tcW w:w="765" w:type="pct"/>
                  <w:vAlign w:val="center"/>
                </w:tcPr>
                <w:p w14:paraId="685D514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b/>
                      <w:bCs/>
                      <w:color w:val="auto"/>
                      <w:sz w:val="21"/>
                      <w:szCs w:val="21"/>
                      <w:highlight w:val="none"/>
                      <w:lang w:eastAsia="zh-CN"/>
                    </w:rPr>
                  </w:pPr>
                  <w:r>
                    <w:rPr>
                      <w:rFonts w:hint="eastAsia" w:ascii="Times New Roman" w:hAnsi="Times New Roman" w:cs="Times New Roman"/>
                      <w:b/>
                      <w:bCs/>
                      <w:color w:val="auto"/>
                      <w:sz w:val="21"/>
                      <w:szCs w:val="21"/>
                      <w:highlight w:val="none"/>
                      <w:lang w:eastAsia="zh-CN"/>
                    </w:rPr>
                    <w:t>年发生频次</w:t>
                  </w:r>
                </w:p>
              </w:tc>
              <w:tc>
                <w:tcPr>
                  <w:tcW w:w="565" w:type="pct"/>
                  <w:vAlign w:val="center"/>
                </w:tcPr>
                <w:p w14:paraId="6BD89DD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b/>
                      <w:bCs/>
                      <w:color w:val="auto"/>
                      <w:sz w:val="21"/>
                      <w:szCs w:val="21"/>
                      <w:highlight w:val="none"/>
                      <w:lang w:eastAsia="zh-CN"/>
                    </w:rPr>
                  </w:pPr>
                  <w:r>
                    <w:rPr>
                      <w:rFonts w:hint="eastAsia" w:ascii="Times New Roman" w:hAnsi="Times New Roman" w:cs="Times New Roman"/>
                      <w:b/>
                      <w:bCs/>
                      <w:color w:val="auto"/>
                      <w:sz w:val="21"/>
                      <w:szCs w:val="21"/>
                      <w:highlight w:val="none"/>
                      <w:lang w:eastAsia="zh-CN"/>
                    </w:rPr>
                    <w:t>应对措施</w:t>
                  </w:r>
                </w:p>
              </w:tc>
            </w:tr>
            <w:tr w14:paraId="31D51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131" w:type="pct"/>
                  <w:vAlign w:val="center"/>
                </w:tcPr>
                <w:p w14:paraId="397ACE4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氯化氢</w:t>
                  </w:r>
                </w:p>
              </w:tc>
              <w:tc>
                <w:tcPr>
                  <w:tcW w:w="772" w:type="pct"/>
                  <w:vAlign w:val="center"/>
                </w:tcPr>
                <w:p w14:paraId="510EB6D3">
                  <w:pPr>
                    <w:keepNext w:val="0"/>
                    <w:keepLines w:val="0"/>
                    <w:widowControl w:val="0"/>
                    <w:suppressLineNumbers w:val="0"/>
                    <w:spacing w:line="360" w:lineRule="atLeast"/>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0.009</w:t>
                  </w:r>
                </w:p>
              </w:tc>
              <w:tc>
                <w:tcPr>
                  <w:tcW w:w="921" w:type="pct"/>
                  <w:vAlign w:val="center"/>
                </w:tcPr>
                <w:p w14:paraId="3DF45B01">
                  <w:pPr>
                    <w:keepNext w:val="0"/>
                    <w:keepLines w:val="0"/>
                    <w:widowControl w:val="0"/>
                    <w:suppressLineNumbers w:val="0"/>
                    <w:spacing w:line="360" w:lineRule="atLeast"/>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843" w:type="pct"/>
                  <w:vAlign w:val="center"/>
                </w:tcPr>
                <w:p w14:paraId="6858B495">
                  <w:pPr>
                    <w:keepNext w:val="0"/>
                    <w:keepLines w:val="0"/>
                    <w:widowControl w:val="0"/>
                    <w:suppressLineNumbers w:val="0"/>
                    <w:spacing w:line="360" w:lineRule="atLeast"/>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65" w:type="pct"/>
                  <w:vMerge w:val="restart"/>
                  <w:vAlign w:val="center"/>
                </w:tcPr>
                <w:p w14:paraId="5DA262D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一年一次</w:t>
                  </w:r>
                  <w:r>
                    <w:rPr>
                      <w:rFonts w:hint="eastAsia"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2h/次</w:t>
                  </w:r>
                </w:p>
              </w:tc>
              <w:tc>
                <w:tcPr>
                  <w:tcW w:w="565" w:type="pct"/>
                  <w:vMerge w:val="restart"/>
                  <w:vAlign w:val="center"/>
                </w:tcPr>
                <w:p w14:paraId="0D8F31F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color w:val="auto"/>
                      <w:sz w:val="21"/>
                      <w:szCs w:val="21"/>
                      <w:highlight w:val="none"/>
                      <w:lang w:eastAsia="zh-CN"/>
                    </w:rPr>
                  </w:pPr>
                  <w:r>
                    <w:rPr>
                      <w:rFonts w:hint="eastAsia" w:cs="Times New Roman"/>
                      <w:color w:val="auto"/>
                      <w:sz w:val="21"/>
                      <w:szCs w:val="21"/>
                      <w:highlight w:val="none"/>
                      <w:lang w:eastAsia="zh-CN"/>
                    </w:rPr>
                    <w:t>立即</w:t>
                  </w:r>
                  <w:r>
                    <w:rPr>
                      <w:rFonts w:hint="eastAsia" w:ascii="Times New Roman" w:hAnsi="Times New Roman" w:cs="Times New Roman"/>
                      <w:color w:val="auto"/>
                      <w:sz w:val="21"/>
                      <w:szCs w:val="21"/>
                      <w:highlight w:val="none"/>
                      <w:lang w:eastAsia="zh-CN"/>
                    </w:rPr>
                    <w:t>检修</w:t>
                  </w:r>
                </w:p>
              </w:tc>
            </w:tr>
            <w:tr w14:paraId="40E1E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1" w:type="pct"/>
                  <w:vAlign w:val="center"/>
                </w:tcPr>
                <w:p w14:paraId="5A93865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氮氧化物</w:t>
                  </w:r>
                </w:p>
              </w:tc>
              <w:tc>
                <w:tcPr>
                  <w:tcW w:w="772" w:type="pct"/>
                  <w:vAlign w:val="center"/>
                </w:tcPr>
                <w:p w14:paraId="7FEE5EFD">
                  <w:pPr>
                    <w:keepNext w:val="0"/>
                    <w:keepLines w:val="0"/>
                    <w:widowControl w:val="0"/>
                    <w:suppressLineNumbers w:val="0"/>
                    <w:spacing w:line="360" w:lineRule="atLeast"/>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0.005</w:t>
                  </w:r>
                </w:p>
              </w:tc>
              <w:tc>
                <w:tcPr>
                  <w:tcW w:w="921" w:type="pct"/>
                  <w:vAlign w:val="center"/>
                </w:tcPr>
                <w:p w14:paraId="628B29EA">
                  <w:pPr>
                    <w:keepNext w:val="0"/>
                    <w:keepLines w:val="0"/>
                    <w:widowControl w:val="0"/>
                    <w:suppressLineNumbers w:val="0"/>
                    <w:spacing w:line="360" w:lineRule="atLeast"/>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843" w:type="pct"/>
                  <w:vAlign w:val="center"/>
                </w:tcPr>
                <w:p w14:paraId="3C61AFB0">
                  <w:pPr>
                    <w:keepNext w:val="0"/>
                    <w:keepLines w:val="0"/>
                    <w:widowControl w:val="0"/>
                    <w:suppressLineNumbers w:val="0"/>
                    <w:spacing w:line="360" w:lineRule="atLeast"/>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65" w:type="pct"/>
                  <w:vMerge w:val="continue"/>
                  <w:vAlign w:val="center"/>
                </w:tcPr>
                <w:p w14:paraId="0FF9561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color w:val="auto"/>
                      <w:sz w:val="21"/>
                      <w:szCs w:val="21"/>
                      <w:highlight w:val="yellow"/>
                      <w:lang w:eastAsia="zh-CN"/>
                    </w:rPr>
                  </w:pPr>
                </w:p>
              </w:tc>
              <w:tc>
                <w:tcPr>
                  <w:tcW w:w="565" w:type="pct"/>
                  <w:vMerge w:val="continue"/>
                  <w:vAlign w:val="center"/>
                </w:tcPr>
                <w:p w14:paraId="3C5DADA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color w:val="auto"/>
                      <w:sz w:val="21"/>
                      <w:szCs w:val="21"/>
                      <w:highlight w:val="yellow"/>
                      <w:lang w:eastAsia="zh-CN"/>
                    </w:rPr>
                  </w:pPr>
                </w:p>
              </w:tc>
            </w:tr>
            <w:tr w14:paraId="77440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1" w:type="pct"/>
                  <w:vAlign w:val="center"/>
                </w:tcPr>
                <w:p w14:paraId="74456412">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非甲烷总烃</w:t>
                  </w:r>
                </w:p>
              </w:tc>
              <w:tc>
                <w:tcPr>
                  <w:tcW w:w="772" w:type="pct"/>
                  <w:vAlign w:val="center"/>
                </w:tcPr>
                <w:p w14:paraId="7D463D0C">
                  <w:pPr>
                    <w:keepNext w:val="0"/>
                    <w:keepLines w:val="0"/>
                    <w:widowControl w:val="0"/>
                    <w:suppressLineNumbers w:val="0"/>
                    <w:spacing w:line="360" w:lineRule="atLeast"/>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0.0484</w:t>
                  </w:r>
                </w:p>
              </w:tc>
              <w:tc>
                <w:tcPr>
                  <w:tcW w:w="921" w:type="pct"/>
                  <w:vAlign w:val="center"/>
                </w:tcPr>
                <w:p w14:paraId="5C65C570">
                  <w:pPr>
                    <w:keepNext w:val="0"/>
                    <w:keepLines w:val="0"/>
                    <w:widowControl w:val="0"/>
                    <w:suppressLineNumbers w:val="0"/>
                    <w:spacing w:line="360" w:lineRule="atLeast"/>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843" w:type="pct"/>
                  <w:vAlign w:val="center"/>
                </w:tcPr>
                <w:p w14:paraId="78E34014">
                  <w:pPr>
                    <w:keepNext w:val="0"/>
                    <w:keepLines w:val="0"/>
                    <w:widowControl w:val="0"/>
                    <w:suppressLineNumbers w:val="0"/>
                    <w:spacing w:line="360" w:lineRule="atLeast"/>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65" w:type="pct"/>
                  <w:vMerge w:val="continue"/>
                  <w:vAlign w:val="center"/>
                </w:tcPr>
                <w:p w14:paraId="5E1ECCCD">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color w:val="auto"/>
                      <w:sz w:val="21"/>
                      <w:szCs w:val="21"/>
                      <w:highlight w:val="yellow"/>
                      <w:lang w:eastAsia="zh-CN"/>
                    </w:rPr>
                  </w:pPr>
                </w:p>
              </w:tc>
              <w:tc>
                <w:tcPr>
                  <w:tcW w:w="565" w:type="pct"/>
                  <w:vMerge w:val="continue"/>
                  <w:vAlign w:val="center"/>
                </w:tcPr>
                <w:p w14:paraId="4E89D80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cs="Times New Roman"/>
                      <w:color w:val="auto"/>
                      <w:sz w:val="21"/>
                      <w:szCs w:val="21"/>
                      <w:highlight w:val="yellow"/>
                      <w:lang w:eastAsia="zh-CN"/>
                    </w:rPr>
                  </w:pPr>
                </w:p>
              </w:tc>
            </w:tr>
          </w:tbl>
          <w:p w14:paraId="0CD7D3E0">
            <w:pPr>
              <w:bidi w:val="0"/>
              <w:rPr>
                <w:rFonts w:ascii="宋体" w:hAnsi="宋体" w:eastAsia="宋体" w:cs="宋体"/>
                <w:color w:val="auto"/>
                <w:sz w:val="24"/>
                <w:szCs w:val="24"/>
              </w:rPr>
            </w:pPr>
            <w:r>
              <w:rPr>
                <w:rFonts w:ascii="宋体" w:hAnsi="宋体" w:eastAsia="宋体" w:cs="宋体"/>
                <w:color w:val="auto"/>
                <w:sz w:val="24"/>
                <w:szCs w:val="24"/>
              </w:rPr>
              <w:t>项目在非正常排放情况下，污染物的浓度比正常工况要大得多，说明事故排放会对外界环境造成影响</w:t>
            </w:r>
            <w:r>
              <w:rPr>
                <w:rFonts w:hint="eastAsia" w:ascii="宋体" w:hAnsi="宋体" w:cs="宋体"/>
                <w:color w:val="auto"/>
                <w:sz w:val="24"/>
                <w:szCs w:val="24"/>
                <w:lang w:eastAsia="zh-CN"/>
              </w:rPr>
              <w:t>，但不构成超标</w:t>
            </w:r>
            <w:r>
              <w:rPr>
                <w:rFonts w:ascii="宋体" w:hAnsi="宋体" w:eastAsia="宋体" w:cs="宋体"/>
                <w:color w:val="auto"/>
                <w:sz w:val="24"/>
                <w:szCs w:val="24"/>
              </w:rPr>
              <w:t>。因此，为了减轻本项目对周围环境的影响程度和范围，项目在生产过程中必须加强管理，保证废气处理设施正常运行，避免事故发生。</w:t>
            </w:r>
          </w:p>
          <w:p w14:paraId="6709C781">
            <w:pPr>
              <w:bidi w:val="0"/>
              <w:rPr>
                <w:rFonts w:ascii="宋体" w:hAnsi="宋体" w:eastAsia="宋体" w:cs="宋体"/>
                <w:color w:val="auto"/>
                <w:sz w:val="24"/>
                <w:szCs w:val="24"/>
              </w:rPr>
            </w:pPr>
            <w:r>
              <w:rPr>
                <w:rFonts w:ascii="宋体" w:hAnsi="宋体" w:eastAsia="宋体" w:cs="宋体"/>
                <w:color w:val="auto"/>
                <w:sz w:val="24"/>
                <w:szCs w:val="24"/>
              </w:rPr>
              <w:t>当废气处理设施出现故障不能正常运行时，应</w:t>
            </w:r>
            <w:r>
              <w:rPr>
                <w:rFonts w:hint="eastAsia" w:ascii="宋体" w:hAnsi="宋体" w:eastAsia="宋体" w:cs="宋体"/>
                <w:color w:val="auto"/>
                <w:sz w:val="24"/>
                <w:szCs w:val="24"/>
                <w:lang w:eastAsia="zh-CN"/>
              </w:rPr>
              <w:t>立即</w:t>
            </w:r>
            <w:r>
              <w:rPr>
                <w:rFonts w:ascii="宋体" w:hAnsi="宋体" w:eastAsia="宋体" w:cs="宋体"/>
                <w:color w:val="auto"/>
                <w:sz w:val="24"/>
                <w:szCs w:val="24"/>
              </w:rPr>
              <w:t>进行维修，避免对周围环境造成污染影响。</w:t>
            </w:r>
          </w:p>
          <w:p w14:paraId="1C0FDEB3">
            <w:pPr>
              <w:numPr>
                <w:ilvl w:val="0"/>
                <w:numId w:val="0"/>
              </w:numPr>
              <w:bidi w:val="0"/>
              <w:ind w:firstLine="482" w:firstLineChars="200"/>
              <w:rPr>
                <w:rFonts w:hint="eastAsia"/>
                <w:b/>
                <w:bCs/>
                <w:color w:val="auto"/>
                <w:lang w:val="en-US" w:eastAsia="zh-CN"/>
              </w:rPr>
            </w:pPr>
            <w:r>
              <w:rPr>
                <w:rFonts w:hint="eastAsia" w:ascii="Times New Roman" w:hAnsi="Times New Roman" w:eastAsia="宋体" w:cs="Times New Roman"/>
                <w:b/>
                <w:bCs/>
                <w:color w:val="auto"/>
                <w:kern w:val="2"/>
                <w:sz w:val="24"/>
                <w:szCs w:val="24"/>
                <w:lang w:val="en-US" w:eastAsia="zh-CN" w:bidi="ar-SA"/>
              </w:rPr>
              <w:t>（</w:t>
            </w:r>
            <w:r>
              <w:rPr>
                <w:rFonts w:hint="eastAsia" w:cs="Times New Roman"/>
                <w:b/>
                <w:bCs/>
                <w:color w:val="auto"/>
                <w:kern w:val="2"/>
                <w:sz w:val="24"/>
                <w:szCs w:val="24"/>
                <w:lang w:val="en-US" w:eastAsia="zh-CN" w:bidi="ar-SA"/>
              </w:rPr>
              <w:t>5</w:t>
            </w:r>
            <w:r>
              <w:rPr>
                <w:rFonts w:hint="eastAsia" w:ascii="Times New Roman" w:hAnsi="Times New Roman" w:eastAsia="宋体" w:cs="Times New Roman"/>
                <w:b/>
                <w:bCs/>
                <w:color w:val="auto"/>
                <w:kern w:val="2"/>
                <w:sz w:val="24"/>
                <w:szCs w:val="24"/>
                <w:lang w:val="en-US" w:eastAsia="zh-CN" w:bidi="ar-SA"/>
              </w:rPr>
              <w:t>）</w:t>
            </w:r>
            <w:r>
              <w:rPr>
                <w:rFonts w:hint="eastAsia"/>
                <w:b/>
                <w:bCs/>
                <w:color w:val="auto"/>
                <w:lang w:val="en-US" w:eastAsia="zh-CN"/>
              </w:rPr>
              <w:t>废气达标分析</w:t>
            </w:r>
          </w:p>
          <w:p w14:paraId="58D84262">
            <w:pPr>
              <w:ind w:firstLine="480"/>
              <w:rPr>
                <w:rFonts w:hint="default" w:ascii="Times New Roman" w:hAnsi="Times New Roman" w:eastAsia="宋体" w:cs="Times New Roman"/>
                <w:sz w:val="24"/>
                <w:lang w:val="en-US" w:eastAsia="zh-CN"/>
              </w:rPr>
            </w:pPr>
            <w:r>
              <w:rPr>
                <w:sz w:val="24"/>
              </w:rPr>
              <w:t>本项目所在地属于环境空气</w:t>
            </w:r>
            <w:r>
              <w:rPr>
                <w:rFonts w:hint="eastAsia"/>
                <w:sz w:val="24"/>
              </w:rPr>
              <w:t>不</w:t>
            </w:r>
            <w:r>
              <w:rPr>
                <w:sz w:val="24"/>
              </w:rPr>
              <w:t>达标区</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大气环境保护目标在项目北方向420m处。酸性废气通过内置SDG酸性气体吸附剂通风橱收集处理后无组织排放，非甲烷总烃通过两级活性炭吸附处理后经通风排气设备无组织排放，</w:t>
            </w:r>
            <w:r>
              <w:rPr>
                <w:rFonts w:hint="eastAsia" w:ascii="Times New Roman" w:hAnsi="Times New Roman" w:eastAsia="宋体" w:cs="Times New Roman"/>
                <w:b w:val="0"/>
                <w:bCs w:val="0"/>
                <w:color w:val="auto"/>
                <w:lang w:val="en-US" w:eastAsia="zh-CN"/>
              </w:rPr>
              <w:t>焊接烟尘经焊接烟尘净化器处理后无组织排放</w:t>
            </w:r>
            <w:r>
              <w:rPr>
                <w:rFonts w:hint="eastAsia" w:cs="Times New Roman"/>
                <w:b w:val="0"/>
                <w:bCs w:val="0"/>
                <w:color w:val="auto"/>
                <w:lang w:val="en-US" w:eastAsia="zh-CN"/>
              </w:rPr>
              <w:t>，</w:t>
            </w:r>
            <w:r>
              <w:rPr>
                <w:rFonts w:hint="eastAsia" w:ascii="Times New Roman" w:hAnsi="Times New Roman" w:eastAsia="宋体" w:cs="Times New Roman"/>
                <w:sz w:val="24"/>
                <w:lang w:val="en-US" w:eastAsia="zh-CN"/>
              </w:rPr>
              <w:t>餐厅油烟通过油烟净化器处理后引至屋顶排放。</w:t>
            </w:r>
          </w:p>
          <w:p w14:paraId="7E1B84A6">
            <w:pPr>
              <w:ind w:firstLine="480"/>
              <w:rPr>
                <w:color w:val="auto"/>
                <w:sz w:val="24"/>
                <w:highlight w:val="none"/>
              </w:rPr>
            </w:pPr>
            <w:r>
              <w:rPr>
                <w:color w:val="000000"/>
                <w:highlight w:val="none"/>
              </w:rPr>
              <w:t>根据源强核算，</w:t>
            </w:r>
            <w:r>
              <w:rPr>
                <w:rFonts w:hint="eastAsia"/>
                <w:color w:val="000000"/>
                <w:highlight w:val="none"/>
                <w:lang w:val="en-US" w:eastAsia="zh-CN"/>
              </w:rPr>
              <w:t>项目建成后，焊接烟尘</w:t>
            </w:r>
            <w:r>
              <w:rPr>
                <w:rFonts w:hint="eastAsia"/>
                <w:color w:val="000000"/>
                <w:highlight w:val="none"/>
              </w:rPr>
              <w:t>、</w:t>
            </w:r>
            <w:r>
              <w:rPr>
                <w:rFonts w:hint="eastAsia"/>
                <w:color w:val="000000"/>
                <w:highlight w:val="none"/>
                <w:lang w:val="en-US" w:eastAsia="zh-CN"/>
              </w:rPr>
              <w:t>酸性废气</w:t>
            </w:r>
            <w:r>
              <w:rPr>
                <w:rFonts w:hint="eastAsia"/>
                <w:color w:val="000000"/>
                <w:highlight w:val="none"/>
              </w:rPr>
              <w:t>、</w:t>
            </w:r>
            <w:r>
              <w:rPr>
                <w:rFonts w:hint="eastAsia"/>
                <w:color w:val="000000"/>
                <w:highlight w:val="none"/>
                <w:lang w:val="en-US" w:eastAsia="zh-CN"/>
              </w:rPr>
              <w:t>有机</w:t>
            </w:r>
            <w:r>
              <w:rPr>
                <w:rFonts w:hint="eastAsia"/>
                <w:color w:val="000000"/>
                <w:highlight w:val="none"/>
              </w:rPr>
              <w:t>废气</w:t>
            </w:r>
            <w:r>
              <w:rPr>
                <w:rFonts w:hint="eastAsia"/>
                <w:color w:val="000000"/>
                <w:highlight w:val="none"/>
                <w:lang w:val="en-US" w:eastAsia="zh-CN"/>
              </w:rPr>
              <w:t>均有效处理后排放</w:t>
            </w:r>
            <w:r>
              <w:rPr>
                <w:rFonts w:hint="eastAsia"/>
                <w:color w:val="000000"/>
                <w:highlight w:val="none"/>
              </w:rPr>
              <w:t>。</w:t>
            </w:r>
            <w:r>
              <w:rPr>
                <w:rFonts w:hint="eastAsia"/>
                <w:color w:val="000000"/>
                <w:highlight w:val="none"/>
                <w:lang w:val="en-US" w:eastAsia="zh-CN"/>
              </w:rPr>
              <w:t>根据核算结果，</w:t>
            </w:r>
            <w:r>
              <w:rPr>
                <w:rFonts w:hint="default" w:ascii="Times New Roman" w:hAnsi="Times New Roman" w:cs="Times New Roman"/>
                <w:bCs/>
                <w:color w:val="auto"/>
                <w:sz w:val="24"/>
                <w:highlight w:val="none"/>
                <w:lang w:val="en-US" w:eastAsia="zh-CN"/>
              </w:rPr>
              <w:t>颗粒物</w:t>
            </w:r>
            <w:r>
              <w:rPr>
                <w:rFonts w:hint="eastAsia" w:ascii="Times New Roman" w:hAnsi="Times New Roman" w:cs="Times New Roman"/>
                <w:bCs/>
                <w:color w:val="auto"/>
                <w:sz w:val="24"/>
                <w:highlight w:val="none"/>
                <w:lang w:val="en-US" w:eastAsia="zh-CN"/>
              </w:rPr>
              <w:t>满足</w:t>
            </w:r>
            <w:r>
              <w:rPr>
                <w:rFonts w:hint="default" w:ascii="Times New Roman" w:hAnsi="Times New Roman" w:cs="Times New Roman"/>
                <w:bCs/>
                <w:color w:val="auto"/>
                <w:sz w:val="24"/>
                <w:highlight w:val="none"/>
                <w:lang w:val="en-US" w:eastAsia="zh-CN"/>
              </w:rPr>
              <w:t>《大气污染物综合排放标准》（GB16297-1996）表2中</w:t>
            </w:r>
            <w:r>
              <w:rPr>
                <w:rFonts w:hint="eastAsia" w:ascii="Times New Roman" w:hAnsi="Times New Roman" w:cs="Times New Roman"/>
                <w:bCs/>
                <w:color w:val="auto"/>
                <w:sz w:val="24"/>
                <w:highlight w:val="none"/>
                <w:lang w:val="en-US" w:eastAsia="zh-CN"/>
              </w:rPr>
              <w:t>相关</w:t>
            </w:r>
            <w:r>
              <w:rPr>
                <w:rFonts w:hint="default" w:ascii="Times New Roman" w:hAnsi="Times New Roman" w:cs="Times New Roman"/>
                <w:bCs/>
                <w:color w:val="auto"/>
                <w:sz w:val="24"/>
                <w:highlight w:val="none"/>
                <w:lang w:val="en-US" w:eastAsia="zh-CN"/>
              </w:rPr>
              <w:t>要求；非甲烷总烃无组织排放</w:t>
            </w:r>
            <w:r>
              <w:rPr>
                <w:rFonts w:hint="eastAsia" w:ascii="Times New Roman" w:hAnsi="Times New Roman" w:cs="Times New Roman"/>
                <w:bCs/>
                <w:color w:val="auto"/>
                <w:sz w:val="24"/>
                <w:highlight w:val="none"/>
                <w:lang w:val="en-US" w:eastAsia="zh-CN"/>
              </w:rPr>
              <w:t>满足</w:t>
            </w:r>
            <w:r>
              <w:rPr>
                <w:rFonts w:hint="eastAsia" w:ascii="Times New Roman" w:hAnsi="Times New Roman" w:eastAsia="宋体" w:cs="Times New Roman"/>
                <w:bCs/>
                <w:color w:val="auto"/>
                <w:sz w:val="24"/>
                <w:highlight w:val="none"/>
                <w:lang w:val="en-US" w:eastAsia="zh-CN"/>
              </w:rPr>
              <w:t>《挥发性有机物无组织排放控制标准》（GB37822-2019）</w:t>
            </w:r>
            <w:r>
              <w:rPr>
                <w:rFonts w:hint="default" w:ascii="Times New Roman" w:hAnsi="Times New Roman" w:cs="Times New Roman"/>
                <w:bCs/>
                <w:color w:val="auto"/>
                <w:sz w:val="24"/>
                <w:highlight w:val="none"/>
                <w:lang w:val="en-US" w:eastAsia="zh-CN"/>
              </w:rPr>
              <w:t>表A.1</w:t>
            </w:r>
            <w:r>
              <w:rPr>
                <w:rFonts w:hint="eastAsia" w:ascii="Times New Roman" w:hAnsi="Times New Roman" w:eastAsia="宋体" w:cs="Times New Roman"/>
                <w:bCs/>
                <w:color w:val="auto"/>
                <w:sz w:val="24"/>
                <w:highlight w:val="none"/>
                <w:lang w:val="en-US" w:eastAsia="zh-CN"/>
              </w:rPr>
              <w:t>相关</w:t>
            </w:r>
            <w:r>
              <w:rPr>
                <w:rFonts w:hint="default" w:ascii="Times New Roman" w:hAnsi="Times New Roman" w:eastAsia="宋体" w:cs="Times New Roman"/>
                <w:bCs/>
                <w:color w:val="auto"/>
                <w:sz w:val="24"/>
                <w:highlight w:val="none"/>
                <w:lang w:val="en-US" w:eastAsia="zh-CN"/>
              </w:rPr>
              <w:t>标准要求</w:t>
            </w:r>
            <w:r>
              <w:rPr>
                <w:rFonts w:hint="eastAsia" w:cs="Times New Roman"/>
                <w:bCs/>
                <w:color w:val="auto"/>
                <w:sz w:val="24"/>
                <w:highlight w:val="none"/>
                <w:lang w:val="en-US" w:eastAsia="zh-CN"/>
              </w:rPr>
              <w:t>；</w:t>
            </w:r>
            <w:r>
              <w:rPr>
                <w:rFonts w:hint="eastAsia"/>
                <w:bCs/>
                <w:color w:val="auto"/>
                <w:highlight w:val="none"/>
                <w:lang w:eastAsia="zh-CN"/>
              </w:rPr>
              <w:t>酸性废气</w:t>
            </w:r>
            <w:r>
              <w:rPr>
                <w:rFonts w:hint="eastAsia"/>
                <w:color w:val="auto"/>
                <w:highlight w:val="none"/>
                <w:lang w:val="en-US" w:eastAsia="zh-CN"/>
              </w:rPr>
              <w:t>满足</w:t>
            </w:r>
            <w:r>
              <w:rPr>
                <w:color w:val="auto"/>
                <w:highlight w:val="none"/>
              </w:rPr>
              <w:t>《大气污染物综合排放标准》（GB16297-1996）</w:t>
            </w:r>
            <w:r>
              <w:rPr>
                <w:rFonts w:hint="eastAsia"/>
                <w:color w:val="auto"/>
                <w:highlight w:val="none"/>
                <w:lang w:val="en-US" w:eastAsia="zh-CN"/>
              </w:rPr>
              <w:t>表2中相关限值要求</w:t>
            </w:r>
            <w:r>
              <w:rPr>
                <w:color w:val="auto"/>
                <w:highlight w:val="none"/>
              </w:rPr>
              <w:t>。</w:t>
            </w:r>
            <w:r>
              <w:rPr>
                <w:rFonts w:hint="eastAsia"/>
                <w:bCs/>
                <w:color w:val="auto"/>
                <w:sz w:val="24"/>
                <w:highlight w:val="none"/>
                <w:lang w:eastAsia="zh-CN"/>
              </w:rPr>
              <w:t>餐厅</w:t>
            </w:r>
            <w:r>
              <w:rPr>
                <w:rFonts w:hint="eastAsia"/>
                <w:bCs/>
                <w:color w:val="auto"/>
                <w:sz w:val="24"/>
                <w:highlight w:val="none"/>
              </w:rPr>
              <w:t>油烟</w:t>
            </w:r>
            <w:r>
              <w:rPr>
                <w:rFonts w:hint="eastAsia"/>
                <w:bCs/>
                <w:color w:val="auto"/>
                <w:sz w:val="24"/>
                <w:highlight w:val="none"/>
                <w:lang w:val="en-US" w:eastAsia="zh-CN"/>
              </w:rPr>
              <w:t>满足</w:t>
            </w:r>
            <w:r>
              <w:rPr>
                <w:rFonts w:hint="eastAsia"/>
                <w:bCs/>
                <w:color w:val="auto"/>
                <w:sz w:val="24"/>
                <w:highlight w:val="none"/>
              </w:rPr>
              <w:t>《饮食业油烟排放标准（试行）》（GB18483-2001）相关限值</w:t>
            </w:r>
            <w:r>
              <w:rPr>
                <w:color w:val="auto"/>
                <w:sz w:val="24"/>
                <w:highlight w:val="none"/>
              </w:rPr>
              <w:t>。</w:t>
            </w:r>
          </w:p>
          <w:p w14:paraId="3DAED829">
            <w:pPr>
              <w:ind w:firstLine="480"/>
              <w:rPr>
                <w:color w:val="auto"/>
              </w:rPr>
            </w:pPr>
            <w:r>
              <w:rPr>
                <w:rFonts w:hint="default" w:ascii="Times New Roman" w:hAnsi="Times New Roman" w:cs="Times New Roman"/>
                <w:color w:val="auto"/>
                <w:sz w:val="24"/>
                <w:szCs w:val="24"/>
                <w:lang w:val="en-US" w:eastAsia="zh-CN"/>
              </w:rPr>
              <w:t>运营期产生的废气均能达标排放</w:t>
            </w:r>
            <w:r>
              <w:rPr>
                <w:rFonts w:hint="eastAsia" w:ascii="Times New Roman" w:hAnsi="Times New Roman" w:cs="Times New Roman"/>
                <w:color w:val="auto"/>
                <w:sz w:val="24"/>
                <w:szCs w:val="24"/>
                <w:lang w:val="en-US" w:eastAsia="zh-CN"/>
              </w:rPr>
              <w:t>，对周边大气环境的影响可接受</w:t>
            </w:r>
            <w:r>
              <w:rPr>
                <w:rFonts w:hint="default" w:ascii="Times New Roman" w:hAnsi="Times New Roman" w:cs="Times New Roman"/>
                <w:color w:val="auto"/>
                <w:sz w:val="24"/>
                <w:szCs w:val="24"/>
                <w:lang w:val="en-US" w:eastAsia="zh-CN"/>
              </w:rPr>
              <w:t>。</w:t>
            </w:r>
          </w:p>
          <w:p w14:paraId="678750A2">
            <w:pPr>
              <w:pStyle w:val="41"/>
              <w:keepNext w:val="0"/>
              <w:keepLines w:val="0"/>
              <w:pageBreakBefore w:val="0"/>
              <w:widowControl w:val="0"/>
              <w:kinsoku/>
              <w:wordWrap/>
              <w:overflowPunct/>
              <w:topLinePunct w:val="0"/>
              <w:autoSpaceDE/>
              <w:autoSpaceDN/>
              <w:bidi w:val="0"/>
              <w:adjustRightInd w:val="0"/>
              <w:snapToGrid w:val="0"/>
              <w:spacing w:before="157" w:beforeLines="50"/>
              <w:ind w:firstLine="0" w:firstLineChars="0"/>
              <w:textAlignment w:val="auto"/>
              <w:rPr>
                <w:b/>
                <w:bCs w:val="0"/>
                <w:lang w:val="zh-CN"/>
              </w:rPr>
            </w:pPr>
            <w:r>
              <w:rPr>
                <w:b/>
                <w:bCs w:val="0"/>
              </w:rPr>
              <w:t>二</w:t>
            </w:r>
            <w:r>
              <w:rPr>
                <w:b/>
                <w:bCs w:val="0"/>
                <w:lang w:val="zh-CN"/>
              </w:rPr>
              <w:t>、废水</w:t>
            </w:r>
          </w:p>
          <w:p w14:paraId="4D2D4226">
            <w:pPr>
              <w:pStyle w:val="41"/>
              <w:ind w:firstLine="482"/>
              <w:rPr>
                <w:rFonts w:hint="eastAsia" w:ascii="Times New Roman" w:hAnsi="Times New Roman" w:eastAsia="宋体" w:cs="Times New Roman"/>
                <w:b/>
                <w:bCs w:val="0"/>
                <w:kern w:val="2"/>
                <w:sz w:val="24"/>
                <w:szCs w:val="24"/>
                <w:lang w:val="en-US" w:eastAsia="zh-CN" w:bidi="ar-SA"/>
              </w:rPr>
            </w:pPr>
            <w:r>
              <w:rPr>
                <w:rFonts w:hint="eastAsia" w:ascii="Times New Roman" w:hAnsi="Times New Roman" w:eastAsia="宋体" w:cs="Times New Roman"/>
                <w:b/>
                <w:bCs w:val="0"/>
                <w:kern w:val="2"/>
                <w:sz w:val="24"/>
                <w:szCs w:val="24"/>
                <w:lang w:val="en-US" w:eastAsia="zh-CN" w:bidi="ar-SA"/>
              </w:rPr>
              <w:t>（1）源强核算</w:t>
            </w:r>
          </w:p>
          <w:p w14:paraId="5C4F89D7">
            <w:pPr>
              <w:pStyle w:val="41"/>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default" w:ascii="Times New Roman" w:hAnsi="Times New Roman" w:eastAsia="宋体" w:cs="Times New Roman"/>
                <w:bCs w:val="0"/>
                <w:color w:val="auto"/>
                <w:kern w:val="2"/>
                <w:sz w:val="24"/>
                <w:szCs w:val="24"/>
                <w:lang w:val="en-US" w:eastAsia="zh-CN" w:bidi="ar-SA"/>
              </w:rPr>
            </w:pPr>
            <w:r>
              <w:rPr>
                <w:rFonts w:hint="default" w:ascii="Times New Roman" w:hAnsi="Times New Roman" w:eastAsia="宋体" w:cs="Times New Roman"/>
                <w:bCs w:val="0"/>
                <w:color w:val="auto"/>
                <w:kern w:val="2"/>
                <w:sz w:val="24"/>
                <w:szCs w:val="24"/>
                <w:lang w:val="en-US" w:eastAsia="zh-CN" w:bidi="ar-SA"/>
              </w:rPr>
              <w:t>项目运营期废水主要为生活污水、餐饮废水和实验综合废水，其中餐饮废水通过油水分离器处理后，与生活污水</w:t>
            </w:r>
            <w:r>
              <w:rPr>
                <w:rFonts w:hint="eastAsia" w:cs="Times New Roman"/>
                <w:bCs w:val="0"/>
                <w:color w:val="auto"/>
                <w:kern w:val="2"/>
                <w:sz w:val="24"/>
                <w:szCs w:val="24"/>
                <w:lang w:val="en-US" w:eastAsia="zh-CN" w:bidi="ar-SA"/>
              </w:rPr>
              <w:t>和实验综合废水</w:t>
            </w:r>
            <w:r>
              <w:rPr>
                <w:rFonts w:hint="default" w:ascii="Times New Roman" w:hAnsi="Times New Roman" w:eastAsia="宋体" w:cs="Times New Roman"/>
                <w:bCs w:val="0"/>
                <w:color w:val="auto"/>
                <w:kern w:val="2"/>
                <w:sz w:val="24"/>
                <w:szCs w:val="24"/>
                <w:lang w:val="en-US" w:eastAsia="zh-CN" w:bidi="ar-SA"/>
              </w:rPr>
              <w:t>一同进入化粪池处理后排入市政污水管网，最终进入沣东南污水处理厂。项目排水量为15</w:t>
            </w:r>
            <w:r>
              <w:rPr>
                <w:rFonts w:hint="eastAsia" w:cs="Times New Roman"/>
                <w:bCs w:val="0"/>
                <w:color w:val="auto"/>
                <w:kern w:val="2"/>
                <w:sz w:val="24"/>
                <w:szCs w:val="24"/>
                <w:lang w:val="en-US" w:eastAsia="zh-CN" w:bidi="ar-SA"/>
              </w:rPr>
              <w:t>1</w:t>
            </w:r>
            <w:r>
              <w:rPr>
                <w:rFonts w:hint="default" w:ascii="Times New Roman" w:hAnsi="Times New Roman" w:eastAsia="宋体" w:cs="Times New Roman"/>
                <w:bCs w:val="0"/>
                <w:color w:val="auto"/>
                <w:kern w:val="2"/>
                <w:sz w:val="24"/>
                <w:szCs w:val="24"/>
                <w:lang w:val="en-US" w:eastAsia="zh-CN" w:bidi="ar-SA"/>
              </w:rPr>
              <w:t>.6m</w:t>
            </w:r>
            <w:r>
              <w:rPr>
                <w:rFonts w:hint="default" w:ascii="Times New Roman" w:hAnsi="Times New Roman" w:eastAsia="宋体" w:cs="Times New Roman"/>
                <w:bCs w:val="0"/>
                <w:color w:val="auto"/>
                <w:kern w:val="2"/>
                <w:sz w:val="24"/>
                <w:szCs w:val="24"/>
                <w:vertAlign w:val="superscript"/>
                <w:lang w:val="en-US" w:eastAsia="zh-CN" w:bidi="ar-SA"/>
              </w:rPr>
              <w:t>3</w:t>
            </w:r>
            <w:r>
              <w:rPr>
                <w:rFonts w:hint="default" w:ascii="Times New Roman" w:hAnsi="Times New Roman" w:eastAsia="宋体" w:cs="Times New Roman"/>
                <w:bCs w:val="0"/>
                <w:color w:val="auto"/>
                <w:kern w:val="2"/>
                <w:sz w:val="24"/>
                <w:szCs w:val="24"/>
                <w:lang w:val="en-US" w:eastAsia="zh-CN" w:bidi="ar-SA"/>
              </w:rPr>
              <w:t>/d。项目废水污染物产生及排放情况见表4-</w:t>
            </w:r>
            <w:r>
              <w:rPr>
                <w:rFonts w:hint="eastAsia" w:cs="Times New Roman"/>
                <w:bCs w:val="0"/>
                <w:color w:val="auto"/>
                <w:kern w:val="2"/>
                <w:sz w:val="24"/>
                <w:szCs w:val="24"/>
                <w:lang w:val="en-US" w:eastAsia="zh-CN" w:bidi="ar-SA"/>
              </w:rPr>
              <w:t>6</w:t>
            </w:r>
            <w:r>
              <w:rPr>
                <w:rFonts w:hint="default" w:ascii="Times New Roman" w:hAnsi="Times New Roman" w:eastAsia="宋体" w:cs="Times New Roman"/>
                <w:bCs w:val="0"/>
                <w:color w:val="auto"/>
                <w:kern w:val="2"/>
                <w:sz w:val="24"/>
                <w:szCs w:val="24"/>
                <w:lang w:val="en-US" w:eastAsia="zh-CN" w:bidi="ar-SA"/>
              </w:rPr>
              <w:t>。</w:t>
            </w:r>
          </w:p>
          <w:p w14:paraId="7267D55E">
            <w:pPr>
              <w:pStyle w:val="43"/>
              <w:keepNext w:val="0"/>
              <w:keepLines w:val="0"/>
              <w:pageBreakBefore w:val="0"/>
              <w:widowControl w:val="0"/>
              <w:kinsoku/>
              <w:wordWrap/>
              <w:overflowPunct/>
              <w:topLinePunct w:val="0"/>
              <w:autoSpaceDE/>
              <w:autoSpaceDN/>
              <w:bidi w:val="0"/>
              <w:adjustRightInd w:val="0"/>
              <w:snapToGrid w:val="0"/>
              <w:spacing w:before="0" w:beforeLines="0" w:line="240" w:lineRule="auto"/>
              <w:textAlignment w:val="auto"/>
              <w:rPr>
                <w:highlight w:val="none"/>
              </w:rPr>
            </w:pPr>
            <w:r>
              <w:rPr>
                <w:highlight w:val="none"/>
              </w:rPr>
              <w:t>表</w:t>
            </w:r>
            <w:r>
              <w:rPr>
                <w:rFonts w:hint="eastAsia"/>
                <w:highlight w:val="none"/>
              </w:rPr>
              <w:t>4</w:t>
            </w:r>
            <w:r>
              <w:rPr>
                <w:highlight w:val="none"/>
              </w:rPr>
              <w:t>-</w:t>
            </w:r>
            <w:r>
              <w:rPr>
                <w:rFonts w:hint="eastAsia"/>
                <w:highlight w:val="none"/>
                <w:lang w:val="en-US" w:eastAsia="zh-CN"/>
              </w:rPr>
              <w:t>6</w:t>
            </w:r>
            <w:r>
              <w:rPr>
                <w:highlight w:val="none"/>
              </w:rPr>
              <w:t xml:space="preserve">  项目废水水质情况表</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21"/>
              <w:gridCol w:w="1320"/>
              <w:gridCol w:w="903"/>
              <w:gridCol w:w="904"/>
              <w:gridCol w:w="904"/>
              <w:gridCol w:w="904"/>
              <w:gridCol w:w="906"/>
              <w:gridCol w:w="910"/>
              <w:gridCol w:w="905"/>
            </w:tblGrid>
            <w:tr w14:paraId="09A19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6" w:type="pct"/>
                  <w:tcBorders>
                    <w:tl2br w:val="nil"/>
                    <w:tr2bl w:val="nil"/>
                  </w:tcBorders>
                  <w:vAlign w:val="center"/>
                </w:tcPr>
                <w:p w14:paraId="1471764E">
                  <w:pPr>
                    <w:pStyle w:val="40"/>
                    <w:keepNext w:val="0"/>
                    <w:keepLines w:val="0"/>
                    <w:pageBreakBefore w:val="0"/>
                    <w:kinsoku/>
                    <w:wordWrap/>
                    <w:overflowPunct/>
                    <w:topLinePunct w:val="0"/>
                    <w:autoSpaceDE/>
                    <w:autoSpaceDN/>
                    <w:bidi w:val="0"/>
                    <w:spacing w:line="240" w:lineRule="auto"/>
                    <w:ind w:firstLine="0" w:firstLineChars="0"/>
                    <w:rPr>
                      <w:b/>
                      <w:bCs w:val="0"/>
                      <w:sz w:val="21"/>
                      <w:szCs w:val="21"/>
                      <w:highlight w:val="none"/>
                    </w:rPr>
                  </w:pPr>
                  <w:r>
                    <w:rPr>
                      <w:rFonts w:hint="eastAsia"/>
                      <w:b/>
                      <w:bCs w:val="0"/>
                      <w:sz w:val="21"/>
                      <w:szCs w:val="21"/>
                      <w:highlight w:val="none"/>
                    </w:rPr>
                    <w:t>废水类别及废水量</w:t>
                  </w:r>
                </w:p>
              </w:tc>
              <w:tc>
                <w:tcPr>
                  <w:tcW w:w="769" w:type="pct"/>
                  <w:tcBorders>
                    <w:tl2br w:val="nil"/>
                    <w:tr2bl w:val="nil"/>
                  </w:tcBorders>
                  <w:vAlign w:val="center"/>
                </w:tcPr>
                <w:p w14:paraId="5FD44B40">
                  <w:pPr>
                    <w:pStyle w:val="40"/>
                    <w:keepNext w:val="0"/>
                    <w:keepLines w:val="0"/>
                    <w:pageBreakBefore w:val="0"/>
                    <w:kinsoku/>
                    <w:wordWrap/>
                    <w:overflowPunct/>
                    <w:topLinePunct w:val="0"/>
                    <w:autoSpaceDE/>
                    <w:autoSpaceDN/>
                    <w:bidi w:val="0"/>
                    <w:spacing w:line="240" w:lineRule="auto"/>
                    <w:ind w:firstLine="0" w:firstLineChars="0"/>
                    <w:rPr>
                      <w:b/>
                      <w:bCs w:val="0"/>
                      <w:sz w:val="21"/>
                      <w:szCs w:val="21"/>
                      <w:highlight w:val="none"/>
                    </w:rPr>
                  </w:pPr>
                  <w:r>
                    <w:rPr>
                      <w:rFonts w:hint="eastAsia"/>
                      <w:b/>
                      <w:bCs w:val="0"/>
                      <w:sz w:val="21"/>
                      <w:szCs w:val="21"/>
                      <w:highlight w:val="none"/>
                    </w:rPr>
                    <w:t>/</w:t>
                  </w:r>
                </w:p>
              </w:tc>
              <w:tc>
                <w:tcPr>
                  <w:tcW w:w="526" w:type="pct"/>
                  <w:tcBorders>
                    <w:tl2br w:val="nil"/>
                    <w:tr2bl w:val="nil"/>
                  </w:tcBorders>
                  <w:vAlign w:val="center"/>
                </w:tcPr>
                <w:p w14:paraId="6E57C9F0">
                  <w:pPr>
                    <w:pStyle w:val="40"/>
                    <w:keepNext w:val="0"/>
                    <w:keepLines w:val="0"/>
                    <w:pageBreakBefore w:val="0"/>
                    <w:kinsoku/>
                    <w:wordWrap/>
                    <w:overflowPunct/>
                    <w:topLinePunct w:val="0"/>
                    <w:autoSpaceDE/>
                    <w:autoSpaceDN/>
                    <w:bidi w:val="0"/>
                    <w:spacing w:line="240" w:lineRule="auto"/>
                    <w:ind w:firstLine="0" w:firstLineChars="0"/>
                    <w:rPr>
                      <w:b/>
                      <w:bCs w:val="0"/>
                      <w:sz w:val="21"/>
                      <w:szCs w:val="21"/>
                      <w:highlight w:val="none"/>
                    </w:rPr>
                  </w:pPr>
                  <w:r>
                    <w:rPr>
                      <w:rFonts w:hint="eastAsia"/>
                      <w:b/>
                      <w:bCs w:val="0"/>
                      <w:sz w:val="21"/>
                      <w:szCs w:val="21"/>
                      <w:highlight w:val="none"/>
                    </w:rPr>
                    <w:t>COD</w:t>
                  </w:r>
                </w:p>
              </w:tc>
              <w:tc>
                <w:tcPr>
                  <w:tcW w:w="526" w:type="pct"/>
                  <w:tcBorders>
                    <w:tl2br w:val="nil"/>
                    <w:tr2bl w:val="nil"/>
                  </w:tcBorders>
                  <w:vAlign w:val="center"/>
                </w:tcPr>
                <w:p w14:paraId="38EAE769">
                  <w:pPr>
                    <w:pStyle w:val="40"/>
                    <w:keepNext w:val="0"/>
                    <w:keepLines w:val="0"/>
                    <w:pageBreakBefore w:val="0"/>
                    <w:kinsoku/>
                    <w:wordWrap/>
                    <w:overflowPunct/>
                    <w:topLinePunct w:val="0"/>
                    <w:autoSpaceDE/>
                    <w:autoSpaceDN/>
                    <w:bidi w:val="0"/>
                    <w:spacing w:line="240" w:lineRule="auto"/>
                    <w:ind w:firstLine="0" w:firstLineChars="0"/>
                    <w:rPr>
                      <w:b/>
                      <w:bCs w:val="0"/>
                      <w:sz w:val="21"/>
                      <w:szCs w:val="21"/>
                      <w:highlight w:val="none"/>
                    </w:rPr>
                  </w:pPr>
                  <w:r>
                    <w:rPr>
                      <w:rFonts w:hint="eastAsia"/>
                      <w:b/>
                      <w:bCs w:val="0"/>
                      <w:sz w:val="21"/>
                      <w:szCs w:val="21"/>
                      <w:highlight w:val="none"/>
                    </w:rPr>
                    <w:t>B</w:t>
                  </w:r>
                  <w:r>
                    <w:rPr>
                      <w:b/>
                      <w:bCs w:val="0"/>
                      <w:sz w:val="21"/>
                      <w:szCs w:val="21"/>
                      <w:highlight w:val="none"/>
                    </w:rPr>
                    <w:t>OD</w:t>
                  </w:r>
                  <w:r>
                    <w:rPr>
                      <w:b/>
                      <w:bCs w:val="0"/>
                      <w:sz w:val="21"/>
                      <w:szCs w:val="21"/>
                      <w:highlight w:val="none"/>
                      <w:vertAlign w:val="subscript"/>
                    </w:rPr>
                    <w:t>5</w:t>
                  </w:r>
                </w:p>
              </w:tc>
              <w:tc>
                <w:tcPr>
                  <w:tcW w:w="526" w:type="pct"/>
                  <w:tcBorders>
                    <w:tl2br w:val="nil"/>
                    <w:tr2bl w:val="nil"/>
                  </w:tcBorders>
                  <w:vAlign w:val="center"/>
                </w:tcPr>
                <w:p w14:paraId="26BC7E4A">
                  <w:pPr>
                    <w:pStyle w:val="40"/>
                    <w:keepNext w:val="0"/>
                    <w:keepLines w:val="0"/>
                    <w:pageBreakBefore w:val="0"/>
                    <w:kinsoku/>
                    <w:wordWrap/>
                    <w:overflowPunct/>
                    <w:topLinePunct w:val="0"/>
                    <w:autoSpaceDE/>
                    <w:autoSpaceDN/>
                    <w:bidi w:val="0"/>
                    <w:spacing w:line="240" w:lineRule="auto"/>
                    <w:ind w:firstLine="0" w:firstLineChars="0"/>
                    <w:rPr>
                      <w:b/>
                      <w:bCs w:val="0"/>
                      <w:sz w:val="21"/>
                      <w:szCs w:val="21"/>
                      <w:highlight w:val="none"/>
                    </w:rPr>
                  </w:pPr>
                  <w:r>
                    <w:rPr>
                      <w:rFonts w:hint="eastAsia"/>
                      <w:b/>
                      <w:bCs w:val="0"/>
                      <w:sz w:val="21"/>
                      <w:szCs w:val="21"/>
                      <w:highlight w:val="none"/>
                    </w:rPr>
                    <w:t>S</w:t>
                  </w:r>
                  <w:r>
                    <w:rPr>
                      <w:b/>
                      <w:bCs w:val="0"/>
                      <w:sz w:val="21"/>
                      <w:szCs w:val="21"/>
                      <w:highlight w:val="none"/>
                    </w:rPr>
                    <w:t>S</w:t>
                  </w:r>
                </w:p>
              </w:tc>
              <w:tc>
                <w:tcPr>
                  <w:tcW w:w="526" w:type="pct"/>
                  <w:tcBorders>
                    <w:tl2br w:val="nil"/>
                    <w:tr2bl w:val="nil"/>
                  </w:tcBorders>
                  <w:vAlign w:val="center"/>
                </w:tcPr>
                <w:p w14:paraId="284599E0">
                  <w:pPr>
                    <w:pStyle w:val="40"/>
                    <w:keepNext w:val="0"/>
                    <w:keepLines w:val="0"/>
                    <w:pageBreakBefore w:val="0"/>
                    <w:kinsoku/>
                    <w:wordWrap/>
                    <w:overflowPunct/>
                    <w:topLinePunct w:val="0"/>
                    <w:autoSpaceDE/>
                    <w:autoSpaceDN/>
                    <w:bidi w:val="0"/>
                    <w:spacing w:line="240" w:lineRule="auto"/>
                    <w:ind w:firstLine="0" w:firstLineChars="0"/>
                    <w:rPr>
                      <w:b/>
                      <w:bCs w:val="0"/>
                      <w:sz w:val="21"/>
                      <w:szCs w:val="21"/>
                      <w:highlight w:val="none"/>
                    </w:rPr>
                  </w:pPr>
                  <w:r>
                    <w:rPr>
                      <w:rFonts w:hint="eastAsia"/>
                      <w:b/>
                      <w:bCs w:val="0"/>
                      <w:sz w:val="21"/>
                      <w:szCs w:val="21"/>
                      <w:highlight w:val="none"/>
                    </w:rPr>
                    <w:t>氨氮</w:t>
                  </w:r>
                </w:p>
              </w:tc>
              <w:tc>
                <w:tcPr>
                  <w:tcW w:w="528" w:type="pct"/>
                  <w:tcBorders>
                    <w:tl2br w:val="nil"/>
                    <w:tr2bl w:val="nil"/>
                  </w:tcBorders>
                  <w:vAlign w:val="center"/>
                </w:tcPr>
                <w:p w14:paraId="22B9C712">
                  <w:pPr>
                    <w:pStyle w:val="40"/>
                    <w:keepNext w:val="0"/>
                    <w:keepLines w:val="0"/>
                    <w:pageBreakBefore w:val="0"/>
                    <w:kinsoku/>
                    <w:wordWrap/>
                    <w:overflowPunct/>
                    <w:topLinePunct w:val="0"/>
                    <w:autoSpaceDE/>
                    <w:autoSpaceDN/>
                    <w:bidi w:val="0"/>
                    <w:spacing w:line="240" w:lineRule="auto"/>
                    <w:ind w:firstLine="0" w:firstLineChars="0"/>
                    <w:rPr>
                      <w:b/>
                      <w:bCs w:val="0"/>
                      <w:sz w:val="21"/>
                      <w:szCs w:val="21"/>
                      <w:highlight w:val="none"/>
                    </w:rPr>
                  </w:pPr>
                  <w:r>
                    <w:rPr>
                      <w:rFonts w:hint="eastAsia"/>
                      <w:b/>
                      <w:bCs w:val="0"/>
                      <w:sz w:val="21"/>
                      <w:szCs w:val="21"/>
                      <w:highlight w:val="none"/>
                    </w:rPr>
                    <w:t>TN</w:t>
                  </w:r>
                </w:p>
              </w:tc>
              <w:tc>
                <w:tcPr>
                  <w:tcW w:w="530" w:type="pct"/>
                  <w:tcBorders>
                    <w:tl2br w:val="nil"/>
                    <w:tr2bl w:val="nil"/>
                  </w:tcBorders>
                  <w:vAlign w:val="center"/>
                </w:tcPr>
                <w:p w14:paraId="6F33C42F">
                  <w:pPr>
                    <w:pStyle w:val="40"/>
                    <w:keepNext w:val="0"/>
                    <w:keepLines w:val="0"/>
                    <w:pageBreakBefore w:val="0"/>
                    <w:kinsoku/>
                    <w:wordWrap/>
                    <w:overflowPunct/>
                    <w:topLinePunct w:val="0"/>
                    <w:autoSpaceDE/>
                    <w:autoSpaceDN/>
                    <w:bidi w:val="0"/>
                    <w:spacing w:line="240" w:lineRule="auto"/>
                    <w:ind w:firstLine="0" w:firstLineChars="0"/>
                    <w:rPr>
                      <w:b/>
                      <w:bCs w:val="0"/>
                      <w:sz w:val="21"/>
                      <w:szCs w:val="21"/>
                      <w:highlight w:val="none"/>
                    </w:rPr>
                  </w:pPr>
                  <w:r>
                    <w:rPr>
                      <w:rFonts w:hint="eastAsia"/>
                      <w:b/>
                      <w:bCs w:val="0"/>
                      <w:sz w:val="21"/>
                      <w:szCs w:val="21"/>
                      <w:highlight w:val="none"/>
                    </w:rPr>
                    <w:t>TP</w:t>
                  </w:r>
                </w:p>
              </w:tc>
              <w:tc>
                <w:tcPr>
                  <w:tcW w:w="527" w:type="pct"/>
                  <w:tcBorders>
                    <w:tl2br w:val="nil"/>
                    <w:tr2bl w:val="nil"/>
                  </w:tcBorders>
                  <w:vAlign w:val="center"/>
                </w:tcPr>
                <w:p w14:paraId="38862AA3">
                  <w:pPr>
                    <w:pStyle w:val="40"/>
                    <w:keepNext w:val="0"/>
                    <w:keepLines w:val="0"/>
                    <w:pageBreakBefore w:val="0"/>
                    <w:kinsoku/>
                    <w:wordWrap/>
                    <w:overflowPunct/>
                    <w:topLinePunct w:val="0"/>
                    <w:autoSpaceDE/>
                    <w:autoSpaceDN/>
                    <w:bidi w:val="0"/>
                    <w:spacing w:line="240" w:lineRule="auto"/>
                    <w:ind w:firstLine="0" w:firstLineChars="0"/>
                    <w:rPr>
                      <w:rFonts w:hint="default" w:eastAsia="宋体"/>
                      <w:b/>
                      <w:bCs w:val="0"/>
                      <w:sz w:val="21"/>
                      <w:szCs w:val="21"/>
                      <w:highlight w:val="none"/>
                      <w:lang w:val="en-US" w:eastAsia="zh-CN"/>
                    </w:rPr>
                  </w:pPr>
                  <w:r>
                    <w:rPr>
                      <w:rFonts w:hint="eastAsia"/>
                      <w:b/>
                      <w:bCs w:val="0"/>
                      <w:sz w:val="21"/>
                      <w:szCs w:val="21"/>
                      <w:highlight w:val="none"/>
                      <w:lang w:val="en-US" w:eastAsia="zh-CN"/>
                    </w:rPr>
                    <w:t>动植物油</w:t>
                  </w:r>
                </w:p>
              </w:tc>
            </w:tr>
            <w:tr w14:paraId="05A37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6" w:type="pct"/>
                  <w:vMerge w:val="restart"/>
                  <w:tcBorders>
                    <w:tl2br w:val="nil"/>
                    <w:tr2bl w:val="nil"/>
                  </w:tcBorders>
                  <w:vAlign w:val="center"/>
                </w:tcPr>
                <w:p w14:paraId="0599593A">
                  <w:pPr>
                    <w:pStyle w:val="40"/>
                    <w:keepNext w:val="0"/>
                    <w:keepLines w:val="0"/>
                    <w:pageBreakBefore w:val="0"/>
                    <w:kinsoku/>
                    <w:wordWrap/>
                    <w:overflowPunct/>
                    <w:topLinePunct w:val="0"/>
                    <w:autoSpaceDE/>
                    <w:autoSpaceDN/>
                    <w:bidi w:val="0"/>
                    <w:spacing w:line="240" w:lineRule="auto"/>
                    <w:ind w:firstLine="0" w:firstLineChars="0"/>
                    <w:rPr>
                      <w:rFonts w:hint="eastAsia"/>
                      <w:sz w:val="21"/>
                      <w:szCs w:val="21"/>
                      <w:highlight w:val="none"/>
                      <w:lang w:val="en-US" w:eastAsia="zh-CN"/>
                    </w:rPr>
                  </w:pPr>
                  <w:r>
                    <w:rPr>
                      <w:rFonts w:hint="eastAsia"/>
                      <w:sz w:val="21"/>
                      <w:szCs w:val="21"/>
                      <w:highlight w:val="none"/>
                    </w:rPr>
                    <w:t>生活污水</w:t>
                  </w:r>
                  <w:r>
                    <w:rPr>
                      <w:rFonts w:hint="eastAsia"/>
                      <w:color w:val="auto"/>
                      <w:sz w:val="21"/>
                      <w:szCs w:val="21"/>
                      <w:highlight w:val="none"/>
                      <w:lang w:val="en-US" w:eastAsia="zh-CN"/>
                    </w:rPr>
                    <w:t>76.5</w:t>
                  </w:r>
                  <w:r>
                    <w:rPr>
                      <w:rFonts w:hint="eastAsia"/>
                      <w:sz w:val="21"/>
                      <w:szCs w:val="21"/>
                      <w:highlight w:val="none"/>
                    </w:rPr>
                    <w:t>m</w:t>
                  </w:r>
                  <w:r>
                    <w:rPr>
                      <w:rFonts w:hint="eastAsia"/>
                      <w:sz w:val="21"/>
                      <w:szCs w:val="21"/>
                      <w:highlight w:val="none"/>
                      <w:vertAlign w:val="superscript"/>
                    </w:rPr>
                    <w:t>3</w:t>
                  </w:r>
                  <w:r>
                    <w:rPr>
                      <w:rFonts w:hint="eastAsia"/>
                      <w:sz w:val="21"/>
                      <w:szCs w:val="21"/>
                      <w:highlight w:val="none"/>
                    </w:rPr>
                    <w:t>/</w:t>
                  </w:r>
                  <w:r>
                    <w:rPr>
                      <w:rFonts w:hint="eastAsia"/>
                      <w:sz w:val="21"/>
                      <w:szCs w:val="21"/>
                      <w:highlight w:val="none"/>
                      <w:lang w:val="en-US" w:eastAsia="zh-CN"/>
                    </w:rPr>
                    <w:t>d</w:t>
                  </w:r>
                </w:p>
                <w:p w14:paraId="09086CC0">
                  <w:pPr>
                    <w:pStyle w:val="40"/>
                    <w:keepNext w:val="0"/>
                    <w:keepLines w:val="0"/>
                    <w:pageBreakBefore w:val="0"/>
                    <w:kinsoku/>
                    <w:wordWrap/>
                    <w:overflowPunct/>
                    <w:topLinePunct w:val="0"/>
                    <w:autoSpaceDE/>
                    <w:autoSpaceDN/>
                    <w:bidi w:val="0"/>
                    <w:spacing w:line="240" w:lineRule="auto"/>
                    <w:ind w:firstLine="0" w:firstLineChars="0"/>
                    <w:rPr>
                      <w:rFonts w:hint="eastAsia"/>
                      <w:color w:val="auto"/>
                      <w:sz w:val="21"/>
                      <w:szCs w:val="21"/>
                      <w:highlight w:val="none"/>
                      <w:lang w:val="en-US" w:eastAsia="zh-CN"/>
                    </w:rPr>
                  </w:pPr>
                  <w:r>
                    <w:rPr>
                      <w:rFonts w:hint="eastAsia"/>
                      <w:color w:val="auto"/>
                      <w:sz w:val="21"/>
                      <w:szCs w:val="21"/>
                      <w:highlight w:val="none"/>
                      <w:lang w:val="en-US" w:eastAsia="zh-CN"/>
                    </w:rPr>
                    <w:t>餐饮废水</w:t>
                  </w:r>
                </w:p>
                <w:p w14:paraId="7393A276">
                  <w:pPr>
                    <w:pStyle w:val="40"/>
                    <w:keepNext w:val="0"/>
                    <w:keepLines w:val="0"/>
                    <w:pageBreakBefore w:val="0"/>
                    <w:kinsoku/>
                    <w:wordWrap/>
                    <w:overflowPunct/>
                    <w:topLinePunct w:val="0"/>
                    <w:autoSpaceDE/>
                    <w:autoSpaceDN/>
                    <w:bidi w:val="0"/>
                    <w:spacing w:line="240" w:lineRule="auto"/>
                    <w:ind w:firstLine="0" w:firstLineChars="0"/>
                    <w:rPr>
                      <w:rFonts w:hint="eastAsia"/>
                      <w:color w:val="auto"/>
                      <w:sz w:val="21"/>
                      <w:szCs w:val="21"/>
                      <w:highlight w:val="none"/>
                      <w:lang w:val="en-US" w:eastAsia="zh-CN"/>
                    </w:rPr>
                  </w:pPr>
                  <w:r>
                    <w:rPr>
                      <w:rFonts w:hint="eastAsia"/>
                      <w:color w:val="auto"/>
                      <w:sz w:val="21"/>
                      <w:szCs w:val="21"/>
                      <w:highlight w:val="none"/>
                      <w:lang w:val="en-US" w:eastAsia="zh-CN"/>
                    </w:rPr>
                    <w:t>73.5m</w:t>
                  </w:r>
                  <w:r>
                    <w:rPr>
                      <w:rFonts w:hint="eastAsia"/>
                      <w:color w:val="auto"/>
                      <w:sz w:val="21"/>
                      <w:szCs w:val="21"/>
                      <w:highlight w:val="none"/>
                      <w:vertAlign w:val="superscript"/>
                      <w:lang w:val="en-US" w:eastAsia="zh-CN"/>
                    </w:rPr>
                    <w:t>3</w:t>
                  </w:r>
                  <w:r>
                    <w:rPr>
                      <w:rFonts w:hint="eastAsia"/>
                      <w:color w:val="auto"/>
                      <w:sz w:val="21"/>
                      <w:szCs w:val="21"/>
                      <w:highlight w:val="none"/>
                      <w:lang w:val="en-US" w:eastAsia="zh-CN"/>
                    </w:rPr>
                    <w:t>/d</w:t>
                  </w:r>
                </w:p>
                <w:p w14:paraId="7A74D8EA">
                  <w:pPr>
                    <w:pStyle w:val="40"/>
                    <w:keepNext w:val="0"/>
                    <w:keepLines w:val="0"/>
                    <w:pageBreakBefore w:val="0"/>
                    <w:kinsoku/>
                    <w:wordWrap/>
                    <w:overflowPunct/>
                    <w:topLinePunct w:val="0"/>
                    <w:autoSpaceDE/>
                    <w:autoSpaceDN/>
                    <w:bidi w:val="0"/>
                    <w:spacing w:line="240" w:lineRule="auto"/>
                    <w:ind w:firstLine="0" w:firstLineChars="0"/>
                    <w:rPr>
                      <w:rFonts w:hint="eastAsia"/>
                      <w:color w:val="auto"/>
                      <w:sz w:val="21"/>
                      <w:szCs w:val="21"/>
                      <w:highlight w:val="none"/>
                      <w:lang w:val="en-US" w:eastAsia="zh-CN"/>
                    </w:rPr>
                  </w:pPr>
                  <w:r>
                    <w:rPr>
                      <w:rFonts w:hint="eastAsia"/>
                      <w:color w:val="auto"/>
                      <w:sz w:val="21"/>
                      <w:szCs w:val="21"/>
                      <w:highlight w:val="none"/>
                      <w:lang w:val="en-US" w:eastAsia="zh-CN"/>
                    </w:rPr>
                    <w:t>实验综合用水</w:t>
                  </w:r>
                </w:p>
                <w:p w14:paraId="090EC7E0">
                  <w:pPr>
                    <w:pStyle w:val="40"/>
                    <w:keepNext w:val="0"/>
                    <w:keepLines w:val="0"/>
                    <w:pageBreakBefore w:val="0"/>
                    <w:kinsoku/>
                    <w:wordWrap/>
                    <w:overflowPunct/>
                    <w:topLinePunct w:val="0"/>
                    <w:autoSpaceDE/>
                    <w:autoSpaceDN/>
                    <w:bidi w:val="0"/>
                    <w:spacing w:line="240" w:lineRule="auto"/>
                    <w:ind w:firstLine="0" w:firstLineChars="0"/>
                    <w:rPr>
                      <w:rFonts w:hint="default"/>
                      <w:color w:val="auto"/>
                      <w:sz w:val="21"/>
                      <w:szCs w:val="21"/>
                      <w:highlight w:val="none"/>
                      <w:lang w:val="en-US" w:eastAsia="zh-CN"/>
                    </w:rPr>
                  </w:pPr>
                  <w:r>
                    <w:rPr>
                      <w:rFonts w:hint="eastAsia"/>
                      <w:color w:val="auto"/>
                      <w:sz w:val="21"/>
                      <w:szCs w:val="21"/>
                      <w:highlight w:val="none"/>
                      <w:lang w:val="en-US" w:eastAsia="zh-CN"/>
                    </w:rPr>
                    <w:t>1.6m</w:t>
                  </w:r>
                  <w:r>
                    <w:rPr>
                      <w:rFonts w:hint="eastAsia"/>
                      <w:color w:val="auto"/>
                      <w:sz w:val="21"/>
                      <w:szCs w:val="21"/>
                      <w:highlight w:val="none"/>
                      <w:vertAlign w:val="superscript"/>
                      <w:lang w:val="en-US" w:eastAsia="zh-CN"/>
                    </w:rPr>
                    <w:t>3</w:t>
                  </w:r>
                  <w:r>
                    <w:rPr>
                      <w:rFonts w:hint="eastAsia"/>
                      <w:color w:val="auto"/>
                      <w:sz w:val="21"/>
                      <w:szCs w:val="21"/>
                      <w:highlight w:val="none"/>
                      <w:lang w:val="en-US" w:eastAsia="zh-CN"/>
                    </w:rPr>
                    <w:t>/d</w:t>
                  </w:r>
                </w:p>
                <w:p w14:paraId="7F6DC495">
                  <w:pPr>
                    <w:pStyle w:val="40"/>
                    <w:keepNext w:val="0"/>
                    <w:keepLines w:val="0"/>
                    <w:pageBreakBefore w:val="0"/>
                    <w:kinsoku/>
                    <w:wordWrap/>
                    <w:overflowPunct/>
                    <w:topLinePunct w:val="0"/>
                    <w:autoSpaceDE/>
                    <w:autoSpaceDN/>
                    <w:bidi w:val="0"/>
                    <w:spacing w:line="240" w:lineRule="auto"/>
                    <w:ind w:firstLine="0" w:firstLineChars="0"/>
                    <w:rPr>
                      <w:rFonts w:hint="default"/>
                      <w:color w:val="auto"/>
                      <w:sz w:val="21"/>
                      <w:szCs w:val="21"/>
                      <w:highlight w:val="none"/>
                      <w:lang w:val="en-US" w:eastAsia="zh-CN"/>
                    </w:rPr>
                  </w:pPr>
                </w:p>
              </w:tc>
              <w:tc>
                <w:tcPr>
                  <w:tcW w:w="769" w:type="pct"/>
                  <w:tcBorders>
                    <w:tl2br w:val="nil"/>
                    <w:tr2bl w:val="nil"/>
                  </w:tcBorders>
                  <w:vAlign w:val="center"/>
                </w:tcPr>
                <w:p w14:paraId="6700B725">
                  <w:pPr>
                    <w:pStyle w:val="40"/>
                    <w:keepNext w:val="0"/>
                    <w:keepLines w:val="0"/>
                    <w:pageBreakBefore w:val="0"/>
                    <w:kinsoku/>
                    <w:wordWrap/>
                    <w:overflowPunct/>
                    <w:topLinePunct w:val="0"/>
                    <w:autoSpaceDE/>
                    <w:autoSpaceDN/>
                    <w:bidi w:val="0"/>
                    <w:spacing w:line="240" w:lineRule="auto"/>
                    <w:ind w:firstLine="0" w:firstLineChars="0"/>
                    <w:rPr>
                      <w:sz w:val="21"/>
                      <w:szCs w:val="21"/>
                      <w:highlight w:val="none"/>
                    </w:rPr>
                  </w:pPr>
                  <w:r>
                    <w:rPr>
                      <w:rFonts w:hint="eastAsia"/>
                      <w:sz w:val="21"/>
                      <w:szCs w:val="21"/>
                      <w:highlight w:val="none"/>
                    </w:rPr>
                    <w:t>产生量t/a</w:t>
                  </w:r>
                </w:p>
              </w:tc>
              <w:tc>
                <w:tcPr>
                  <w:tcW w:w="526" w:type="pct"/>
                  <w:tcBorders>
                    <w:tl2br w:val="nil"/>
                    <w:tr2bl w:val="nil"/>
                  </w:tcBorders>
                  <w:vAlign w:val="center"/>
                </w:tcPr>
                <w:p w14:paraId="217F05AC">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19.03</w:t>
                  </w:r>
                </w:p>
              </w:tc>
              <w:tc>
                <w:tcPr>
                  <w:tcW w:w="526" w:type="pct"/>
                  <w:tcBorders>
                    <w:tl2br w:val="nil"/>
                    <w:tr2bl w:val="nil"/>
                  </w:tcBorders>
                  <w:vAlign w:val="center"/>
                </w:tcPr>
                <w:p w14:paraId="21095B4C">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11.42</w:t>
                  </w:r>
                </w:p>
              </w:tc>
              <w:tc>
                <w:tcPr>
                  <w:tcW w:w="526" w:type="pct"/>
                  <w:tcBorders>
                    <w:tl2br w:val="nil"/>
                    <w:tr2bl w:val="nil"/>
                  </w:tcBorders>
                  <w:vAlign w:val="center"/>
                </w:tcPr>
                <w:p w14:paraId="7F0034D8">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15.22</w:t>
                  </w:r>
                </w:p>
              </w:tc>
              <w:tc>
                <w:tcPr>
                  <w:tcW w:w="526" w:type="pct"/>
                  <w:tcBorders>
                    <w:tl2br w:val="nil"/>
                    <w:tr2bl w:val="nil"/>
                  </w:tcBorders>
                  <w:vAlign w:val="center"/>
                </w:tcPr>
                <w:p w14:paraId="45F83230">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1.71</w:t>
                  </w:r>
                </w:p>
              </w:tc>
              <w:tc>
                <w:tcPr>
                  <w:tcW w:w="528" w:type="pct"/>
                  <w:tcBorders>
                    <w:tl2br w:val="nil"/>
                    <w:tr2bl w:val="nil"/>
                  </w:tcBorders>
                  <w:vAlign w:val="center"/>
                </w:tcPr>
                <w:p w14:paraId="22BBFCA3">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eastAsia="宋体"/>
                      <w:color w:val="auto"/>
                      <w:sz w:val="21"/>
                      <w:szCs w:val="21"/>
                      <w:highlight w:val="none"/>
                      <w:lang w:val="en-US" w:eastAsia="zh-CN"/>
                    </w:rPr>
                  </w:pPr>
                  <w:r>
                    <w:rPr>
                      <w:rFonts w:hint="eastAsia"/>
                      <w:color w:val="auto"/>
                      <w:sz w:val="21"/>
                      <w:szCs w:val="21"/>
                      <w:highlight w:val="none"/>
                      <w:lang w:val="en-US" w:eastAsia="zh-CN"/>
                    </w:rPr>
                    <w:t>2.66</w:t>
                  </w:r>
                </w:p>
              </w:tc>
              <w:tc>
                <w:tcPr>
                  <w:tcW w:w="530" w:type="pct"/>
                  <w:tcBorders>
                    <w:tl2br w:val="nil"/>
                    <w:tr2bl w:val="nil"/>
                  </w:tcBorders>
                  <w:vAlign w:val="center"/>
                </w:tcPr>
                <w:p w14:paraId="2B665A7B">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eastAsia="宋体"/>
                      <w:color w:val="auto"/>
                      <w:sz w:val="21"/>
                      <w:szCs w:val="21"/>
                      <w:highlight w:val="none"/>
                      <w:lang w:val="en-US" w:eastAsia="zh-CN"/>
                    </w:rPr>
                  </w:pPr>
                  <w:r>
                    <w:rPr>
                      <w:rFonts w:hint="eastAsia"/>
                      <w:color w:val="auto"/>
                      <w:sz w:val="21"/>
                      <w:szCs w:val="21"/>
                      <w:highlight w:val="none"/>
                      <w:lang w:val="en-US" w:eastAsia="zh-CN"/>
                    </w:rPr>
                    <w:t>0.30</w:t>
                  </w:r>
                </w:p>
              </w:tc>
              <w:tc>
                <w:tcPr>
                  <w:tcW w:w="527" w:type="pct"/>
                  <w:tcBorders>
                    <w:tl2br w:val="nil"/>
                    <w:tr2bl w:val="nil"/>
                  </w:tcBorders>
                  <w:vAlign w:val="center"/>
                </w:tcPr>
                <w:p w14:paraId="29C62817">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color w:val="auto"/>
                      <w:sz w:val="21"/>
                      <w:szCs w:val="21"/>
                      <w:highlight w:val="none"/>
                      <w:lang w:val="en-US" w:eastAsia="zh-CN"/>
                    </w:rPr>
                  </w:pPr>
                  <w:r>
                    <w:rPr>
                      <w:rFonts w:hint="eastAsia"/>
                      <w:color w:val="auto"/>
                      <w:sz w:val="21"/>
                      <w:szCs w:val="21"/>
                      <w:highlight w:val="none"/>
                      <w:lang w:val="en-US" w:eastAsia="zh-CN"/>
                    </w:rPr>
                    <w:t>3.81</w:t>
                  </w:r>
                </w:p>
              </w:tc>
            </w:tr>
            <w:tr w14:paraId="17C0D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6" w:type="pct"/>
                  <w:vMerge w:val="continue"/>
                  <w:tcBorders>
                    <w:tl2br w:val="nil"/>
                    <w:tr2bl w:val="nil"/>
                  </w:tcBorders>
                  <w:vAlign w:val="center"/>
                </w:tcPr>
                <w:p w14:paraId="64CDC1D8">
                  <w:pPr>
                    <w:pStyle w:val="40"/>
                    <w:keepNext w:val="0"/>
                    <w:keepLines w:val="0"/>
                    <w:pageBreakBefore w:val="0"/>
                    <w:kinsoku/>
                    <w:wordWrap/>
                    <w:overflowPunct/>
                    <w:topLinePunct w:val="0"/>
                    <w:autoSpaceDE/>
                    <w:autoSpaceDN/>
                    <w:bidi w:val="0"/>
                    <w:spacing w:line="240" w:lineRule="auto"/>
                    <w:ind w:firstLine="0" w:firstLineChars="0"/>
                    <w:rPr>
                      <w:sz w:val="21"/>
                      <w:szCs w:val="21"/>
                      <w:highlight w:val="none"/>
                    </w:rPr>
                  </w:pPr>
                </w:p>
              </w:tc>
              <w:tc>
                <w:tcPr>
                  <w:tcW w:w="769" w:type="pct"/>
                  <w:tcBorders>
                    <w:tl2br w:val="nil"/>
                    <w:tr2bl w:val="nil"/>
                  </w:tcBorders>
                  <w:vAlign w:val="center"/>
                </w:tcPr>
                <w:p w14:paraId="4492663E">
                  <w:pPr>
                    <w:pStyle w:val="40"/>
                    <w:keepNext w:val="0"/>
                    <w:keepLines w:val="0"/>
                    <w:pageBreakBefore w:val="0"/>
                    <w:kinsoku/>
                    <w:wordWrap/>
                    <w:overflowPunct/>
                    <w:topLinePunct w:val="0"/>
                    <w:autoSpaceDE/>
                    <w:autoSpaceDN/>
                    <w:bidi w:val="0"/>
                    <w:spacing w:line="240" w:lineRule="auto"/>
                    <w:ind w:firstLine="0" w:firstLineChars="0"/>
                    <w:rPr>
                      <w:sz w:val="21"/>
                      <w:szCs w:val="21"/>
                      <w:highlight w:val="none"/>
                    </w:rPr>
                  </w:pPr>
                  <w:r>
                    <w:rPr>
                      <w:rFonts w:hint="eastAsia"/>
                      <w:sz w:val="21"/>
                      <w:szCs w:val="21"/>
                      <w:highlight w:val="none"/>
                    </w:rPr>
                    <w:t>产生浓度mg/L</w:t>
                  </w:r>
                </w:p>
              </w:tc>
              <w:tc>
                <w:tcPr>
                  <w:tcW w:w="526" w:type="pct"/>
                  <w:tcBorders>
                    <w:tl2br w:val="nil"/>
                    <w:tr2bl w:val="nil"/>
                  </w:tcBorders>
                  <w:vAlign w:val="center"/>
                </w:tcPr>
                <w:p w14:paraId="3F692C25">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rPr>
                    <w:t>500</w:t>
                  </w:r>
                </w:p>
              </w:tc>
              <w:tc>
                <w:tcPr>
                  <w:tcW w:w="526" w:type="pct"/>
                  <w:tcBorders>
                    <w:tl2br w:val="nil"/>
                    <w:tr2bl w:val="nil"/>
                  </w:tcBorders>
                  <w:vAlign w:val="center"/>
                </w:tcPr>
                <w:p w14:paraId="40CF5631">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rPr>
                    <w:t>300</w:t>
                  </w:r>
                </w:p>
              </w:tc>
              <w:tc>
                <w:tcPr>
                  <w:tcW w:w="526" w:type="pct"/>
                  <w:tcBorders>
                    <w:tl2br w:val="nil"/>
                    <w:tr2bl w:val="nil"/>
                  </w:tcBorders>
                  <w:vAlign w:val="center"/>
                </w:tcPr>
                <w:p w14:paraId="6D2A6BF7">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rPr>
                    <w:t>400</w:t>
                  </w:r>
                </w:p>
              </w:tc>
              <w:tc>
                <w:tcPr>
                  <w:tcW w:w="526" w:type="pct"/>
                  <w:tcBorders>
                    <w:tl2br w:val="nil"/>
                    <w:tr2bl w:val="nil"/>
                  </w:tcBorders>
                  <w:vAlign w:val="center"/>
                </w:tcPr>
                <w:p w14:paraId="0F7CDE97">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rPr>
                    <w:t>45</w:t>
                  </w:r>
                </w:p>
              </w:tc>
              <w:tc>
                <w:tcPr>
                  <w:tcW w:w="528" w:type="pct"/>
                  <w:tcBorders>
                    <w:tl2br w:val="nil"/>
                    <w:tr2bl w:val="nil"/>
                  </w:tcBorders>
                  <w:vAlign w:val="center"/>
                </w:tcPr>
                <w:p w14:paraId="1055EDF4">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rPr>
                    <w:t>70</w:t>
                  </w:r>
                </w:p>
              </w:tc>
              <w:tc>
                <w:tcPr>
                  <w:tcW w:w="530" w:type="pct"/>
                  <w:tcBorders>
                    <w:tl2br w:val="nil"/>
                    <w:tr2bl w:val="nil"/>
                  </w:tcBorders>
                  <w:vAlign w:val="center"/>
                </w:tcPr>
                <w:p w14:paraId="5F9E8AA8">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rPr>
                    <w:t>8</w:t>
                  </w:r>
                </w:p>
              </w:tc>
              <w:tc>
                <w:tcPr>
                  <w:tcW w:w="527" w:type="pct"/>
                  <w:tcBorders>
                    <w:tl2br w:val="nil"/>
                    <w:tr2bl w:val="nil"/>
                  </w:tcBorders>
                  <w:vAlign w:val="center"/>
                </w:tcPr>
                <w:p w14:paraId="3A55F4C5">
                  <w:pPr>
                    <w:pStyle w:val="40"/>
                    <w:keepNext w:val="0"/>
                    <w:keepLines w:val="0"/>
                    <w:pageBreakBefore w:val="0"/>
                    <w:kinsoku/>
                    <w:wordWrap/>
                    <w:overflowPunct/>
                    <w:topLinePunct w:val="0"/>
                    <w:autoSpaceDE/>
                    <w:autoSpaceDN/>
                    <w:bidi w:val="0"/>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100</w:t>
                  </w:r>
                </w:p>
              </w:tc>
            </w:tr>
            <w:tr w14:paraId="42F0E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6" w:type="pct"/>
                  <w:vMerge w:val="continue"/>
                  <w:tcBorders>
                    <w:tl2br w:val="nil"/>
                    <w:tr2bl w:val="nil"/>
                  </w:tcBorders>
                  <w:vAlign w:val="center"/>
                </w:tcPr>
                <w:p w14:paraId="31CD0FBD">
                  <w:pPr>
                    <w:pStyle w:val="40"/>
                    <w:keepNext w:val="0"/>
                    <w:keepLines w:val="0"/>
                    <w:pageBreakBefore w:val="0"/>
                    <w:kinsoku/>
                    <w:wordWrap/>
                    <w:overflowPunct/>
                    <w:topLinePunct w:val="0"/>
                    <w:autoSpaceDE/>
                    <w:autoSpaceDN/>
                    <w:bidi w:val="0"/>
                    <w:spacing w:line="240" w:lineRule="auto"/>
                    <w:ind w:firstLine="0" w:firstLineChars="0"/>
                    <w:rPr>
                      <w:sz w:val="21"/>
                      <w:szCs w:val="21"/>
                      <w:highlight w:val="none"/>
                    </w:rPr>
                  </w:pPr>
                </w:p>
              </w:tc>
              <w:tc>
                <w:tcPr>
                  <w:tcW w:w="769" w:type="pct"/>
                  <w:tcBorders>
                    <w:tl2br w:val="nil"/>
                    <w:tr2bl w:val="nil"/>
                  </w:tcBorders>
                  <w:vAlign w:val="center"/>
                </w:tcPr>
                <w:p w14:paraId="22E1A067">
                  <w:pPr>
                    <w:pStyle w:val="40"/>
                    <w:keepNext w:val="0"/>
                    <w:keepLines w:val="0"/>
                    <w:pageBreakBefore w:val="0"/>
                    <w:kinsoku/>
                    <w:wordWrap/>
                    <w:overflowPunct/>
                    <w:topLinePunct w:val="0"/>
                    <w:autoSpaceDE/>
                    <w:autoSpaceDN/>
                    <w:bidi w:val="0"/>
                    <w:spacing w:line="240" w:lineRule="auto"/>
                    <w:ind w:firstLine="0" w:firstLineChars="0"/>
                    <w:rPr>
                      <w:sz w:val="21"/>
                      <w:szCs w:val="21"/>
                      <w:highlight w:val="none"/>
                    </w:rPr>
                  </w:pPr>
                  <w:r>
                    <w:rPr>
                      <w:rFonts w:hint="eastAsia"/>
                      <w:sz w:val="21"/>
                      <w:szCs w:val="21"/>
                      <w:highlight w:val="none"/>
                    </w:rPr>
                    <w:t>处理方式</w:t>
                  </w:r>
                </w:p>
              </w:tc>
              <w:tc>
                <w:tcPr>
                  <w:tcW w:w="3166" w:type="pct"/>
                  <w:gridSpan w:val="6"/>
                  <w:tcBorders>
                    <w:tl2br w:val="nil"/>
                    <w:tr2bl w:val="nil"/>
                  </w:tcBorders>
                  <w:vAlign w:val="center"/>
                </w:tcPr>
                <w:p w14:paraId="36B3F158">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lang w:val="en-US" w:eastAsia="zh-CN"/>
                    </w:rPr>
                    <w:t>油水分离器+</w:t>
                  </w:r>
                  <w:r>
                    <w:rPr>
                      <w:rFonts w:hint="eastAsia"/>
                      <w:color w:val="auto"/>
                      <w:sz w:val="21"/>
                      <w:szCs w:val="21"/>
                      <w:highlight w:val="none"/>
                    </w:rPr>
                    <w:t>化粪池</w:t>
                  </w:r>
                </w:p>
              </w:tc>
              <w:tc>
                <w:tcPr>
                  <w:tcW w:w="527" w:type="pct"/>
                  <w:tcBorders>
                    <w:tl2br w:val="nil"/>
                    <w:tr2bl w:val="nil"/>
                  </w:tcBorders>
                  <w:vAlign w:val="center"/>
                </w:tcPr>
                <w:p w14:paraId="750E21D1">
                  <w:pPr>
                    <w:pStyle w:val="40"/>
                    <w:keepNext w:val="0"/>
                    <w:keepLines w:val="0"/>
                    <w:pageBreakBefore w:val="0"/>
                    <w:kinsoku/>
                    <w:wordWrap/>
                    <w:overflowPunct/>
                    <w:topLinePunct w:val="0"/>
                    <w:autoSpaceDE/>
                    <w:autoSpaceDN/>
                    <w:bidi w:val="0"/>
                    <w:spacing w:line="240" w:lineRule="auto"/>
                    <w:ind w:firstLine="0" w:firstLineChars="0"/>
                    <w:rPr>
                      <w:rFonts w:hint="eastAsia"/>
                      <w:color w:val="auto"/>
                      <w:sz w:val="21"/>
                      <w:szCs w:val="21"/>
                      <w:highlight w:val="none"/>
                      <w:lang w:val="en-US" w:eastAsia="zh-CN"/>
                    </w:rPr>
                  </w:pPr>
                </w:p>
              </w:tc>
            </w:tr>
            <w:tr w14:paraId="2CFCC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6" w:type="pct"/>
                  <w:vMerge w:val="continue"/>
                  <w:tcBorders>
                    <w:tl2br w:val="nil"/>
                    <w:tr2bl w:val="nil"/>
                  </w:tcBorders>
                  <w:vAlign w:val="center"/>
                </w:tcPr>
                <w:p w14:paraId="67451B88">
                  <w:pPr>
                    <w:pStyle w:val="40"/>
                    <w:keepNext w:val="0"/>
                    <w:keepLines w:val="0"/>
                    <w:pageBreakBefore w:val="0"/>
                    <w:kinsoku/>
                    <w:wordWrap/>
                    <w:overflowPunct/>
                    <w:topLinePunct w:val="0"/>
                    <w:autoSpaceDE/>
                    <w:autoSpaceDN/>
                    <w:bidi w:val="0"/>
                    <w:spacing w:line="240" w:lineRule="auto"/>
                    <w:ind w:firstLine="0" w:firstLineChars="0"/>
                    <w:rPr>
                      <w:sz w:val="21"/>
                      <w:szCs w:val="21"/>
                      <w:highlight w:val="none"/>
                    </w:rPr>
                  </w:pPr>
                </w:p>
              </w:tc>
              <w:tc>
                <w:tcPr>
                  <w:tcW w:w="769" w:type="pct"/>
                  <w:tcBorders>
                    <w:tl2br w:val="nil"/>
                    <w:tr2bl w:val="nil"/>
                  </w:tcBorders>
                  <w:vAlign w:val="center"/>
                </w:tcPr>
                <w:p w14:paraId="613E1EA0">
                  <w:pPr>
                    <w:pStyle w:val="40"/>
                    <w:keepNext w:val="0"/>
                    <w:keepLines w:val="0"/>
                    <w:pageBreakBefore w:val="0"/>
                    <w:kinsoku/>
                    <w:wordWrap/>
                    <w:overflowPunct/>
                    <w:topLinePunct w:val="0"/>
                    <w:autoSpaceDE/>
                    <w:autoSpaceDN/>
                    <w:bidi w:val="0"/>
                    <w:spacing w:line="240" w:lineRule="auto"/>
                    <w:ind w:firstLine="0" w:firstLineChars="0"/>
                    <w:rPr>
                      <w:sz w:val="21"/>
                      <w:szCs w:val="21"/>
                      <w:highlight w:val="none"/>
                    </w:rPr>
                  </w:pPr>
                  <w:r>
                    <w:rPr>
                      <w:rFonts w:hint="eastAsia"/>
                      <w:sz w:val="21"/>
                      <w:szCs w:val="21"/>
                      <w:highlight w:val="none"/>
                    </w:rPr>
                    <w:t>处理效率/%</w:t>
                  </w:r>
                </w:p>
              </w:tc>
              <w:tc>
                <w:tcPr>
                  <w:tcW w:w="526" w:type="pct"/>
                  <w:tcBorders>
                    <w:tl2br w:val="nil"/>
                    <w:tr2bl w:val="nil"/>
                  </w:tcBorders>
                  <w:vAlign w:val="center"/>
                </w:tcPr>
                <w:p w14:paraId="2729C162">
                  <w:pPr>
                    <w:pStyle w:val="40"/>
                    <w:keepNext w:val="0"/>
                    <w:keepLines w:val="0"/>
                    <w:pageBreakBefore w:val="0"/>
                    <w:kinsoku/>
                    <w:wordWrap/>
                    <w:overflowPunct/>
                    <w:topLinePunct w:val="0"/>
                    <w:autoSpaceDE/>
                    <w:autoSpaceDN/>
                    <w:bidi w:val="0"/>
                    <w:spacing w:line="240" w:lineRule="auto"/>
                    <w:ind w:firstLine="0" w:firstLineChars="0"/>
                    <w:rPr>
                      <w:rFonts w:hint="eastAsia" w:eastAsia="宋体"/>
                      <w:color w:val="auto"/>
                      <w:sz w:val="21"/>
                      <w:szCs w:val="21"/>
                      <w:highlight w:val="none"/>
                      <w:lang w:val="en-US" w:eastAsia="zh-CN"/>
                    </w:rPr>
                  </w:pPr>
                  <w:r>
                    <w:rPr>
                      <w:rFonts w:hint="eastAsia"/>
                      <w:color w:val="auto"/>
                      <w:sz w:val="21"/>
                      <w:szCs w:val="21"/>
                      <w:highlight w:val="none"/>
                      <w:lang w:val="en-US" w:eastAsia="zh-CN"/>
                    </w:rPr>
                    <w:t>0</w:t>
                  </w:r>
                </w:p>
              </w:tc>
              <w:tc>
                <w:tcPr>
                  <w:tcW w:w="526" w:type="pct"/>
                  <w:tcBorders>
                    <w:tl2br w:val="nil"/>
                    <w:tr2bl w:val="nil"/>
                  </w:tcBorders>
                  <w:vAlign w:val="center"/>
                </w:tcPr>
                <w:p w14:paraId="07EC9D9A">
                  <w:pPr>
                    <w:pStyle w:val="40"/>
                    <w:keepNext w:val="0"/>
                    <w:keepLines w:val="0"/>
                    <w:pageBreakBefore w:val="0"/>
                    <w:kinsoku/>
                    <w:wordWrap/>
                    <w:overflowPunct/>
                    <w:topLinePunct w:val="0"/>
                    <w:autoSpaceDE/>
                    <w:autoSpaceDN/>
                    <w:bidi w:val="0"/>
                    <w:spacing w:line="240" w:lineRule="auto"/>
                    <w:ind w:firstLine="0" w:firstLineChars="0"/>
                    <w:rPr>
                      <w:rFonts w:hint="eastAsia" w:eastAsia="宋体"/>
                      <w:color w:val="auto"/>
                      <w:sz w:val="21"/>
                      <w:szCs w:val="21"/>
                      <w:highlight w:val="none"/>
                      <w:lang w:val="en-US" w:eastAsia="zh-CN"/>
                    </w:rPr>
                  </w:pPr>
                  <w:r>
                    <w:rPr>
                      <w:rFonts w:hint="eastAsia"/>
                      <w:color w:val="auto"/>
                      <w:sz w:val="21"/>
                      <w:szCs w:val="21"/>
                      <w:highlight w:val="none"/>
                      <w:lang w:val="en-US" w:eastAsia="zh-CN"/>
                    </w:rPr>
                    <w:t>0</w:t>
                  </w:r>
                </w:p>
              </w:tc>
              <w:tc>
                <w:tcPr>
                  <w:tcW w:w="526" w:type="pct"/>
                  <w:tcBorders>
                    <w:tl2br w:val="nil"/>
                    <w:tr2bl w:val="nil"/>
                  </w:tcBorders>
                  <w:vAlign w:val="center"/>
                </w:tcPr>
                <w:p w14:paraId="1B66DDFC">
                  <w:pPr>
                    <w:pStyle w:val="40"/>
                    <w:keepNext w:val="0"/>
                    <w:keepLines w:val="0"/>
                    <w:pageBreakBefore w:val="0"/>
                    <w:kinsoku/>
                    <w:wordWrap/>
                    <w:overflowPunct/>
                    <w:topLinePunct w:val="0"/>
                    <w:autoSpaceDE/>
                    <w:autoSpaceDN/>
                    <w:bidi w:val="0"/>
                    <w:spacing w:line="240" w:lineRule="auto"/>
                    <w:ind w:firstLine="0" w:firstLineChars="0"/>
                    <w:rPr>
                      <w:rFonts w:hint="eastAsia" w:eastAsia="宋体"/>
                      <w:color w:val="auto"/>
                      <w:sz w:val="21"/>
                      <w:szCs w:val="21"/>
                      <w:highlight w:val="none"/>
                      <w:lang w:val="en-US" w:eastAsia="zh-CN"/>
                    </w:rPr>
                  </w:pPr>
                  <w:r>
                    <w:rPr>
                      <w:rFonts w:hint="eastAsia"/>
                      <w:color w:val="auto"/>
                      <w:sz w:val="21"/>
                      <w:szCs w:val="21"/>
                      <w:highlight w:val="none"/>
                      <w:lang w:val="en-US" w:eastAsia="zh-CN"/>
                    </w:rPr>
                    <w:t>0</w:t>
                  </w:r>
                </w:p>
              </w:tc>
              <w:tc>
                <w:tcPr>
                  <w:tcW w:w="526" w:type="pct"/>
                  <w:tcBorders>
                    <w:tl2br w:val="nil"/>
                    <w:tr2bl w:val="nil"/>
                  </w:tcBorders>
                  <w:vAlign w:val="center"/>
                </w:tcPr>
                <w:p w14:paraId="545ED97F">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rPr>
                    <w:t>0</w:t>
                  </w:r>
                </w:p>
              </w:tc>
              <w:tc>
                <w:tcPr>
                  <w:tcW w:w="528" w:type="pct"/>
                  <w:tcBorders>
                    <w:tl2br w:val="nil"/>
                    <w:tr2bl w:val="nil"/>
                  </w:tcBorders>
                  <w:vAlign w:val="center"/>
                </w:tcPr>
                <w:p w14:paraId="1E97A75D">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rPr>
                    <w:t>0</w:t>
                  </w:r>
                </w:p>
              </w:tc>
              <w:tc>
                <w:tcPr>
                  <w:tcW w:w="530" w:type="pct"/>
                  <w:tcBorders>
                    <w:tl2br w:val="nil"/>
                    <w:tr2bl w:val="nil"/>
                  </w:tcBorders>
                  <w:vAlign w:val="center"/>
                </w:tcPr>
                <w:p w14:paraId="6863A074">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rPr>
                    <w:t>0</w:t>
                  </w:r>
                </w:p>
              </w:tc>
              <w:tc>
                <w:tcPr>
                  <w:tcW w:w="527" w:type="pct"/>
                  <w:tcBorders>
                    <w:tl2br w:val="nil"/>
                    <w:tr2bl w:val="nil"/>
                  </w:tcBorders>
                  <w:vAlign w:val="center"/>
                </w:tcPr>
                <w:p w14:paraId="6367055E">
                  <w:pPr>
                    <w:pStyle w:val="40"/>
                    <w:keepNext w:val="0"/>
                    <w:keepLines w:val="0"/>
                    <w:pageBreakBefore w:val="0"/>
                    <w:kinsoku/>
                    <w:wordWrap/>
                    <w:overflowPunct/>
                    <w:topLinePunct w:val="0"/>
                    <w:autoSpaceDE/>
                    <w:autoSpaceDN/>
                    <w:bidi w:val="0"/>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50</w:t>
                  </w:r>
                </w:p>
              </w:tc>
            </w:tr>
            <w:tr w14:paraId="1090C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6" w:type="pct"/>
                  <w:vMerge w:val="continue"/>
                  <w:tcBorders>
                    <w:tl2br w:val="nil"/>
                    <w:tr2bl w:val="nil"/>
                  </w:tcBorders>
                  <w:vAlign w:val="center"/>
                </w:tcPr>
                <w:p w14:paraId="5FFC6269">
                  <w:pPr>
                    <w:pStyle w:val="40"/>
                    <w:keepNext w:val="0"/>
                    <w:keepLines w:val="0"/>
                    <w:pageBreakBefore w:val="0"/>
                    <w:kinsoku/>
                    <w:wordWrap/>
                    <w:overflowPunct/>
                    <w:topLinePunct w:val="0"/>
                    <w:autoSpaceDE/>
                    <w:autoSpaceDN/>
                    <w:bidi w:val="0"/>
                    <w:spacing w:line="240" w:lineRule="auto"/>
                    <w:ind w:firstLine="0" w:firstLineChars="0"/>
                    <w:rPr>
                      <w:sz w:val="21"/>
                      <w:szCs w:val="21"/>
                      <w:highlight w:val="none"/>
                    </w:rPr>
                  </w:pPr>
                </w:p>
              </w:tc>
              <w:tc>
                <w:tcPr>
                  <w:tcW w:w="769" w:type="pct"/>
                  <w:tcBorders>
                    <w:tl2br w:val="nil"/>
                    <w:tr2bl w:val="nil"/>
                  </w:tcBorders>
                  <w:vAlign w:val="center"/>
                </w:tcPr>
                <w:p w14:paraId="705830A8">
                  <w:pPr>
                    <w:pStyle w:val="40"/>
                    <w:keepNext w:val="0"/>
                    <w:keepLines w:val="0"/>
                    <w:pageBreakBefore w:val="0"/>
                    <w:kinsoku/>
                    <w:wordWrap/>
                    <w:overflowPunct/>
                    <w:topLinePunct w:val="0"/>
                    <w:autoSpaceDE/>
                    <w:autoSpaceDN/>
                    <w:bidi w:val="0"/>
                    <w:spacing w:line="240" w:lineRule="auto"/>
                    <w:ind w:firstLine="0" w:firstLineChars="0"/>
                    <w:rPr>
                      <w:sz w:val="21"/>
                      <w:szCs w:val="21"/>
                      <w:highlight w:val="none"/>
                    </w:rPr>
                  </w:pPr>
                  <w:r>
                    <w:rPr>
                      <w:rFonts w:hint="eastAsia"/>
                      <w:sz w:val="21"/>
                      <w:szCs w:val="21"/>
                      <w:highlight w:val="none"/>
                    </w:rPr>
                    <w:t>排放浓度mg/L</w:t>
                  </w:r>
                </w:p>
              </w:tc>
              <w:tc>
                <w:tcPr>
                  <w:tcW w:w="526" w:type="pct"/>
                  <w:tcBorders>
                    <w:tl2br w:val="nil"/>
                    <w:tr2bl w:val="nil"/>
                  </w:tcBorders>
                  <w:vAlign w:val="center"/>
                </w:tcPr>
                <w:p w14:paraId="024F870F">
                  <w:pPr>
                    <w:pStyle w:val="40"/>
                    <w:keepNext w:val="0"/>
                    <w:keepLines w:val="0"/>
                    <w:pageBreakBefore w:val="0"/>
                    <w:kinsoku/>
                    <w:wordWrap/>
                    <w:overflowPunct/>
                    <w:topLinePunct w:val="0"/>
                    <w:autoSpaceDE/>
                    <w:autoSpaceDN/>
                    <w:bidi w:val="0"/>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500</w:t>
                  </w:r>
                </w:p>
              </w:tc>
              <w:tc>
                <w:tcPr>
                  <w:tcW w:w="526" w:type="pct"/>
                  <w:tcBorders>
                    <w:tl2br w:val="nil"/>
                    <w:tr2bl w:val="nil"/>
                  </w:tcBorders>
                  <w:vAlign w:val="center"/>
                </w:tcPr>
                <w:p w14:paraId="3FFCFED3">
                  <w:pPr>
                    <w:pStyle w:val="40"/>
                    <w:keepNext w:val="0"/>
                    <w:keepLines w:val="0"/>
                    <w:pageBreakBefore w:val="0"/>
                    <w:kinsoku/>
                    <w:wordWrap/>
                    <w:overflowPunct/>
                    <w:topLinePunct w:val="0"/>
                    <w:autoSpaceDE/>
                    <w:autoSpaceDN/>
                    <w:bidi w:val="0"/>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300</w:t>
                  </w:r>
                </w:p>
              </w:tc>
              <w:tc>
                <w:tcPr>
                  <w:tcW w:w="526" w:type="pct"/>
                  <w:tcBorders>
                    <w:tl2br w:val="nil"/>
                    <w:tr2bl w:val="nil"/>
                  </w:tcBorders>
                  <w:vAlign w:val="center"/>
                </w:tcPr>
                <w:p w14:paraId="67C8BD38">
                  <w:pPr>
                    <w:pStyle w:val="40"/>
                    <w:keepNext w:val="0"/>
                    <w:keepLines w:val="0"/>
                    <w:pageBreakBefore w:val="0"/>
                    <w:kinsoku/>
                    <w:wordWrap/>
                    <w:overflowPunct/>
                    <w:topLinePunct w:val="0"/>
                    <w:autoSpaceDE/>
                    <w:autoSpaceDN/>
                    <w:bidi w:val="0"/>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400</w:t>
                  </w:r>
                </w:p>
              </w:tc>
              <w:tc>
                <w:tcPr>
                  <w:tcW w:w="526" w:type="pct"/>
                  <w:tcBorders>
                    <w:tl2br w:val="nil"/>
                    <w:tr2bl w:val="nil"/>
                  </w:tcBorders>
                  <w:vAlign w:val="center"/>
                </w:tcPr>
                <w:p w14:paraId="1B0FF2A6">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rPr>
                    <w:t>45</w:t>
                  </w:r>
                </w:p>
              </w:tc>
              <w:tc>
                <w:tcPr>
                  <w:tcW w:w="528" w:type="pct"/>
                  <w:tcBorders>
                    <w:tl2br w:val="nil"/>
                    <w:tr2bl w:val="nil"/>
                  </w:tcBorders>
                  <w:vAlign w:val="center"/>
                </w:tcPr>
                <w:p w14:paraId="7F6C8E50">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rPr>
                    <w:t>70</w:t>
                  </w:r>
                </w:p>
              </w:tc>
              <w:tc>
                <w:tcPr>
                  <w:tcW w:w="530" w:type="pct"/>
                  <w:tcBorders>
                    <w:tl2br w:val="nil"/>
                    <w:tr2bl w:val="nil"/>
                  </w:tcBorders>
                  <w:vAlign w:val="center"/>
                </w:tcPr>
                <w:p w14:paraId="565F514F">
                  <w:pPr>
                    <w:pStyle w:val="40"/>
                    <w:keepNext w:val="0"/>
                    <w:keepLines w:val="0"/>
                    <w:pageBreakBefore w:val="0"/>
                    <w:kinsoku/>
                    <w:wordWrap/>
                    <w:overflowPunct/>
                    <w:topLinePunct w:val="0"/>
                    <w:autoSpaceDE/>
                    <w:autoSpaceDN/>
                    <w:bidi w:val="0"/>
                    <w:spacing w:line="240" w:lineRule="auto"/>
                    <w:ind w:firstLine="0" w:firstLineChars="0"/>
                    <w:rPr>
                      <w:color w:val="auto"/>
                      <w:sz w:val="21"/>
                      <w:szCs w:val="21"/>
                      <w:highlight w:val="none"/>
                    </w:rPr>
                  </w:pPr>
                  <w:r>
                    <w:rPr>
                      <w:rFonts w:hint="eastAsia"/>
                      <w:color w:val="auto"/>
                      <w:sz w:val="21"/>
                      <w:szCs w:val="21"/>
                      <w:highlight w:val="none"/>
                    </w:rPr>
                    <w:t>8</w:t>
                  </w:r>
                </w:p>
              </w:tc>
              <w:tc>
                <w:tcPr>
                  <w:tcW w:w="527" w:type="pct"/>
                  <w:tcBorders>
                    <w:tl2br w:val="nil"/>
                    <w:tr2bl w:val="nil"/>
                  </w:tcBorders>
                  <w:vAlign w:val="center"/>
                </w:tcPr>
                <w:p w14:paraId="3EA3BEDF">
                  <w:pPr>
                    <w:pStyle w:val="40"/>
                    <w:keepNext w:val="0"/>
                    <w:keepLines w:val="0"/>
                    <w:pageBreakBefore w:val="0"/>
                    <w:kinsoku/>
                    <w:wordWrap/>
                    <w:overflowPunct/>
                    <w:topLinePunct w:val="0"/>
                    <w:autoSpaceDE/>
                    <w:autoSpaceDN/>
                    <w:bidi w:val="0"/>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50</w:t>
                  </w:r>
                </w:p>
              </w:tc>
            </w:tr>
            <w:tr w14:paraId="63BB8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6" w:type="pct"/>
                  <w:vMerge w:val="continue"/>
                  <w:tcBorders>
                    <w:tl2br w:val="nil"/>
                    <w:tr2bl w:val="nil"/>
                  </w:tcBorders>
                  <w:vAlign w:val="center"/>
                </w:tcPr>
                <w:p w14:paraId="22250D0D">
                  <w:pPr>
                    <w:pStyle w:val="40"/>
                    <w:keepNext w:val="0"/>
                    <w:keepLines w:val="0"/>
                    <w:pageBreakBefore w:val="0"/>
                    <w:kinsoku/>
                    <w:wordWrap/>
                    <w:overflowPunct/>
                    <w:topLinePunct w:val="0"/>
                    <w:autoSpaceDE/>
                    <w:autoSpaceDN/>
                    <w:bidi w:val="0"/>
                    <w:spacing w:line="240" w:lineRule="auto"/>
                    <w:ind w:firstLine="0" w:firstLineChars="0"/>
                    <w:rPr>
                      <w:sz w:val="21"/>
                      <w:szCs w:val="21"/>
                      <w:highlight w:val="none"/>
                    </w:rPr>
                  </w:pPr>
                </w:p>
              </w:tc>
              <w:tc>
                <w:tcPr>
                  <w:tcW w:w="769" w:type="pct"/>
                  <w:tcBorders>
                    <w:tl2br w:val="nil"/>
                    <w:tr2bl w:val="nil"/>
                  </w:tcBorders>
                  <w:vAlign w:val="center"/>
                </w:tcPr>
                <w:p w14:paraId="0272668C">
                  <w:pPr>
                    <w:pStyle w:val="40"/>
                    <w:keepNext w:val="0"/>
                    <w:keepLines w:val="0"/>
                    <w:pageBreakBefore w:val="0"/>
                    <w:kinsoku/>
                    <w:wordWrap/>
                    <w:overflowPunct/>
                    <w:topLinePunct w:val="0"/>
                    <w:autoSpaceDE/>
                    <w:autoSpaceDN/>
                    <w:bidi w:val="0"/>
                    <w:spacing w:line="240" w:lineRule="auto"/>
                    <w:ind w:firstLine="0" w:firstLineChars="0"/>
                    <w:rPr>
                      <w:sz w:val="21"/>
                      <w:szCs w:val="21"/>
                      <w:highlight w:val="none"/>
                    </w:rPr>
                  </w:pPr>
                  <w:r>
                    <w:rPr>
                      <w:rFonts w:hint="eastAsia"/>
                      <w:sz w:val="21"/>
                      <w:szCs w:val="21"/>
                      <w:highlight w:val="none"/>
                    </w:rPr>
                    <w:t>排放量t/a</w:t>
                  </w:r>
                </w:p>
              </w:tc>
              <w:tc>
                <w:tcPr>
                  <w:tcW w:w="526" w:type="pct"/>
                  <w:tcBorders>
                    <w:tl2br w:val="nil"/>
                    <w:tr2bl w:val="nil"/>
                  </w:tcBorders>
                  <w:vAlign w:val="center"/>
                </w:tcPr>
                <w:p w14:paraId="79D4AC86">
                  <w:pPr>
                    <w:pStyle w:val="40"/>
                    <w:keepNext w:val="0"/>
                    <w:keepLines w:val="0"/>
                    <w:pageBreakBefore w:val="0"/>
                    <w:kinsoku/>
                    <w:wordWrap/>
                    <w:overflowPunct/>
                    <w:topLinePunct w:val="0"/>
                    <w:autoSpaceDE/>
                    <w:autoSpaceDN/>
                    <w:bidi w:val="0"/>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19.03</w:t>
                  </w:r>
                </w:p>
              </w:tc>
              <w:tc>
                <w:tcPr>
                  <w:tcW w:w="526" w:type="pct"/>
                  <w:tcBorders>
                    <w:tl2br w:val="nil"/>
                    <w:tr2bl w:val="nil"/>
                  </w:tcBorders>
                  <w:vAlign w:val="center"/>
                </w:tcPr>
                <w:p w14:paraId="6EEB7C34">
                  <w:pPr>
                    <w:pStyle w:val="40"/>
                    <w:keepNext w:val="0"/>
                    <w:keepLines w:val="0"/>
                    <w:pageBreakBefore w:val="0"/>
                    <w:kinsoku/>
                    <w:wordWrap/>
                    <w:overflowPunct/>
                    <w:topLinePunct w:val="0"/>
                    <w:autoSpaceDE/>
                    <w:autoSpaceDN/>
                    <w:bidi w:val="0"/>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11.42</w:t>
                  </w:r>
                </w:p>
              </w:tc>
              <w:tc>
                <w:tcPr>
                  <w:tcW w:w="526" w:type="pct"/>
                  <w:tcBorders>
                    <w:tl2br w:val="nil"/>
                    <w:tr2bl w:val="nil"/>
                  </w:tcBorders>
                  <w:vAlign w:val="center"/>
                </w:tcPr>
                <w:p w14:paraId="5B08BA78">
                  <w:pPr>
                    <w:pStyle w:val="40"/>
                    <w:keepNext w:val="0"/>
                    <w:keepLines w:val="0"/>
                    <w:pageBreakBefore w:val="0"/>
                    <w:kinsoku/>
                    <w:wordWrap/>
                    <w:overflowPunct/>
                    <w:topLinePunct w:val="0"/>
                    <w:autoSpaceDE/>
                    <w:autoSpaceDN/>
                    <w:bidi w:val="0"/>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15.22</w:t>
                  </w:r>
                </w:p>
              </w:tc>
              <w:tc>
                <w:tcPr>
                  <w:tcW w:w="526" w:type="pct"/>
                  <w:tcBorders>
                    <w:tl2br w:val="nil"/>
                    <w:tr2bl w:val="nil"/>
                  </w:tcBorders>
                  <w:vAlign w:val="center"/>
                </w:tcPr>
                <w:p w14:paraId="78E676DD">
                  <w:pPr>
                    <w:pStyle w:val="40"/>
                    <w:keepNext w:val="0"/>
                    <w:keepLines w:val="0"/>
                    <w:pageBreakBefore w:val="0"/>
                    <w:kinsoku/>
                    <w:wordWrap/>
                    <w:overflowPunct/>
                    <w:topLinePunct w:val="0"/>
                    <w:autoSpaceDE/>
                    <w:autoSpaceDN/>
                    <w:bidi w:val="0"/>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1.71</w:t>
                  </w:r>
                </w:p>
              </w:tc>
              <w:tc>
                <w:tcPr>
                  <w:tcW w:w="528" w:type="pct"/>
                  <w:tcBorders>
                    <w:tl2br w:val="nil"/>
                    <w:tr2bl w:val="nil"/>
                  </w:tcBorders>
                  <w:vAlign w:val="center"/>
                </w:tcPr>
                <w:p w14:paraId="4DBE92F2">
                  <w:pPr>
                    <w:pStyle w:val="40"/>
                    <w:keepNext w:val="0"/>
                    <w:keepLines w:val="0"/>
                    <w:pageBreakBefore w:val="0"/>
                    <w:kinsoku/>
                    <w:wordWrap/>
                    <w:overflowPunct/>
                    <w:topLinePunct w:val="0"/>
                    <w:autoSpaceDE/>
                    <w:autoSpaceDN/>
                    <w:bidi w:val="0"/>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2.66</w:t>
                  </w:r>
                </w:p>
              </w:tc>
              <w:tc>
                <w:tcPr>
                  <w:tcW w:w="530" w:type="pct"/>
                  <w:tcBorders>
                    <w:tl2br w:val="nil"/>
                    <w:tr2bl w:val="nil"/>
                  </w:tcBorders>
                  <w:vAlign w:val="center"/>
                </w:tcPr>
                <w:p w14:paraId="3F21832C">
                  <w:pPr>
                    <w:pStyle w:val="40"/>
                    <w:keepNext w:val="0"/>
                    <w:keepLines w:val="0"/>
                    <w:pageBreakBefore w:val="0"/>
                    <w:kinsoku/>
                    <w:wordWrap/>
                    <w:overflowPunct/>
                    <w:topLinePunct w:val="0"/>
                    <w:autoSpaceDE/>
                    <w:autoSpaceDN/>
                    <w:bidi w:val="0"/>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0.30</w:t>
                  </w:r>
                </w:p>
              </w:tc>
              <w:tc>
                <w:tcPr>
                  <w:tcW w:w="527" w:type="pct"/>
                  <w:tcBorders>
                    <w:tl2br w:val="nil"/>
                    <w:tr2bl w:val="nil"/>
                  </w:tcBorders>
                  <w:vAlign w:val="center"/>
                </w:tcPr>
                <w:p w14:paraId="3C45A32F">
                  <w:pPr>
                    <w:pStyle w:val="40"/>
                    <w:keepNext w:val="0"/>
                    <w:keepLines w:val="0"/>
                    <w:pageBreakBefore w:val="0"/>
                    <w:kinsoku/>
                    <w:wordWrap/>
                    <w:overflowPunct/>
                    <w:topLinePunct w:val="0"/>
                    <w:autoSpaceDE/>
                    <w:autoSpaceDN/>
                    <w:bidi w:val="0"/>
                    <w:spacing w:line="240" w:lineRule="auto"/>
                    <w:ind w:firstLine="0" w:firstLineChars="0"/>
                    <w:rPr>
                      <w:rFonts w:hint="default"/>
                      <w:color w:val="auto"/>
                      <w:sz w:val="21"/>
                      <w:szCs w:val="21"/>
                      <w:highlight w:val="none"/>
                      <w:lang w:val="en-US" w:eastAsia="zh-CN"/>
                    </w:rPr>
                  </w:pPr>
                  <w:r>
                    <w:rPr>
                      <w:rFonts w:hint="eastAsia"/>
                      <w:color w:val="auto"/>
                      <w:sz w:val="21"/>
                      <w:szCs w:val="21"/>
                      <w:highlight w:val="none"/>
                      <w:lang w:val="en-US" w:eastAsia="zh-CN"/>
                    </w:rPr>
                    <w:t>3.81</w:t>
                  </w:r>
                </w:p>
              </w:tc>
            </w:tr>
          </w:tbl>
          <w:p w14:paraId="7092EB80">
            <w:pPr>
              <w:pStyle w:val="41"/>
              <w:ind w:firstLine="482"/>
              <w:rPr>
                <w:b/>
                <w:bCs w:val="0"/>
              </w:rPr>
            </w:pPr>
            <w:r>
              <w:rPr>
                <w:rFonts w:hint="eastAsia"/>
                <w:b/>
                <w:bCs w:val="0"/>
                <w:lang w:eastAsia="zh-CN"/>
              </w:rPr>
              <w:t>（</w:t>
            </w:r>
            <w:r>
              <w:rPr>
                <w:rFonts w:hint="eastAsia"/>
                <w:b/>
                <w:bCs w:val="0"/>
                <w:lang w:val="en-US" w:eastAsia="zh-CN"/>
              </w:rPr>
              <w:t>2）</w:t>
            </w:r>
            <w:r>
              <w:rPr>
                <w:rFonts w:hint="eastAsia"/>
                <w:b/>
                <w:bCs w:val="0"/>
              </w:rPr>
              <w:t xml:space="preserve"> 污水处理依托可行性</w:t>
            </w:r>
          </w:p>
          <w:p w14:paraId="4F61828A">
            <w:pPr>
              <w:pStyle w:val="41"/>
              <w:overflowPunct w:val="0"/>
              <w:autoSpaceDE w:val="0"/>
              <w:autoSpaceDN w:val="0"/>
              <w:ind w:firstLine="480"/>
              <w:rPr>
                <w:highlight w:val="none"/>
              </w:rPr>
            </w:pPr>
            <w:r>
              <w:rPr>
                <w:rFonts w:hint="eastAsia"/>
              </w:rPr>
              <w:t>项目生活污水依托园区化粪池处理，外排废水中各污染物均可满足相应排放标准</w:t>
            </w:r>
            <w:r>
              <w:rPr>
                <w:rFonts w:hint="eastAsia"/>
                <w:highlight w:val="none"/>
              </w:rPr>
              <w:t>。化粪池容积</w:t>
            </w:r>
            <w:r>
              <w:rPr>
                <w:rFonts w:hint="eastAsia"/>
                <w:highlight w:val="none"/>
                <w:lang w:val="en-US" w:eastAsia="zh-CN"/>
              </w:rPr>
              <w:t>200</w:t>
            </w:r>
            <w:r>
              <w:rPr>
                <w:rFonts w:hint="eastAsia"/>
                <w:highlight w:val="none"/>
              </w:rPr>
              <w:t>m</w:t>
            </w:r>
            <w:r>
              <w:rPr>
                <w:highlight w:val="none"/>
                <w:vertAlign w:val="superscript"/>
              </w:rPr>
              <w:t>3</w:t>
            </w:r>
            <w:r>
              <w:rPr>
                <w:rFonts w:hint="eastAsia"/>
                <w:highlight w:val="none"/>
              </w:rPr>
              <w:t>，容积可满足本项目要求。</w:t>
            </w:r>
          </w:p>
          <w:p w14:paraId="317BD276">
            <w:pPr>
              <w:pStyle w:val="41"/>
              <w:keepNext w:val="0"/>
              <w:keepLines w:val="0"/>
              <w:pageBreakBefore w:val="0"/>
              <w:widowControl w:val="0"/>
              <w:kinsoku/>
              <w:wordWrap/>
              <w:overflowPunct/>
              <w:topLinePunct w:val="0"/>
              <w:autoSpaceDE/>
              <w:autoSpaceDN/>
              <w:bidi w:val="0"/>
              <w:adjustRightInd w:val="0"/>
              <w:snapToGrid w:val="0"/>
              <w:ind w:firstLine="480"/>
              <w:textAlignment w:val="auto"/>
            </w:pPr>
            <w:r>
              <w:rPr>
                <w:rFonts w:hint="eastAsia"/>
                <w:szCs w:val="21"/>
              </w:rPr>
              <w:t>项目废水经园区化粪池处理后经市政污水管网排入</w:t>
            </w:r>
            <w:r>
              <w:rPr>
                <w:szCs w:val="21"/>
              </w:rPr>
              <w:t>沣东南污水处理厂</w:t>
            </w:r>
            <w:r>
              <w:t>进一步处理</w:t>
            </w:r>
            <w:r>
              <w:rPr>
                <w:rFonts w:hint="eastAsia"/>
              </w:rPr>
              <w:t>。</w:t>
            </w:r>
            <w:r>
              <w:t>沣东南污水处理厂位于西安市沣东新城科统四路以南、科统三路以北、沣河东路以</w:t>
            </w:r>
            <w:r>
              <w:rPr>
                <w:color w:val="auto"/>
              </w:rPr>
              <w:t>东、西成高铁以西，主要接纳沣河以东、绕城高速以西、南至昆明湖、北至科源东路区域的生活污水</w:t>
            </w:r>
            <w:r>
              <w:rPr>
                <w:rFonts w:ascii="Times New Roman" w:hAnsi="Times New Roman" w:eastAsia="宋体" w:cs="Times New Roman"/>
                <w:color w:val="auto"/>
              </w:rPr>
              <w:t>。</w:t>
            </w:r>
            <w:r>
              <w:rPr>
                <w:rFonts w:hint="eastAsia" w:ascii="Times New Roman" w:hAnsi="Times New Roman" w:eastAsia="宋体" w:cs="Times New Roman"/>
                <w:color w:val="auto"/>
              </w:rPr>
              <w:t>污水处理工艺为</w:t>
            </w:r>
            <w:r>
              <w:rPr>
                <w:rFonts w:ascii="Times New Roman" w:hAnsi="Times New Roman" w:eastAsia="宋体" w:cs="Times New Roman"/>
                <w:color w:val="auto"/>
              </w:rPr>
              <w:t>AAO+</w:t>
            </w:r>
            <w:r>
              <w:rPr>
                <w:rFonts w:hint="eastAsia" w:ascii="Times New Roman" w:hAnsi="Times New Roman" w:eastAsia="宋体" w:cs="Times New Roman"/>
                <w:color w:val="auto"/>
              </w:rPr>
              <w:t>深度处理；具体包括污水处理构筑物及设备、污泥处理、臭气处理、辅助建筑物、再生水处理、配套管网等设施。</w:t>
            </w:r>
            <w:r>
              <w:rPr>
                <w:rFonts w:ascii="Times New Roman" w:hAnsi="Times New Roman" w:eastAsia="宋体" w:cs="Times New Roman"/>
                <w:color w:val="auto"/>
              </w:rPr>
              <w:t>沣东</w:t>
            </w:r>
            <w:r>
              <w:rPr>
                <w:color w:val="auto"/>
              </w:rPr>
              <w:t>南污水处理厂总占地面积240.35 亩，总处理规模</w:t>
            </w:r>
            <w:r>
              <w:t>20.0×10</w:t>
            </w:r>
            <w:r>
              <w:rPr>
                <w:vertAlign w:val="superscript"/>
              </w:rPr>
              <w:t>4</w:t>
            </w:r>
            <w:r>
              <w:t>m</w:t>
            </w:r>
            <w:r>
              <w:rPr>
                <w:vertAlign w:val="superscript"/>
              </w:rPr>
              <w:t>3</w:t>
            </w:r>
            <w:r>
              <w:t>/d，分三期实施，一期处理规模为4.0×10</w:t>
            </w:r>
            <w:r>
              <w:rPr>
                <w:vertAlign w:val="superscript"/>
              </w:rPr>
              <w:t>4</w:t>
            </w:r>
            <w:r>
              <w:t>m</w:t>
            </w:r>
            <w:r>
              <w:rPr>
                <w:vertAlign w:val="superscript"/>
              </w:rPr>
              <w:t>3</w:t>
            </w:r>
            <w:r>
              <w:t>/d，二期规模为4.0×10</w:t>
            </w:r>
            <w:r>
              <w:rPr>
                <w:vertAlign w:val="superscript"/>
              </w:rPr>
              <w:t>4</w:t>
            </w:r>
            <w:r>
              <w:t>m</w:t>
            </w:r>
            <w:r>
              <w:rPr>
                <w:vertAlign w:val="superscript"/>
              </w:rPr>
              <w:t>3</w:t>
            </w:r>
            <w:r>
              <w:t>/d，三期规模为 12.0×10</w:t>
            </w:r>
            <w:r>
              <w:rPr>
                <w:vertAlign w:val="superscript"/>
              </w:rPr>
              <w:t>4</w:t>
            </w:r>
            <w:r>
              <w:t>m</w:t>
            </w:r>
            <w:r>
              <w:rPr>
                <w:vertAlign w:val="superscript"/>
              </w:rPr>
              <w:t>3</w:t>
            </w:r>
            <w:r>
              <w:t>/d。</w:t>
            </w:r>
            <w:r>
              <w:rPr>
                <w:rFonts w:hint="eastAsia"/>
              </w:rPr>
              <w:t>目前一期工程已正常运行，处理后的水质达到《陕西省黄河流域污水综合排放标准》（DB61/224-2018）表1中A级标准。</w:t>
            </w:r>
          </w:p>
          <w:p w14:paraId="72912EE4">
            <w:pPr>
              <w:pStyle w:val="41"/>
              <w:keepNext w:val="0"/>
              <w:keepLines w:val="0"/>
              <w:pageBreakBefore w:val="0"/>
              <w:widowControl w:val="0"/>
              <w:kinsoku/>
              <w:wordWrap/>
              <w:overflowPunct/>
              <w:topLinePunct w:val="0"/>
              <w:autoSpaceDE/>
              <w:autoSpaceDN/>
              <w:bidi w:val="0"/>
              <w:adjustRightInd w:val="0"/>
              <w:snapToGrid w:val="0"/>
              <w:ind w:firstLine="482"/>
              <w:textAlignment w:val="auto"/>
              <w:rPr>
                <w:rFonts w:hint="eastAsia"/>
              </w:rPr>
            </w:pPr>
            <w:r>
              <w:rPr>
                <w:rFonts w:hint="eastAsia"/>
              </w:rPr>
              <w:t>项目所在地处于</w:t>
            </w:r>
            <w:r>
              <w:t>沣东南污水处理厂</w:t>
            </w:r>
            <w:r>
              <w:rPr>
                <w:rFonts w:hint="eastAsia"/>
              </w:rPr>
              <w:t>收水范围内，当地污水管网已覆盖到位。本项目</w:t>
            </w:r>
            <w:r>
              <w:rPr>
                <w:rFonts w:hint="eastAsia"/>
                <w:highlight w:val="none"/>
              </w:rPr>
              <w:t>废水产生量为</w:t>
            </w:r>
            <w:r>
              <w:rPr>
                <w:rFonts w:hint="eastAsia"/>
                <w:color w:val="000000" w:themeColor="text1"/>
                <w:highlight w:val="none"/>
                <w:lang w:val="en-US" w:eastAsia="zh-CN"/>
                <w14:textFill>
                  <w14:solidFill>
                    <w14:schemeClr w14:val="tx1"/>
                  </w14:solidFill>
                </w14:textFill>
              </w:rPr>
              <w:t>151.6</w:t>
            </w:r>
            <w:r>
              <w:rPr>
                <w:rFonts w:hint="eastAsia"/>
                <w:color w:val="000000" w:themeColor="text1"/>
                <w:highlight w:val="none"/>
                <w14:textFill>
                  <w14:solidFill>
                    <w14:schemeClr w14:val="tx1"/>
                  </w14:solidFill>
                </w14:textFill>
              </w:rPr>
              <w:t>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/d，经</w:t>
            </w:r>
            <w:r>
              <w:rPr>
                <w:rFonts w:hint="eastAsia"/>
              </w:rPr>
              <w:t>处理后能够达到《污水综合排放标准》（GB 8978-1996）三级标准以及《污水排入城镇下水道水质标准》（GB/T 31962-2015）A级标准要求，且项目废水排放量占污水处理厂设计处理水量份额较小，废水水质简单，废水可生化降解性较好，废水排入后对</w:t>
            </w:r>
            <w:r>
              <w:t>沣东南污水处理厂</w:t>
            </w:r>
            <w:r>
              <w:rPr>
                <w:rFonts w:hint="eastAsia"/>
              </w:rPr>
              <w:t>的影响较小。故项目产生的废水处理达标后依托</w:t>
            </w:r>
            <w:r>
              <w:t>沣东南污水处理厂</w:t>
            </w:r>
            <w:r>
              <w:rPr>
                <w:rFonts w:hint="eastAsia"/>
              </w:rPr>
              <w:t>处理可行。</w:t>
            </w:r>
          </w:p>
          <w:p w14:paraId="7787F38E">
            <w:pPr>
              <w:ind w:firstLine="482"/>
              <w:rPr>
                <w:rFonts w:hint="eastAsia" w:ascii="Times New Roman" w:hAnsi="Times New Roman" w:eastAsia="宋体" w:cs="Times New Roman"/>
                <w:b/>
                <w:bCs w:val="0"/>
                <w:kern w:val="2"/>
                <w:sz w:val="24"/>
                <w:szCs w:val="24"/>
                <w:lang w:val="en-US" w:eastAsia="zh-CN" w:bidi="ar-SA"/>
              </w:rPr>
            </w:pPr>
            <w:r>
              <w:rPr>
                <w:rFonts w:hint="eastAsia" w:ascii="Times New Roman" w:hAnsi="Times New Roman" w:eastAsia="宋体" w:cs="Times New Roman"/>
                <w:b/>
                <w:bCs w:val="0"/>
                <w:kern w:val="2"/>
                <w:sz w:val="24"/>
                <w:szCs w:val="24"/>
                <w:lang w:val="en-US" w:eastAsia="zh-CN" w:bidi="ar-SA"/>
              </w:rPr>
              <w:t>（3）排放口基本情况</w:t>
            </w:r>
          </w:p>
          <w:p w14:paraId="35978B7E">
            <w:pPr>
              <w:ind w:firstLine="480"/>
              <w:rPr>
                <w:color w:val="auto"/>
                <w:highlight w:val="none"/>
              </w:rPr>
            </w:pPr>
            <w:r>
              <w:rPr>
                <w:color w:val="auto"/>
                <w:highlight w:val="none"/>
              </w:rPr>
              <w:t>厂区废水排放口基本情况见下表4-</w:t>
            </w:r>
            <w:r>
              <w:rPr>
                <w:rFonts w:hint="eastAsia"/>
                <w:color w:val="auto"/>
                <w:highlight w:val="none"/>
                <w:lang w:val="en-US" w:eastAsia="zh-CN"/>
              </w:rPr>
              <w:t>7</w:t>
            </w:r>
            <w:r>
              <w:rPr>
                <w:color w:val="auto"/>
                <w:highlight w:val="none"/>
              </w:rPr>
              <w:t>。</w:t>
            </w:r>
          </w:p>
          <w:p w14:paraId="4F577684">
            <w:pPr>
              <w:ind w:firstLine="482"/>
              <w:jc w:val="center"/>
              <w:rPr>
                <w:b/>
                <w:bCs/>
                <w:color w:val="auto"/>
                <w:highlight w:val="none"/>
              </w:rPr>
            </w:pPr>
            <w:r>
              <w:rPr>
                <w:b/>
                <w:bCs/>
                <w:color w:val="auto"/>
                <w:highlight w:val="none"/>
              </w:rPr>
              <w:t>表4-</w:t>
            </w:r>
            <w:r>
              <w:rPr>
                <w:rFonts w:hint="eastAsia"/>
                <w:b/>
                <w:bCs/>
                <w:color w:val="auto"/>
                <w:highlight w:val="none"/>
                <w:lang w:val="en-US" w:eastAsia="zh-CN"/>
              </w:rPr>
              <w:t xml:space="preserve">7 </w:t>
            </w:r>
            <w:r>
              <w:rPr>
                <w:b/>
                <w:bCs/>
                <w:color w:val="auto"/>
                <w:highlight w:val="none"/>
              </w:rPr>
              <w:t xml:space="preserve"> 废水排放口基本情况</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903"/>
              <w:gridCol w:w="925"/>
              <w:gridCol w:w="1609"/>
              <w:gridCol w:w="4245"/>
            </w:tblGrid>
            <w:tr w14:paraId="78AAB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1" w:type="pct"/>
                  <w:vAlign w:val="center"/>
                </w:tcPr>
                <w:p w14:paraId="696A7394">
                  <w:pPr>
                    <w:spacing w:line="360" w:lineRule="atLeast"/>
                    <w:ind w:firstLine="0" w:firstLineChars="0"/>
                    <w:jc w:val="center"/>
                    <w:rPr>
                      <w:b/>
                      <w:bCs/>
                      <w:color w:val="auto"/>
                      <w:sz w:val="21"/>
                      <w:szCs w:val="21"/>
                      <w:highlight w:val="none"/>
                    </w:rPr>
                  </w:pPr>
                  <w:r>
                    <w:rPr>
                      <w:b/>
                      <w:bCs/>
                      <w:color w:val="auto"/>
                      <w:sz w:val="21"/>
                      <w:szCs w:val="21"/>
                      <w:highlight w:val="none"/>
                    </w:rPr>
                    <w:t>编号</w:t>
                  </w:r>
                </w:p>
              </w:tc>
              <w:tc>
                <w:tcPr>
                  <w:tcW w:w="526" w:type="pct"/>
                  <w:vAlign w:val="center"/>
                </w:tcPr>
                <w:p w14:paraId="33E0D580">
                  <w:pPr>
                    <w:spacing w:line="360" w:lineRule="atLeast"/>
                    <w:ind w:firstLine="0" w:firstLineChars="0"/>
                    <w:jc w:val="center"/>
                    <w:rPr>
                      <w:b/>
                      <w:bCs/>
                      <w:color w:val="auto"/>
                      <w:sz w:val="21"/>
                      <w:szCs w:val="21"/>
                      <w:highlight w:val="none"/>
                    </w:rPr>
                  </w:pPr>
                  <w:r>
                    <w:rPr>
                      <w:b/>
                      <w:bCs/>
                      <w:color w:val="auto"/>
                      <w:sz w:val="21"/>
                      <w:szCs w:val="21"/>
                      <w:highlight w:val="none"/>
                    </w:rPr>
                    <w:t>名称</w:t>
                  </w:r>
                </w:p>
              </w:tc>
              <w:tc>
                <w:tcPr>
                  <w:tcW w:w="539" w:type="pct"/>
                  <w:vAlign w:val="center"/>
                </w:tcPr>
                <w:p w14:paraId="536B5615">
                  <w:pPr>
                    <w:spacing w:line="360" w:lineRule="atLeast"/>
                    <w:ind w:firstLine="0" w:firstLineChars="0"/>
                    <w:jc w:val="center"/>
                    <w:rPr>
                      <w:b/>
                      <w:bCs/>
                      <w:color w:val="auto"/>
                      <w:sz w:val="21"/>
                      <w:szCs w:val="21"/>
                      <w:highlight w:val="none"/>
                    </w:rPr>
                  </w:pPr>
                  <w:r>
                    <w:rPr>
                      <w:b/>
                      <w:bCs/>
                      <w:color w:val="auto"/>
                      <w:sz w:val="21"/>
                      <w:szCs w:val="21"/>
                      <w:highlight w:val="none"/>
                    </w:rPr>
                    <w:t>类型</w:t>
                  </w:r>
                </w:p>
              </w:tc>
              <w:tc>
                <w:tcPr>
                  <w:tcW w:w="938" w:type="pct"/>
                  <w:vAlign w:val="center"/>
                </w:tcPr>
                <w:p w14:paraId="57D24183">
                  <w:pPr>
                    <w:spacing w:line="360" w:lineRule="atLeast"/>
                    <w:ind w:firstLine="0" w:firstLineChars="0"/>
                    <w:jc w:val="center"/>
                    <w:rPr>
                      <w:b/>
                      <w:bCs/>
                      <w:color w:val="auto"/>
                      <w:sz w:val="21"/>
                      <w:szCs w:val="21"/>
                      <w:highlight w:val="none"/>
                    </w:rPr>
                  </w:pPr>
                  <w:r>
                    <w:rPr>
                      <w:b/>
                      <w:bCs/>
                      <w:color w:val="auto"/>
                      <w:sz w:val="21"/>
                      <w:szCs w:val="21"/>
                      <w:highlight w:val="none"/>
                    </w:rPr>
                    <w:t>地理坐标</w:t>
                  </w:r>
                </w:p>
              </w:tc>
              <w:tc>
                <w:tcPr>
                  <w:tcW w:w="2474" w:type="pct"/>
                  <w:vAlign w:val="center"/>
                </w:tcPr>
                <w:p w14:paraId="38282F48">
                  <w:pPr>
                    <w:spacing w:line="360" w:lineRule="atLeast"/>
                    <w:ind w:firstLine="0" w:firstLineChars="0"/>
                    <w:jc w:val="center"/>
                    <w:rPr>
                      <w:b/>
                      <w:bCs/>
                      <w:color w:val="auto"/>
                      <w:sz w:val="21"/>
                      <w:szCs w:val="21"/>
                      <w:highlight w:val="none"/>
                    </w:rPr>
                  </w:pPr>
                  <w:r>
                    <w:rPr>
                      <w:b/>
                      <w:bCs/>
                      <w:color w:val="auto"/>
                      <w:sz w:val="21"/>
                      <w:szCs w:val="21"/>
                      <w:highlight w:val="none"/>
                    </w:rPr>
                    <w:t>排放标准</w:t>
                  </w:r>
                </w:p>
              </w:tc>
            </w:tr>
            <w:tr w14:paraId="013FA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1" w:type="pct"/>
                  <w:vAlign w:val="center"/>
                </w:tcPr>
                <w:p w14:paraId="494F19E5">
                  <w:pPr>
                    <w:spacing w:line="360" w:lineRule="atLeast"/>
                    <w:ind w:firstLine="0" w:firstLineChars="0"/>
                    <w:jc w:val="center"/>
                    <w:rPr>
                      <w:color w:val="auto"/>
                      <w:sz w:val="21"/>
                      <w:szCs w:val="21"/>
                      <w:highlight w:val="none"/>
                    </w:rPr>
                  </w:pPr>
                  <w:r>
                    <w:rPr>
                      <w:color w:val="auto"/>
                      <w:sz w:val="21"/>
                      <w:szCs w:val="21"/>
                      <w:highlight w:val="none"/>
                    </w:rPr>
                    <w:t>DW001</w:t>
                  </w:r>
                </w:p>
              </w:tc>
              <w:tc>
                <w:tcPr>
                  <w:tcW w:w="526" w:type="pct"/>
                  <w:vAlign w:val="center"/>
                </w:tcPr>
                <w:p w14:paraId="7AA133BD">
                  <w:pPr>
                    <w:spacing w:line="360" w:lineRule="atLeast"/>
                    <w:ind w:firstLine="0" w:firstLine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总排放口</w:t>
                  </w:r>
                </w:p>
              </w:tc>
              <w:tc>
                <w:tcPr>
                  <w:tcW w:w="539" w:type="pct"/>
                  <w:vAlign w:val="center"/>
                </w:tcPr>
                <w:p w14:paraId="154AD9CA">
                  <w:pPr>
                    <w:spacing w:line="360" w:lineRule="atLeast"/>
                    <w:ind w:firstLine="0" w:firstLineChars="0"/>
                    <w:jc w:val="center"/>
                    <w:rPr>
                      <w:color w:val="auto"/>
                      <w:sz w:val="21"/>
                      <w:szCs w:val="21"/>
                      <w:highlight w:val="none"/>
                    </w:rPr>
                  </w:pPr>
                  <w:r>
                    <w:rPr>
                      <w:rFonts w:hint="eastAsia"/>
                      <w:color w:val="auto"/>
                      <w:sz w:val="21"/>
                      <w:szCs w:val="21"/>
                      <w:highlight w:val="none"/>
                      <w:lang w:val="en-US" w:eastAsia="zh-CN"/>
                    </w:rPr>
                    <w:t>总</w:t>
                  </w:r>
                  <w:r>
                    <w:rPr>
                      <w:rFonts w:hint="eastAsia"/>
                      <w:color w:val="auto"/>
                      <w:sz w:val="21"/>
                      <w:szCs w:val="21"/>
                      <w:highlight w:val="none"/>
                    </w:rPr>
                    <w:t>排放口</w:t>
                  </w:r>
                </w:p>
              </w:tc>
              <w:tc>
                <w:tcPr>
                  <w:tcW w:w="938" w:type="pct"/>
                  <w:vAlign w:val="center"/>
                </w:tcPr>
                <w:p w14:paraId="1C208D30">
                  <w:pPr>
                    <w:keepNext w:val="0"/>
                    <w:keepLines w:val="0"/>
                    <w:pageBreakBefore w:val="0"/>
                    <w:widowControl w:val="0"/>
                    <w:kinsoku/>
                    <w:wordWrap w:val="0"/>
                    <w:overflowPunct/>
                    <w:topLinePunct/>
                    <w:autoSpaceDE/>
                    <w:autoSpaceDN/>
                    <w:bidi w:val="0"/>
                    <w:adjustRightInd/>
                    <w:snapToGrid/>
                    <w:spacing w:line="240" w:lineRule="atLeast"/>
                    <w:ind w:firstLine="0" w:firstLineChars="0"/>
                    <w:jc w:val="left"/>
                    <w:textAlignment w:val="auto"/>
                    <w:rPr>
                      <w:rFonts w:hint="eastAsia" w:eastAsia="宋体"/>
                      <w:color w:val="auto"/>
                      <w:sz w:val="21"/>
                      <w:szCs w:val="21"/>
                      <w:highlight w:val="none"/>
                      <w:lang w:val="en-US" w:eastAsia="zh-CN"/>
                    </w:rPr>
                  </w:pPr>
                  <w:r>
                    <w:rPr>
                      <w:rFonts w:hint="eastAsia" w:eastAsia="宋体"/>
                      <w:color w:val="auto"/>
                      <w:sz w:val="21"/>
                      <w:szCs w:val="21"/>
                      <w:highlight w:val="none"/>
                      <w:lang w:val="en-US" w:eastAsia="zh-CN"/>
                    </w:rPr>
                    <w:t xml:space="preserve"> 108 °45 ′ 19.109 ″，</w:t>
                  </w:r>
                </w:p>
                <w:p w14:paraId="7391E53C">
                  <w:pPr>
                    <w:keepNext w:val="0"/>
                    <w:keepLines w:val="0"/>
                    <w:pageBreakBefore w:val="0"/>
                    <w:widowControl w:val="0"/>
                    <w:kinsoku/>
                    <w:wordWrap w:val="0"/>
                    <w:overflowPunct/>
                    <w:topLinePunct w:val="0"/>
                    <w:autoSpaceDE/>
                    <w:autoSpaceDN/>
                    <w:bidi w:val="0"/>
                    <w:adjustRightInd/>
                    <w:snapToGrid/>
                    <w:spacing w:line="240" w:lineRule="atLeast"/>
                    <w:ind w:firstLine="0" w:firstLineChars="0"/>
                    <w:jc w:val="left"/>
                    <w:textAlignment w:val="auto"/>
                    <w:rPr>
                      <w:rFonts w:hint="eastAsia" w:eastAsia="宋体"/>
                      <w:color w:val="auto"/>
                      <w:sz w:val="21"/>
                      <w:szCs w:val="21"/>
                      <w:highlight w:val="none"/>
                      <w:lang w:val="en-US" w:eastAsia="zh-CN"/>
                    </w:rPr>
                  </w:pPr>
                  <w:r>
                    <w:rPr>
                      <w:rFonts w:hint="eastAsia" w:eastAsia="宋体"/>
                      <w:color w:val="auto"/>
                      <w:sz w:val="21"/>
                      <w:szCs w:val="21"/>
                      <w:highlight w:val="none"/>
                      <w:lang w:val="en-US" w:eastAsia="zh-CN"/>
                    </w:rPr>
                    <w:t xml:space="preserve"> 34 °15 ′26.967 ″</w:t>
                  </w:r>
                </w:p>
              </w:tc>
              <w:tc>
                <w:tcPr>
                  <w:tcW w:w="2474" w:type="pct"/>
                  <w:vAlign w:val="center"/>
                </w:tcPr>
                <w:p w14:paraId="3F141A3F">
                  <w:pPr>
                    <w:spacing w:line="360" w:lineRule="atLeast"/>
                    <w:ind w:firstLine="0" w:firstLineChars="0"/>
                    <w:jc w:val="center"/>
                    <w:rPr>
                      <w:color w:val="auto"/>
                      <w:sz w:val="21"/>
                      <w:szCs w:val="21"/>
                      <w:highlight w:val="none"/>
                    </w:rPr>
                  </w:pPr>
                  <w:r>
                    <w:rPr>
                      <w:color w:val="auto"/>
                      <w:sz w:val="21"/>
                      <w:szCs w:val="21"/>
                      <w:highlight w:val="none"/>
                    </w:rPr>
                    <w:t>《污水综合排放标准》（GB8978-1996）中三级标准、《污水排入城镇下水道水质标准》（GB/T31962-2015）中</w:t>
                  </w:r>
                  <w:r>
                    <w:rPr>
                      <w:rFonts w:hint="eastAsia"/>
                      <w:color w:val="auto"/>
                      <w:sz w:val="21"/>
                      <w:szCs w:val="21"/>
                      <w:highlight w:val="none"/>
                      <w:lang w:val="en-US" w:eastAsia="zh-CN"/>
                    </w:rPr>
                    <w:t>A</w:t>
                  </w:r>
                  <w:r>
                    <w:rPr>
                      <w:color w:val="auto"/>
                      <w:sz w:val="21"/>
                      <w:szCs w:val="21"/>
                      <w:highlight w:val="none"/>
                    </w:rPr>
                    <w:t>级标准要求</w:t>
                  </w:r>
                </w:p>
              </w:tc>
            </w:tr>
          </w:tbl>
          <w:p w14:paraId="02359FE8">
            <w:pPr>
              <w:ind w:firstLine="482"/>
              <w:rPr>
                <w:b/>
                <w:bCs/>
                <w:color w:val="auto"/>
                <w:kern w:val="0"/>
                <w:highlight w:val="none"/>
              </w:rPr>
            </w:pPr>
            <w:r>
              <w:rPr>
                <w:rFonts w:hint="eastAsia" w:ascii="Times New Roman" w:hAnsi="Times New Roman" w:eastAsia="宋体" w:cs="Times New Roman"/>
                <w:b/>
                <w:bCs w:val="0"/>
                <w:kern w:val="2"/>
                <w:sz w:val="24"/>
                <w:szCs w:val="24"/>
                <w:lang w:val="en-US" w:eastAsia="zh-CN" w:bidi="ar-SA"/>
              </w:rPr>
              <w:t>（4）监</w:t>
            </w:r>
            <w:r>
              <w:rPr>
                <w:b/>
                <w:bCs/>
                <w:color w:val="auto"/>
                <w:kern w:val="0"/>
                <w:highlight w:val="none"/>
              </w:rPr>
              <w:t>测要求</w:t>
            </w:r>
          </w:p>
          <w:p w14:paraId="5E443237">
            <w:pPr>
              <w:ind w:firstLine="480"/>
              <w:rPr>
                <w:color w:val="auto"/>
                <w:kern w:val="0"/>
                <w:highlight w:val="none"/>
              </w:rPr>
            </w:pPr>
            <w:r>
              <w:rPr>
                <w:color w:val="auto"/>
                <w:kern w:val="0"/>
                <w:highlight w:val="none"/>
              </w:rPr>
              <w:t>根据《排污单位自行监测技术指南 总则》（HJ819-2017），污染源监测计划见表4-</w:t>
            </w:r>
            <w:r>
              <w:rPr>
                <w:rFonts w:hint="eastAsia"/>
                <w:color w:val="auto"/>
                <w:kern w:val="0"/>
                <w:highlight w:val="none"/>
                <w:lang w:val="en-US" w:eastAsia="zh-CN"/>
              </w:rPr>
              <w:t>8</w:t>
            </w:r>
            <w:r>
              <w:rPr>
                <w:color w:val="auto"/>
                <w:kern w:val="0"/>
                <w:highlight w:val="none"/>
              </w:rPr>
              <w:t>。</w:t>
            </w:r>
          </w:p>
          <w:p w14:paraId="1458C16C">
            <w:pPr>
              <w:ind w:firstLine="482"/>
              <w:jc w:val="center"/>
              <w:rPr>
                <w:b/>
                <w:color w:val="auto"/>
                <w:szCs w:val="21"/>
                <w:highlight w:val="none"/>
              </w:rPr>
            </w:pPr>
            <w:r>
              <w:rPr>
                <w:b/>
                <w:color w:val="auto"/>
                <w:szCs w:val="21"/>
                <w:highlight w:val="none"/>
              </w:rPr>
              <w:t>表4-</w:t>
            </w:r>
            <w:r>
              <w:rPr>
                <w:rFonts w:hint="eastAsia"/>
                <w:b/>
                <w:color w:val="auto"/>
                <w:szCs w:val="21"/>
                <w:highlight w:val="none"/>
                <w:lang w:val="en-US" w:eastAsia="zh-CN"/>
              </w:rPr>
              <w:t>8</w:t>
            </w:r>
            <w:r>
              <w:rPr>
                <w:b/>
                <w:color w:val="auto"/>
                <w:szCs w:val="21"/>
                <w:highlight w:val="none"/>
              </w:rPr>
              <w:t xml:space="preserve">  废水污染源监测计划表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980"/>
              <w:gridCol w:w="1323"/>
              <w:gridCol w:w="1160"/>
              <w:gridCol w:w="980"/>
              <w:gridCol w:w="2460"/>
            </w:tblGrid>
            <w:tr w14:paraId="4D309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3" w:type="pct"/>
                  <w:vAlign w:val="center"/>
                </w:tcPr>
                <w:p w14:paraId="6A9FB67A">
                  <w:pPr>
                    <w:pStyle w:val="34"/>
                    <w:adjustRightInd/>
                    <w:spacing w:line="360" w:lineRule="atLeast"/>
                    <w:ind w:firstLine="0" w:firstLineChars="0"/>
                    <w:jc w:val="center"/>
                    <w:rPr>
                      <w:rFonts w:ascii="Times New Roman" w:hAnsi="Times New Roman" w:cs="Times New Roman"/>
                      <w:b/>
                      <w:bCs/>
                      <w:color w:val="auto"/>
                      <w:sz w:val="21"/>
                      <w:szCs w:val="21"/>
                      <w:highlight w:val="none"/>
                      <w:lang w:val="en-GB"/>
                    </w:rPr>
                  </w:pPr>
                  <w:r>
                    <w:rPr>
                      <w:rFonts w:ascii="Times New Roman" w:hAnsi="Times New Roman" w:cs="Times New Roman"/>
                      <w:b/>
                      <w:bCs/>
                      <w:color w:val="auto"/>
                      <w:sz w:val="21"/>
                      <w:szCs w:val="21"/>
                      <w:highlight w:val="none"/>
                      <w:lang w:val="en-GB"/>
                    </w:rPr>
                    <w:t>项目</w:t>
                  </w:r>
                </w:p>
              </w:tc>
              <w:tc>
                <w:tcPr>
                  <w:tcW w:w="1153" w:type="pct"/>
                  <w:vAlign w:val="center"/>
                </w:tcPr>
                <w:p w14:paraId="2FD963A9">
                  <w:pPr>
                    <w:pStyle w:val="34"/>
                    <w:adjustRightInd/>
                    <w:spacing w:line="360" w:lineRule="atLeast"/>
                    <w:ind w:firstLine="0" w:firstLineChars="0"/>
                    <w:jc w:val="center"/>
                    <w:rPr>
                      <w:rFonts w:ascii="Times New Roman" w:hAnsi="Times New Roman" w:cs="Times New Roman"/>
                      <w:b/>
                      <w:bCs/>
                      <w:color w:val="auto"/>
                      <w:sz w:val="21"/>
                      <w:szCs w:val="21"/>
                      <w:highlight w:val="none"/>
                      <w:lang w:val="en-GB"/>
                    </w:rPr>
                  </w:pPr>
                  <w:r>
                    <w:rPr>
                      <w:rFonts w:ascii="Times New Roman" w:hAnsi="Times New Roman" w:cs="Times New Roman"/>
                      <w:b/>
                      <w:bCs/>
                      <w:color w:val="auto"/>
                      <w:sz w:val="21"/>
                      <w:szCs w:val="21"/>
                      <w:highlight w:val="none"/>
                      <w:lang w:val="en-GB"/>
                    </w:rPr>
                    <w:t>监测项目</w:t>
                  </w:r>
                </w:p>
              </w:tc>
              <w:tc>
                <w:tcPr>
                  <w:tcW w:w="771" w:type="pct"/>
                  <w:vAlign w:val="center"/>
                </w:tcPr>
                <w:p w14:paraId="2BB067DA">
                  <w:pPr>
                    <w:pStyle w:val="34"/>
                    <w:adjustRightInd/>
                    <w:spacing w:line="360" w:lineRule="atLeast"/>
                    <w:ind w:firstLine="0" w:firstLineChars="0"/>
                    <w:jc w:val="center"/>
                    <w:rPr>
                      <w:rFonts w:ascii="Times New Roman" w:hAnsi="Times New Roman" w:cs="Times New Roman"/>
                      <w:b/>
                      <w:bCs/>
                      <w:color w:val="auto"/>
                      <w:sz w:val="21"/>
                      <w:szCs w:val="21"/>
                      <w:highlight w:val="none"/>
                      <w:lang w:val="en-GB"/>
                    </w:rPr>
                  </w:pPr>
                  <w:r>
                    <w:rPr>
                      <w:rFonts w:ascii="Times New Roman" w:hAnsi="Times New Roman" w:cs="Times New Roman"/>
                      <w:b/>
                      <w:bCs/>
                      <w:color w:val="auto"/>
                      <w:sz w:val="21"/>
                      <w:szCs w:val="21"/>
                      <w:highlight w:val="none"/>
                      <w:lang w:val="en-GB"/>
                    </w:rPr>
                    <w:t>监测点位置</w:t>
                  </w:r>
                </w:p>
              </w:tc>
              <w:tc>
                <w:tcPr>
                  <w:tcW w:w="676" w:type="pct"/>
                  <w:vAlign w:val="center"/>
                </w:tcPr>
                <w:p w14:paraId="00AE354B">
                  <w:pPr>
                    <w:pStyle w:val="34"/>
                    <w:adjustRightInd/>
                    <w:spacing w:line="360" w:lineRule="atLeast"/>
                    <w:ind w:firstLine="0" w:firstLineChars="0"/>
                    <w:jc w:val="center"/>
                    <w:rPr>
                      <w:rFonts w:ascii="Times New Roman" w:hAnsi="Times New Roman" w:cs="Times New Roman"/>
                      <w:b/>
                      <w:bCs/>
                      <w:color w:val="auto"/>
                      <w:sz w:val="21"/>
                      <w:szCs w:val="21"/>
                      <w:highlight w:val="none"/>
                      <w:lang w:val="en-GB"/>
                    </w:rPr>
                  </w:pPr>
                  <w:r>
                    <w:rPr>
                      <w:rFonts w:ascii="Times New Roman" w:hAnsi="Times New Roman" w:cs="Times New Roman"/>
                      <w:b/>
                      <w:bCs/>
                      <w:color w:val="auto"/>
                      <w:sz w:val="21"/>
                      <w:szCs w:val="21"/>
                      <w:highlight w:val="none"/>
                      <w:lang w:val="en-GB"/>
                    </w:rPr>
                    <w:t>监测点数</w:t>
                  </w:r>
                </w:p>
              </w:tc>
              <w:tc>
                <w:tcPr>
                  <w:tcW w:w="571" w:type="pct"/>
                  <w:vAlign w:val="center"/>
                </w:tcPr>
                <w:p w14:paraId="617A7ADE">
                  <w:pPr>
                    <w:pStyle w:val="34"/>
                    <w:adjustRightInd/>
                    <w:spacing w:line="360" w:lineRule="atLeast"/>
                    <w:ind w:firstLine="0" w:firstLineChars="0"/>
                    <w:jc w:val="center"/>
                    <w:rPr>
                      <w:rFonts w:ascii="Times New Roman" w:hAnsi="Times New Roman" w:cs="Times New Roman"/>
                      <w:b/>
                      <w:bCs/>
                      <w:color w:val="auto"/>
                      <w:sz w:val="21"/>
                      <w:szCs w:val="21"/>
                      <w:highlight w:val="none"/>
                      <w:lang w:val="en-GB"/>
                    </w:rPr>
                  </w:pPr>
                  <w:r>
                    <w:rPr>
                      <w:rFonts w:ascii="Times New Roman" w:hAnsi="Times New Roman" w:cs="Times New Roman"/>
                      <w:b/>
                      <w:bCs/>
                      <w:color w:val="auto"/>
                      <w:sz w:val="21"/>
                      <w:szCs w:val="21"/>
                      <w:highlight w:val="none"/>
                      <w:lang w:val="en-GB"/>
                    </w:rPr>
                    <w:t>监测频率</w:t>
                  </w:r>
                </w:p>
              </w:tc>
              <w:tc>
                <w:tcPr>
                  <w:tcW w:w="1433" w:type="pct"/>
                  <w:vAlign w:val="center"/>
                </w:tcPr>
                <w:p w14:paraId="514508F6">
                  <w:pPr>
                    <w:pStyle w:val="34"/>
                    <w:adjustRightInd/>
                    <w:spacing w:line="360" w:lineRule="atLeast"/>
                    <w:ind w:firstLine="0" w:firstLineChars="0"/>
                    <w:jc w:val="center"/>
                    <w:rPr>
                      <w:rFonts w:ascii="Times New Roman" w:hAnsi="Times New Roman" w:cs="Times New Roman"/>
                      <w:b/>
                      <w:bCs/>
                      <w:color w:val="auto"/>
                      <w:sz w:val="21"/>
                      <w:szCs w:val="21"/>
                      <w:highlight w:val="none"/>
                      <w:lang w:val="en-GB"/>
                    </w:rPr>
                  </w:pPr>
                  <w:r>
                    <w:rPr>
                      <w:rFonts w:ascii="Times New Roman" w:hAnsi="Times New Roman" w:cs="Times New Roman"/>
                      <w:b/>
                      <w:bCs/>
                      <w:color w:val="auto"/>
                      <w:sz w:val="21"/>
                      <w:szCs w:val="21"/>
                      <w:highlight w:val="none"/>
                      <w:lang w:val="en-GB"/>
                    </w:rPr>
                    <w:t>控制指标</w:t>
                  </w:r>
                </w:p>
              </w:tc>
            </w:tr>
            <w:tr w14:paraId="0360A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3" w:type="pct"/>
                  <w:vAlign w:val="center"/>
                </w:tcPr>
                <w:p w14:paraId="4A47FA20">
                  <w:pPr>
                    <w:pStyle w:val="34"/>
                    <w:adjustRightInd/>
                    <w:spacing w:line="360" w:lineRule="atLeast"/>
                    <w:ind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废水</w:t>
                  </w:r>
                </w:p>
              </w:tc>
              <w:tc>
                <w:tcPr>
                  <w:tcW w:w="1153" w:type="pct"/>
                  <w:vAlign w:val="center"/>
                </w:tcPr>
                <w:p w14:paraId="54BF224E">
                  <w:pPr>
                    <w:pStyle w:val="34"/>
                    <w:adjustRightInd/>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rPr>
                    <w:t>pH值、化学需氧量、氨氮、总磷、总氮、悬</w:t>
                  </w:r>
                  <w:r>
                    <w:rPr>
                      <w:rFonts w:hint="eastAsia" w:ascii="Times New Roman" w:hAnsi="Times New Roman" w:eastAsia="宋体" w:cs="Times New Roman"/>
                      <w:color w:val="auto"/>
                      <w:sz w:val="21"/>
                      <w:szCs w:val="21"/>
                      <w:highlight w:val="none"/>
                    </w:rPr>
                    <w:t>浮物</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动植物油</w:t>
                  </w:r>
                </w:p>
              </w:tc>
              <w:tc>
                <w:tcPr>
                  <w:tcW w:w="771" w:type="pct"/>
                  <w:vAlign w:val="center"/>
                </w:tcPr>
                <w:p w14:paraId="750F3D1A">
                  <w:pPr>
                    <w:pStyle w:val="34"/>
                    <w:adjustRightInd/>
                    <w:spacing w:line="360" w:lineRule="atLeast"/>
                    <w:ind w:firstLine="0" w:firstLineChars="0"/>
                    <w:jc w:val="center"/>
                    <w:rPr>
                      <w:rFonts w:ascii="Times New Roman" w:hAnsi="Times New Roman" w:cs="Times New Roman"/>
                      <w:color w:val="auto"/>
                      <w:sz w:val="21"/>
                      <w:szCs w:val="21"/>
                      <w:highlight w:val="none"/>
                    </w:rPr>
                  </w:pPr>
                  <w:r>
                    <w:rPr>
                      <w:rFonts w:hint="eastAsia"/>
                      <w:color w:val="auto"/>
                      <w:sz w:val="21"/>
                      <w:szCs w:val="21"/>
                      <w:highlight w:val="none"/>
                      <w:lang w:val="en-US" w:eastAsia="zh-CN"/>
                    </w:rPr>
                    <w:t>废水排放口</w:t>
                  </w:r>
                </w:p>
              </w:tc>
              <w:tc>
                <w:tcPr>
                  <w:tcW w:w="676" w:type="pct"/>
                  <w:vAlign w:val="center"/>
                </w:tcPr>
                <w:p w14:paraId="29638908">
                  <w:pPr>
                    <w:pStyle w:val="34"/>
                    <w:adjustRightInd/>
                    <w:spacing w:line="360" w:lineRule="atLeast"/>
                    <w:ind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1个</w:t>
                  </w:r>
                </w:p>
              </w:tc>
              <w:tc>
                <w:tcPr>
                  <w:tcW w:w="571" w:type="pct"/>
                  <w:vAlign w:val="center"/>
                </w:tcPr>
                <w:p w14:paraId="06C3E302">
                  <w:pPr>
                    <w:pStyle w:val="34"/>
                    <w:adjustRightInd/>
                    <w:spacing w:line="360" w:lineRule="atLeast"/>
                    <w:ind w:firstLine="0" w:firstLineChars="0"/>
                    <w:jc w:val="center"/>
                    <w:rPr>
                      <w:rFonts w:ascii="Times New Roman" w:hAnsi="Times New Roman" w:cs="Times New Roman"/>
                      <w:color w:val="auto"/>
                      <w:sz w:val="21"/>
                      <w:szCs w:val="21"/>
                      <w:highlight w:val="none"/>
                      <w:lang w:val="en-GB"/>
                    </w:rPr>
                  </w:pPr>
                  <w:r>
                    <w:rPr>
                      <w:rFonts w:ascii="Times New Roman" w:hAnsi="Times New Roman" w:cs="Times New Roman"/>
                      <w:color w:val="auto"/>
                      <w:sz w:val="21"/>
                      <w:szCs w:val="21"/>
                      <w:highlight w:val="none"/>
                      <w:lang w:val="en-GB"/>
                    </w:rPr>
                    <w:t>1次</w:t>
                  </w:r>
                  <w:r>
                    <w:rPr>
                      <w:rFonts w:ascii="Times New Roman" w:hAnsi="Times New Roman" w:cs="Times New Roman"/>
                      <w:color w:val="auto"/>
                      <w:sz w:val="21"/>
                      <w:szCs w:val="21"/>
                      <w:highlight w:val="none"/>
                    </w:rPr>
                    <w:t>/年</w:t>
                  </w:r>
                </w:p>
              </w:tc>
              <w:tc>
                <w:tcPr>
                  <w:tcW w:w="1433" w:type="pct"/>
                  <w:vAlign w:val="center"/>
                </w:tcPr>
                <w:p w14:paraId="2FA908A3">
                  <w:pPr>
                    <w:pStyle w:val="34"/>
                    <w:adjustRightInd/>
                    <w:spacing w:line="360" w:lineRule="atLeast"/>
                    <w:ind w:firstLine="0" w:firstLineChars="0"/>
                    <w:jc w:val="center"/>
                    <w:rPr>
                      <w:rFonts w:hint="eastAsia" w:ascii="Times New Roman" w:hAnsi="Times New Roman" w:eastAsia="宋体" w:cs="Times New Roman"/>
                      <w:color w:val="auto"/>
                      <w:sz w:val="21"/>
                      <w:szCs w:val="21"/>
                      <w:highlight w:val="none"/>
                      <w:lang w:val="en-GB" w:eastAsia="zh-CN"/>
                    </w:rPr>
                  </w:pPr>
                  <w:r>
                    <w:rPr>
                      <w:rFonts w:ascii="Times New Roman" w:hAnsi="Times New Roman" w:cs="Times New Roman"/>
                      <w:color w:val="auto"/>
                      <w:sz w:val="21"/>
                      <w:szCs w:val="21"/>
                      <w:highlight w:val="none"/>
                      <w:lang w:val="en-GB"/>
                    </w:rPr>
                    <w:t>《污水综合排放标准》</w:t>
                  </w:r>
                  <w:r>
                    <w:rPr>
                      <w:rFonts w:hint="eastAsia" w:ascii="Times New Roman" w:hAnsi="Times New Roman" w:cs="Times New Roman"/>
                      <w:color w:val="auto"/>
                      <w:sz w:val="21"/>
                      <w:szCs w:val="21"/>
                      <w:highlight w:val="none"/>
                      <w:lang w:val="en-GB" w:eastAsia="zh-CN"/>
                    </w:rPr>
                    <w:t>（</w:t>
                  </w:r>
                  <w:r>
                    <w:rPr>
                      <w:rFonts w:ascii="Times New Roman" w:hAnsi="Times New Roman" w:cs="Times New Roman"/>
                      <w:color w:val="auto"/>
                      <w:sz w:val="21"/>
                      <w:szCs w:val="21"/>
                      <w:highlight w:val="none"/>
                      <w:lang w:val="en-GB"/>
                    </w:rPr>
                    <w:t>GB8978-1996</w:t>
                  </w:r>
                  <w:r>
                    <w:rPr>
                      <w:rFonts w:hint="eastAsia" w:ascii="Times New Roman" w:hAnsi="Times New Roman" w:cs="Times New Roman"/>
                      <w:color w:val="auto"/>
                      <w:sz w:val="21"/>
                      <w:szCs w:val="21"/>
                      <w:highlight w:val="none"/>
                      <w:lang w:val="en-GB" w:eastAsia="zh-CN"/>
                    </w:rPr>
                    <w:t>）</w:t>
                  </w:r>
                  <w:r>
                    <w:rPr>
                      <w:rFonts w:ascii="Times New Roman" w:hAnsi="Times New Roman" w:cs="Times New Roman"/>
                      <w:color w:val="auto"/>
                      <w:sz w:val="21"/>
                      <w:szCs w:val="21"/>
                      <w:highlight w:val="none"/>
                      <w:lang w:val="en-GB"/>
                    </w:rPr>
                    <w:t>中三级标准</w:t>
                  </w:r>
                  <w:r>
                    <w:rPr>
                      <w:rFonts w:hint="eastAsia"/>
                      <w:lang w:eastAsia="zh-CN"/>
                    </w:rPr>
                    <w:t>、</w:t>
                  </w:r>
                  <w:r>
                    <w:rPr>
                      <w:sz w:val="21"/>
                      <w:szCs w:val="21"/>
                    </w:rPr>
                    <w:t>《污水排入城镇下水道水质标准》GB/T31962-2015</w:t>
                  </w:r>
                  <w:r>
                    <w:rPr>
                      <w:rFonts w:hint="eastAsia"/>
                      <w:sz w:val="21"/>
                      <w:szCs w:val="21"/>
                    </w:rPr>
                    <w:t>A</w:t>
                  </w:r>
                  <w:r>
                    <w:rPr>
                      <w:sz w:val="21"/>
                      <w:szCs w:val="21"/>
                    </w:rPr>
                    <w:t>级标准</w:t>
                  </w:r>
                </w:p>
              </w:tc>
            </w:tr>
          </w:tbl>
          <w:p w14:paraId="7D3E842D">
            <w:pPr>
              <w:ind w:firstLine="482"/>
              <w:rPr>
                <w:b/>
                <w:bCs/>
                <w:color w:val="auto"/>
              </w:rPr>
            </w:pPr>
            <w:r>
              <w:rPr>
                <w:rFonts w:hint="eastAsia"/>
                <w:b/>
                <w:bCs/>
                <w:color w:val="auto"/>
                <w:lang w:val="en-US" w:eastAsia="zh-CN"/>
              </w:rPr>
              <w:t>3</w:t>
            </w:r>
            <w:r>
              <w:rPr>
                <w:b/>
                <w:bCs/>
                <w:color w:val="auto"/>
              </w:rPr>
              <w:t>、噪声</w:t>
            </w:r>
          </w:p>
          <w:p w14:paraId="437399D2">
            <w:pPr>
              <w:ind w:firstLine="482"/>
              <w:rPr>
                <w:rFonts w:hint="eastAsia"/>
                <w:b/>
                <w:bCs/>
                <w:color w:val="auto"/>
              </w:rPr>
            </w:pPr>
            <w:r>
              <w:rPr>
                <w:rFonts w:hint="eastAsia"/>
                <w:b/>
                <w:bCs/>
                <w:color w:val="auto"/>
                <w:lang w:eastAsia="zh-CN"/>
              </w:rPr>
              <w:t>（</w:t>
            </w:r>
            <w:r>
              <w:rPr>
                <w:rFonts w:hint="eastAsia"/>
                <w:b/>
                <w:bCs/>
                <w:color w:val="auto"/>
                <w:lang w:val="en-US" w:eastAsia="zh-CN"/>
              </w:rPr>
              <w:t>1）</w:t>
            </w:r>
            <w:r>
              <w:rPr>
                <w:rFonts w:hint="eastAsia"/>
                <w:b/>
                <w:bCs/>
                <w:color w:val="auto"/>
              </w:rPr>
              <w:t>噪声源强</w:t>
            </w:r>
          </w:p>
          <w:p w14:paraId="7C28D19A">
            <w:pPr>
              <w:ind w:firstLine="480"/>
              <w:rPr>
                <w:rFonts w:hint="eastAsia"/>
              </w:rPr>
            </w:pPr>
            <w:r>
              <w:rPr>
                <w:rFonts w:hint="eastAsia"/>
                <w:color w:val="auto"/>
              </w:rPr>
              <w:t>项目不属于生产</w:t>
            </w:r>
            <w:r>
              <w:rPr>
                <w:rFonts w:hint="eastAsia"/>
                <w:color w:val="auto"/>
                <w:lang w:val="en-US" w:eastAsia="zh-CN"/>
              </w:rPr>
              <w:t>类工业项目</w:t>
            </w:r>
            <w:r>
              <w:rPr>
                <w:rFonts w:hint="eastAsia"/>
                <w:color w:val="auto"/>
              </w:rPr>
              <w:t>，</w:t>
            </w:r>
            <w:r>
              <w:rPr>
                <w:rFonts w:hint="eastAsia"/>
                <w:color w:val="auto"/>
                <w:lang w:val="en-US" w:eastAsia="zh-CN"/>
              </w:rPr>
              <w:t>研发</w:t>
            </w:r>
            <w:r>
              <w:rPr>
                <w:rFonts w:hint="eastAsia"/>
                <w:color w:val="auto"/>
              </w:rPr>
              <w:t>过程所用设备均为小型仪器，运行过程中产生的噪声较小，且均位于室内，经</w:t>
            </w:r>
            <w:r>
              <w:rPr>
                <w:rFonts w:hint="eastAsia"/>
                <w:color w:val="auto"/>
                <w:lang w:val="en-US" w:eastAsia="zh-CN"/>
              </w:rPr>
              <w:t>厂房</w:t>
            </w:r>
            <w:r>
              <w:rPr>
                <w:rFonts w:hint="eastAsia"/>
                <w:color w:val="auto"/>
              </w:rPr>
              <w:t>隔</w:t>
            </w:r>
            <w:r>
              <w:rPr>
                <w:rFonts w:hint="eastAsia"/>
                <w:lang w:val="en-US" w:eastAsia="zh-CN"/>
              </w:rPr>
              <w:t>声</w:t>
            </w:r>
            <w:r>
              <w:rPr>
                <w:rFonts w:hint="eastAsia"/>
                <w:color w:val="auto"/>
                <w:lang w:eastAsia="zh-CN"/>
              </w:rPr>
              <w:t>、</w:t>
            </w:r>
            <w:r>
              <w:rPr>
                <w:rFonts w:hint="eastAsia"/>
                <w:color w:val="auto"/>
                <w:lang w:val="en-US" w:eastAsia="zh-CN"/>
              </w:rPr>
              <w:t>距离衰减</w:t>
            </w:r>
            <w:r>
              <w:rPr>
                <w:rFonts w:hint="eastAsia"/>
                <w:color w:val="auto"/>
              </w:rPr>
              <w:t>后其噪声值较小。</w:t>
            </w:r>
            <w:r>
              <w:rPr>
                <w:lang w:val="zh-CN"/>
              </w:rPr>
              <w:t>本项目运营期噪声主要来源</w:t>
            </w:r>
            <w:r>
              <w:rPr>
                <w:rFonts w:hint="eastAsia"/>
                <w:lang w:val="zh-CN"/>
              </w:rPr>
              <w:t>于</w:t>
            </w:r>
            <w:r>
              <w:rPr>
                <w:rFonts w:hint="eastAsia"/>
              </w:rPr>
              <w:t>通风机组</w:t>
            </w:r>
            <w:r>
              <w:rPr>
                <w:rFonts w:hint="eastAsia"/>
                <w:lang w:val="en-US" w:eastAsia="zh-CN"/>
              </w:rPr>
              <w:t>和部分实验装置</w:t>
            </w:r>
            <w:r>
              <w:rPr>
                <w:lang w:val="zh-CN"/>
              </w:rPr>
              <w:t>，设备置于封闭</w:t>
            </w:r>
            <w:r>
              <w:rPr>
                <w:rFonts w:hint="eastAsia"/>
                <w:lang w:val="en-US" w:eastAsia="zh-CN"/>
              </w:rPr>
              <w:t>室</w:t>
            </w:r>
            <w:r>
              <w:rPr>
                <w:lang w:val="zh-CN"/>
              </w:rPr>
              <w:t>内，</w:t>
            </w:r>
            <w:r>
              <w:rPr>
                <w:rFonts w:hint="eastAsia"/>
              </w:rPr>
              <w:t>属于室内噪声源。</w:t>
            </w:r>
          </w:p>
          <w:p w14:paraId="6E302B9E">
            <w:pPr>
              <w:pStyle w:val="43"/>
              <w:keepNext w:val="0"/>
              <w:keepLines w:val="0"/>
              <w:pageBreakBefore w:val="0"/>
              <w:widowControl w:val="0"/>
              <w:kinsoku/>
              <w:wordWrap/>
              <w:overflowPunct/>
              <w:topLinePunct w:val="0"/>
              <w:autoSpaceDE/>
              <w:autoSpaceDN/>
              <w:bidi w:val="0"/>
              <w:adjustRightInd w:val="0"/>
              <w:snapToGrid w:val="0"/>
              <w:spacing w:before="0" w:beforeLines="0" w:line="240" w:lineRule="auto"/>
              <w:textAlignment w:val="auto"/>
              <w:rPr>
                <w:lang w:val="zh-CN"/>
              </w:rPr>
            </w:pPr>
            <w:r>
              <w:rPr>
                <w:lang w:val="zh-CN"/>
              </w:rPr>
              <w:t>表</w:t>
            </w:r>
            <w:r>
              <w:t>4-</w:t>
            </w:r>
            <w:r>
              <w:rPr>
                <w:rFonts w:hint="eastAsia"/>
                <w:lang w:val="en-US" w:eastAsia="zh-CN"/>
              </w:rPr>
              <w:t>9</w:t>
            </w:r>
            <w:r>
              <w:rPr>
                <w:lang w:val="zh-CN"/>
              </w:rPr>
              <w:t xml:space="preserve"> 本项目室内声源噪声源强一览表</w:t>
            </w:r>
          </w:p>
          <w:tbl>
            <w:tblPr>
              <w:tblStyle w:val="16"/>
              <w:tblpPr w:leftFromText="180" w:rightFromText="180" w:vertAnchor="text" w:horzAnchor="page" w:tblpX="136" w:tblpY="63"/>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
              <w:gridCol w:w="472"/>
              <w:gridCol w:w="919"/>
              <w:gridCol w:w="607"/>
              <w:gridCol w:w="901"/>
              <w:gridCol w:w="869"/>
              <w:gridCol w:w="480"/>
              <w:gridCol w:w="505"/>
              <w:gridCol w:w="482"/>
              <w:gridCol w:w="827"/>
              <w:gridCol w:w="695"/>
              <w:gridCol w:w="669"/>
              <w:gridCol w:w="716"/>
            </w:tblGrid>
            <w:tr w14:paraId="0A484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vMerge w:val="restart"/>
                  <w:tcBorders>
                    <w:tl2br w:val="nil"/>
                    <w:tr2bl w:val="nil"/>
                  </w:tcBorders>
                  <w:vAlign w:val="center"/>
                </w:tcPr>
                <w:p w14:paraId="03EBDF9C">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lang w:bidi="ar"/>
                    </w:rPr>
                    <w:t>序号</w:t>
                  </w:r>
                </w:p>
              </w:tc>
              <w:tc>
                <w:tcPr>
                  <w:tcW w:w="275" w:type="pct"/>
                  <w:vMerge w:val="restart"/>
                  <w:tcBorders>
                    <w:tl2br w:val="nil"/>
                    <w:tr2bl w:val="nil"/>
                  </w:tcBorders>
                  <w:vAlign w:val="center"/>
                </w:tcPr>
                <w:p w14:paraId="60B610D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lang w:bidi="ar"/>
                    </w:rPr>
                    <w:t>建筑物名称</w:t>
                  </w:r>
                </w:p>
              </w:tc>
              <w:tc>
                <w:tcPr>
                  <w:tcW w:w="535" w:type="pct"/>
                  <w:vMerge w:val="restart"/>
                  <w:tcBorders>
                    <w:tl2br w:val="nil"/>
                    <w:tr2bl w:val="nil"/>
                  </w:tcBorders>
                  <w:vAlign w:val="center"/>
                </w:tcPr>
                <w:p w14:paraId="268B11C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rPr>
                    <w:t>声源</w:t>
                  </w:r>
                </w:p>
                <w:p w14:paraId="3FF88A7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rPr>
                    <w:t>名称</w:t>
                  </w:r>
                </w:p>
              </w:tc>
              <w:tc>
                <w:tcPr>
                  <w:tcW w:w="353" w:type="pct"/>
                  <w:vMerge w:val="restart"/>
                  <w:tcBorders>
                    <w:tl2br w:val="nil"/>
                    <w:tr2bl w:val="nil"/>
                  </w:tcBorders>
                  <w:vAlign w:val="center"/>
                </w:tcPr>
                <w:p w14:paraId="7B42655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b/>
                      <w:bCs w:val="0"/>
                      <w:sz w:val="21"/>
                      <w:szCs w:val="21"/>
                      <w:highlight w:val="none"/>
                      <w:lang w:val="en-US" w:eastAsia="zh-CN"/>
                    </w:rPr>
                  </w:pPr>
                  <w:r>
                    <w:rPr>
                      <w:rFonts w:hint="eastAsia"/>
                      <w:b/>
                      <w:bCs w:val="0"/>
                      <w:sz w:val="21"/>
                      <w:szCs w:val="21"/>
                      <w:highlight w:val="none"/>
                      <w:lang w:val="en-US" w:eastAsia="zh-CN"/>
                    </w:rPr>
                    <w:t>装置数量/台</w:t>
                  </w:r>
                </w:p>
              </w:tc>
              <w:tc>
                <w:tcPr>
                  <w:tcW w:w="525" w:type="pct"/>
                  <w:tcBorders>
                    <w:tl2br w:val="nil"/>
                    <w:tr2bl w:val="nil"/>
                  </w:tcBorders>
                  <w:vAlign w:val="center"/>
                </w:tcPr>
                <w:p w14:paraId="3040C9F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lang w:bidi="ar"/>
                    </w:rPr>
                    <w:t>声源源强</w:t>
                  </w:r>
                </w:p>
              </w:tc>
              <w:tc>
                <w:tcPr>
                  <w:tcW w:w="506" w:type="pct"/>
                  <w:vMerge w:val="restart"/>
                  <w:tcBorders>
                    <w:tl2br w:val="nil"/>
                    <w:tr2bl w:val="nil"/>
                  </w:tcBorders>
                  <w:vAlign w:val="center"/>
                </w:tcPr>
                <w:p w14:paraId="19972BF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lang w:bidi="ar"/>
                    </w:rPr>
                    <w:t>声源控制措施</w:t>
                  </w:r>
                </w:p>
              </w:tc>
              <w:tc>
                <w:tcPr>
                  <w:tcW w:w="855" w:type="pct"/>
                  <w:gridSpan w:val="3"/>
                  <w:tcBorders>
                    <w:tl2br w:val="nil"/>
                    <w:tr2bl w:val="nil"/>
                  </w:tcBorders>
                  <w:vAlign w:val="center"/>
                </w:tcPr>
                <w:p w14:paraId="5F032DE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rPr>
                    <w:t>空间相对位置/m</w:t>
                  </w:r>
                </w:p>
              </w:tc>
              <w:tc>
                <w:tcPr>
                  <w:tcW w:w="482" w:type="pct"/>
                  <w:vMerge w:val="restart"/>
                  <w:tcBorders>
                    <w:tl2br w:val="nil"/>
                    <w:tr2bl w:val="nil"/>
                  </w:tcBorders>
                  <w:vAlign w:val="center"/>
                </w:tcPr>
                <w:p w14:paraId="4B1C906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rPr>
                    <w:t>运行</w:t>
                  </w:r>
                </w:p>
                <w:p w14:paraId="5D95CD9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rPr>
                    <w:t>时段</w:t>
                  </w:r>
                </w:p>
              </w:tc>
              <w:tc>
                <w:tcPr>
                  <w:tcW w:w="405" w:type="pct"/>
                  <w:vMerge w:val="restart"/>
                  <w:tcBorders>
                    <w:tl2br w:val="nil"/>
                    <w:tr2bl w:val="nil"/>
                  </w:tcBorders>
                  <w:vAlign w:val="center"/>
                </w:tcPr>
                <w:p w14:paraId="2BB726B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lang w:bidi="ar"/>
                    </w:rPr>
                    <w:t>建筑物</w:t>
                  </w:r>
                </w:p>
                <w:p w14:paraId="0E47BE6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lang w:bidi="ar"/>
                    </w:rPr>
                    <w:t>插入损</w:t>
                  </w:r>
                </w:p>
                <w:p w14:paraId="365775B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lang w:bidi="ar"/>
                    </w:rPr>
                    <w:t>失/dB(A)</w:t>
                  </w:r>
                </w:p>
              </w:tc>
              <w:tc>
                <w:tcPr>
                  <w:tcW w:w="807" w:type="pct"/>
                  <w:gridSpan w:val="2"/>
                  <w:tcBorders>
                    <w:tl2br w:val="nil"/>
                    <w:tr2bl w:val="nil"/>
                  </w:tcBorders>
                  <w:vAlign w:val="center"/>
                </w:tcPr>
                <w:p w14:paraId="4634A547">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rPr>
                    <w:t>建筑物外噪声</w:t>
                  </w:r>
                </w:p>
              </w:tc>
            </w:tr>
            <w:tr w14:paraId="4746E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trPr>
              <w:tc>
                <w:tcPr>
                  <w:tcW w:w="254" w:type="pct"/>
                  <w:vMerge w:val="continue"/>
                  <w:tcBorders>
                    <w:tl2br w:val="nil"/>
                    <w:tr2bl w:val="nil"/>
                  </w:tcBorders>
                  <w:vAlign w:val="center"/>
                </w:tcPr>
                <w:p w14:paraId="3C8CCE2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p>
              </w:tc>
              <w:tc>
                <w:tcPr>
                  <w:tcW w:w="275" w:type="pct"/>
                  <w:vMerge w:val="continue"/>
                  <w:tcBorders>
                    <w:tl2br w:val="nil"/>
                    <w:tr2bl w:val="nil"/>
                  </w:tcBorders>
                  <w:vAlign w:val="center"/>
                </w:tcPr>
                <w:p w14:paraId="57D031D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p>
              </w:tc>
              <w:tc>
                <w:tcPr>
                  <w:tcW w:w="535" w:type="pct"/>
                  <w:vMerge w:val="continue"/>
                  <w:tcBorders>
                    <w:tl2br w:val="nil"/>
                    <w:tr2bl w:val="nil"/>
                  </w:tcBorders>
                  <w:vAlign w:val="center"/>
                </w:tcPr>
                <w:p w14:paraId="5AA7DC0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p>
              </w:tc>
              <w:tc>
                <w:tcPr>
                  <w:tcW w:w="353" w:type="pct"/>
                  <w:vMerge w:val="continue"/>
                  <w:tcBorders>
                    <w:tl2br w:val="nil"/>
                    <w:tr2bl w:val="nil"/>
                  </w:tcBorders>
                  <w:vAlign w:val="center"/>
                </w:tcPr>
                <w:p w14:paraId="1BFC832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p>
              </w:tc>
              <w:tc>
                <w:tcPr>
                  <w:tcW w:w="525" w:type="pct"/>
                  <w:tcBorders>
                    <w:tl2br w:val="nil"/>
                    <w:tr2bl w:val="nil"/>
                  </w:tcBorders>
                  <w:vAlign w:val="center"/>
                </w:tcPr>
                <w:p w14:paraId="3EDD6DD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lang w:bidi="ar"/>
                    </w:rPr>
                    <w:t>声功率级/dB(A)</w:t>
                  </w:r>
                </w:p>
              </w:tc>
              <w:tc>
                <w:tcPr>
                  <w:tcW w:w="506" w:type="pct"/>
                  <w:vMerge w:val="continue"/>
                  <w:tcBorders>
                    <w:tl2br w:val="nil"/>
                    <w:tr2bl w:val="nil"/>
                  </w:tcBorders>
                  <w:vAlign w:val="center"/>
                </w:tcPr>
                <w:p w14:paraId="65AE6B6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p>
              </w:tc>
              <w:tc>
                <w:tcPr>
                  <w:tcW w:w="279" w:type="pct"/>
                  <w:tcBorders>
                    <w:tl2br w:val="nil"/>
                    <w:tr2bl w:val="nil"/>
                  </w:tcBorders>
                  <w:vAlign w:val="center"/>
                </w:tcPr>
                <w:p w14:paraId="21811DF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rPr>
                    <w:t>X</w:t>
                  </w:r>
                </w:p>
              </w:tc>
              <w:tc>
                <w:tcPr>
                  <w:tcW w:w="294" w:type="pct"/>
                  <w:tcBorders>
                    <w:tl2br w:val="nil"/>
                    <w:tr2bl w:val="nil"/>
                  </w:tcBorders>
                  <w:vAlign w:val="center"/>
                </w:tcPr>
                <w:p w14:paraId="7BB5698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rPr>
                    <w:t>Y</w:t>
                  </w:r>
                </w:p>
              </w:tc>
              <w:tc>
                <w:tcPr>
                  <w:tcW w:w="280" w:type="pct"/>
                  <w:tcBorders>
                    <w:tl2br w:val="nil"/>
                    <w:tr2bl w:val="nil"/>
                  </w:tcBorders>
                  <w:vAlign w:val="center"/>
                </w:tcPr>
                <w:p w14:paraId="2DD4404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rPr>
                    <w:t>Z</w:t>
                  </w:r>
                </w:p>
              </w:tc>
              <w:tc>
                <w:tcPr>
                  <w:tcW w:w="482" w:type="pct"/>
                  <w:vMerge w:val="continue"/>
                  <w:tcBorders>
                    <w:tl2br w:val="nil"/>
                    <w:tr2bl w:val="nil"/>
                  </w:tcBorders>
                  <w:vAlign w:val="center"/>
                </w:tcPr>
                <w:p w14:paraId="03C0895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p>
              </w:tc>
              <w:tc>
                <w:tcPr>
                  <w:tcW w:w="405" w:type="pct"/>
                  <w:vMerge w:val="continue"/>
                  <w:tcBorders>
                    <w:tl2br w:val="nil"/>
                    <w:tr2bl w:val="nil"/>
                  </w:tcBorders>
                  <w:vAlign w:val="center"/>
                </w:tcPr>
                <w:p w14:paraId="7161772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p>
              </w:tc>
              <w:tc>
                <w:tcPr>
                  <w:tcW w:w="389" w:type="pct"/>
                  <w:tcBorders>
                    <w:tl2br w:val="nil"/>
                    <w:tr2bl w:val="nil"/>
                  </w:tcBorders>
                  <w:vAlign w:val="center"/>
                </w:tcPr>
                <w:p w14:paraId="5737A1B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lang w:bidi="ar"/>
                    </w:rPr>
                    <w:t>声压级 /dB(A)</w:t>
                  </w:r>
                </w:p>
              </w:tc>
              <w:tc>
                <w:tcPr>
                  <w:tcW w:w="417" w:type="pct"/>
                  <w:tcBorders>
                    <w:tl2br w:val="nil"/>
                    <w:tr2bl w:val="nil"/>
                  </w:tcBorders>
                  <w:vAlign w:val="center"/>
                </w:tcPr>
                <w:p w14:paraId="3FBDB46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lang w:bidi="ar"/>
                    </w:rPr>
                    <w:t>建筑物</w:t>
                  </w:r>
                </w:p>
                <w:p w14:paraId="63473D1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lang w:bidi="ar"/>
                    </w:rPr>
                    <w:t>外距离</w:t>
                  </w:r>
                </w:p>
                <w:p w14:paraId="0F96123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highlight w:val="none"/>
                    </w:rPr>
                  </w:pPr>
                  <w:r>
                    <w:rPr>
                      <w:b/>
                      <w:bCs w:val="0"/>
                      <w:sz w:val="21"/>
                      <w:szCs w:val="21"/>
                      <w:highlight w:val="none"/>
                      <w:lang w:bidi="ar"/>
                    </w:rPr>
                    <w:t>/m</w:t>
                  </w:r>
                </w:p>
              </w:tc>
            </w:tr>
            <w:tr w14:paraId="423F0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5A3549A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lang w:bidi="ar"/>
                    </w:rPr>
                  </w:pPr>
                  <w:r>
                    <w:rPr>
                      <w:color w:val="auto"/>
                      <w:sz w:val="21"/>
                      <w:szCs w:val="21"/>
                      <w:highlight w:val="none"/>
                      <w:lang w:bidi="ar"/>
                    </w:rPr>
                    <w:t>1</w:t>
                  </w:r>
                </w:p>
              </w:tc>
              <w:tc>
                <w:tcPr>
                  <w:tcW w:w="275" w:type="pct"/>
                  <w:vMerge w:val="restart"/>
                  <w:tcBorders>
                    <w:tl2br w:val="nil"/>
                    <w:tr2bl w:val="nil"/>
                  </w:tcBorders>
                  <w:vAlign w:val="center"/>
                </w:tcPr>
                <w:p w14:paraId="5CE193A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rPr>
                  </w:pPr>
                  <w:r>
                    <w:rPr>
                      <w:rFonts w:hint="eastAsia"/>
                      <w:color w:val="auto"/>
                      <w:sz w:val="21"/>
                      <w:szCs w:val="21"/>
                      <w:highlight w:val="none"/>
                    </w:rPr>
                    <w:t>实验区</w:t>
                  </w:r>
                </w:p>
              </w:tc>
              <w:tc>
                <w:tcPr>
                  <w:tcW w:w="535" w:type="pct"/>
                  <w:tcBorders>
                    <w:tl2br w:val="nil"/>
                    <w:tr2bl w:val="nil"/>
                  </w:tcBorders>
                  <w:vAlign w:val="center"/>
                </w:tcPr>
                <w:p w14:paraId="31882B9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rPr>
                  </w:pPr>
                  <w:r>
                    <w:rPr>
                      <w:rFonts w:hint="eastAsia"/>
                      <w:color w:val="auto"/>
                      <w:sz w:val="21"/>
                      <w:szCs w:val="21"/>
                      <w:highlight w:val="none"/>
                    </w:rPr>
                    <w:t>通风</w:t>
                  </w:r>
                  <w:r>
                    <w:rPr>
                      <w:rFonts w:hint="eastAsia"/>
                      <w:color w:val="auto"/>
                      <w:sz w:val="21"/>
                      <w:szCs w:val="21"/>
                      <w:highlight w:val="none"/>
                      <w:lang w:val="en-US" w:eastAsia="zh-CN"/>
                    </w:rPr>
                    <w:t>橱</w:t>
                  </w:r>
                </w:p>
              </w:tc>
              <w:tc>
                <w:tcPr>
                  <w:tcW w:w="353" w:type="pct"/>
                  <w:tcBorders>
                    <w:tl2br w:val="nil"/>
                    <w:tr2bl w:val="nil"/>
                  </w:tcBorders>
                  <w:vAlign w:val="center"/>
                </w:tcPr>
                <w:p w14:paraId="4CCAD12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1</w:t>
                  </w:r>
                </w:p>
              </w:tc>
              <w:tc>
                <w:tcPr>
                  <w:tcW w:w="525" w:type="pct"/>
                  <w:tcBorders>
                    <w:tl2br w:val="nil"/>
                    <w:tr2bl w:val="nil"/>
                  </w:tcBorders>
                  <w:vAlign w:val="center"/>
                </w:tcPr>
                <w:p w14:paraId="69B0EA6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lang w:bidi="ar"/>
                    </w:rPr>
                  </w:pPr>
                  <w:r>
                    <w:rPr>
                      <w:rFonts w:hint="eastAsia"/>
                      <w:color w:val="auto"/>
                      <w:sz w:val="21"/>
                      <w:szCs w:val="21"/>
                      <w:highlight w:val="none"/>
                      <w:lang w:bidi="ar"/>
                    </w:rPr>
                    <w:t>75</w:t>
                  </w:r>
                </w:p>
              </w:tc>
              <w:tc>
                <w:tcPr>
                  <w:tcW w:w="506" w:type="pct"/>
                  <w:vMerge w:val="restart"/>
                  <w:tcBorders>
                    <w:tl2br w:val="nil"/>
                    <w:tr2bl w:val="nil"/>
                  </w:tcBorders>
                  <w:vAlign w:val="center"/>
                </w:tcPr>
                <w:p w14:paraId="323C627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厂房隔音</w:t>
                  </w:r>
                </w:p>
                <w:p w14:paraId="5274F28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279" w:type="pct"/>
                  <w:tcBorders>
                    <w:tl2br w:val="nil"/>
                    <w:tr2bl w:val="nil"/>
                  </w:tcBorders>
                  <w:vAlign w:val="center"/>
                </w:tcPr>
                <w:p w14:paraId="780DF6C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87</w:t>
                  </w:r>
                </w:p>
              </w:tc>
              <w:tc>
                <w:tcPr>
                  <w:tcW w:w="294" w:type="pct"/>
                  <w:tcBorders>
                    <w:tl2br w:val="nil"/>
                    <w:tr2bl w:val="nil"/>
                  </w:tcBorders>
                  <w:vAlign w:val="center"/>
                </w:tcPr>
                <w:p w14:paraId="7FBFA3D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69</w:t>
                  </w:r>
                </w:p>
              </w:tc>
              <w:tc>
                <w:tcPr>
                  <w:tcW w:w="280" w:type="pct"/>
                  <w:tcBorders>
                    <w:tl2br w:val="nil"/>
                    <w:tr2bl w:val="nil"/>
                  </w:tcBorders>
                  <w:vAlign w:val="center"/>
                </w:tcPr>
                <w:p w14:paraId="424F6D0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10</w:t>
                  </w:r>
                </w:p>
              </w:tc>
              <w:tc>
                <w:tcPr>
                  <w:tcW w:w="482" w:type="pct"/>
                  <w:tcBorders>
                    <w:tl2br w:val="nil"/>
                    <w:tr2bl w:val="nil"/>
                  </w:tcBorders>
                  <w:vAlign w:val="center"/>
                </w:tcPr>
                <w:p w14:paraId="154C012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rPr>
                  </w:pPr>
                  <w:r>
                    <w:rPr>
                      <w:rFonts w:hint="eastAsia"/>
                      <w:color w:val="auto"/>
                      <w:sz w:val="21"/>
                      <w:szCs w:val="21"/>
                      <w:highlight w:val="none"/>
                    </w:rPr>
                    <w:t>昼间</w:t>
                  </w:r>
                </w:p>
              </w:tc>
              <w:tc>
                <w:tcPr>
                  <w:tcW w:w="405" w:type="pct"/>
                  <w:tcBorders>
                    <w:tl2br w:val="nil"/>
                    <w:tr2bl w:val="nil"/>
                  </w:tcBorders>
                  <w:vAlign w:val="center"/>
                </w:tcPr>
                <w:p w14:paraId="2A784EE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rPr>
                  </w:pPr>
                  <w:r>
                    <w:rPr>
                      <w:rFonts w:hint="eastAsia"/>
                      <w:color w:val="auto"/>
                      <w:sz w:val="21"/>
                      <w:szCs w:val="21"/>
                      <w:highlight w:val="none"/>
                    </w:rPr>
                    <w:t>2</w:t>
                  </w:r>
                  <w:r>
                    <w:rPr>
                      <w:rFonts w:hint="eastAsia"/>
                      <w:color w:val="auto"/>
                      <w:sz w:val="21"/>
                      <w:szCs w:val="21"/>
                      <w:highlight w:val="none"/>
                      <w:lang w:val="en-US" w:eastAsia="zh-CN"/>
                    </w:rPr>
                    <w:t>1</w:t>
                  </w:r>
                </w:p>
              </w:tc>
              <w:tc>
                <w:tcPr>
                  <w:tcW w:w="389" w:type="pct"/>
                  <w:tcBorders>
                    <w:tl2br w:val="nil"/>
                    <w:tr2bl w:val="nil"/>
                  </w:tcBorders>
                  <w:vAlign w:val="center"/>
                </w:tcPr>
                <w:p w14:paraId="69E9690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rPr>
                  </w:pPr>
                  <w:r>
                    <w:rPr>
                      <w:rFonts w:hint="eastAsia"/>
                      <w:color w:val="auto"/>
                      <w:sz w:val="21"/>
                      <w:szCs w:val="21"/>
                      <w:highlight w:val="none"/>
                    </w:rPr>
                    <w:t>39</w:t>
                  </w:r>
                </w:p>
              </w:tc>
              <w:tc>
                <w:tcPr>
                  <w:tcW w:w="417" w:type="pct"/>
                  <w:tcBorders>
                    <w:tl2br w:val="nil"/>
                    <w:tr2bl w:val="nil"/>
                  </w:tcBorders>
                  <w:vAlign w:val="center"/>
                </w:tcPr>
                <w:p w14:paraId="2AA4565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rPr>
                  </w:pPr>
                  <w:r>
                    <w:rPr>
                      <w:rFonts w:hint="eastAsia"/>
                      <w:color w:val="auto"/>
                      <w:sz w:val="21"/>
                      <w:szCs w:val="21"/>
                      <w:highlight w:val="none"/>
                    </w:rPr>
                    <w:t>1</w:t>
                  </w:r>
                </w:p>
              </w:tc>
            </w:tr>
            <w:tr w14:paraId="7BE8C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56AEFB6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bidi="ar"/>
                    </w:rPr>
                  </w:pPr>
                  <w:r>
                    <w:rPr>
                      <w:rFonts w:hint="eastAsia"/>
                      <w:color w:val="auto"/>
                      <w:sz w:val="21"/>
                      <w:szCs w:val="21"/>
                      <w:highlight w:val="none"/>
                      <w:lang w:val="en-US" w:eastAsia="zh-CN" w:bidi="ar"/>
                    </w:rPr>
                    <w:t>2</w:t>
                  </w:r>
                </w:p>
              </w:tc>
              <w:tc>
                <w:tcPr>
                  <w:tcW w:w="275" w:type="pct"/>
                  <w:vMerge w:val="continue"/>
                  <w:tcBorders>
                    <w:tl2br w:val="nil"/>
                    <w:tr2bl w:val="nil"/>
                  </w:tcBorders>
                  <w:vAlign w:val="center"/>
                </w:tcPr>
                <w:p w14:paraId="491AA73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535" w:type="pct"/>
                  <w:tcBorders>
                    <w:tl2br w:val="nil"/>
                    <w:tr2bl w:val="nil"/>
                  </w:tcBorders>
                  <w:vAlign w:val="center"/>
                </w:tcPr>
                <w:p w14:paraId="4F0DA4A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通风</w:t>
                  </w:r>
                  <w:r>
                    <w:rPr>
                      <w:rFonts w:hint="eastAsia"/>
                      <w:color w:val="auto"/>
                      <w:sz w:val="21"/>
                      <w:szCs w:val="21"/>
                      <w:highlight w:val="none"/>
                      <w:lang w:val="en-US" w:eastAsia="zh-CN"/>
                    </w:rPr>
                    <w:t>橱</w:t>
                  </w:r>
                </w:p>
              </w:tc>
              <w:tc>
                <w:tcPr>
                  <w:tcW w:w="353" w:type="pct"/>
                  <w:tcBorders>
                    <w:tl2br w:val="nil"/>
                    <w:tr2bl w:val="nil"/>
                  </w:tcBorders>
                  <w:vAlign w:val="center"/>
                </w:tcPr>
                <w:p w14:paraId="26416E1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c>
                <w:tcPr>
                  <w:tcW w:w="525" w:type="pct"/>
                  <w:tcBorders>
                    <w:tl2br w:val="nil"/>
                    <w:tr2bl w:val="nil"/>
                  </w:tcBorders>
                  <w:vAlign w:val="center"/>
                </w:tcPr>
                <w:p w14:paraId="2ABD94A7">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lang w:bidi="ar"/>
                    </w:rPr>
                  </w:pPr>
                  <w:r>
                    <w:rPr>
                      <w:rFonts w:hint="eastAsia"/>
                      <w:color w:val="auto"/>
                      <w:sz w:val="21"/>
                      <w:szCs w:val="21"/>
                      <w:highlight w:val="none"/>
                      <w:lang w:bidi="ar"/>
                    </w:rPr>
                    <w:t>75</w:t>
                  </w:r>
                </w:p>
              </w:tc>
              <w:tc>
                <w:tcPr>
                  <w:tcW w:w="506" w:type="pct"/>
                  <w:vMerge w:val="continue"/>
                  <w:tcBorders>
                    <w:tl2br w:val="nil"/>
                    <w:tr2bl w:val="nil"/>
                  </w:tcBorders>
                  <w:vAlign w:val="center"/>
                </w:tcPr>
                <w:p w14:paraId="777F155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279" w:type="pct"/>
                  <w:tcBorders>
                    <w:tl2br w:val="nil"/>
                    <w:tr2bl w:val="nil"/>
                  </w:tcBorders>
                  <w:vAlign w:val="center"/>
                </w:tcPr>
                <w:p w14:paraId="61FF6D9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77</w:t>
                  </w:r>
                </w:p>
              </w:tc>
              <w:tc>
                <w:tcPr>
                  <w:tcW w:w="294" w:type="pct"/>
                  <w:tcBorders>
                    <w:tl2br w:val="nil"/>
                    <w:tr2bl w:val="nil"/>
                  </w:tcBorders>
                  <w:vAlign w:val="center"/>
                </w:tcPr>
                <w:p w14:paraId="7A0417C7">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69</w:t>
                  </w:r>
                </w:p>
              </w:tc>
              <w:tc>
                <w:tcPr>
                  <w:tcW w:w="280" w:type="pct"/>
                  <w:tcBorders>
                    <w:tl2br w:val="nil"/>
                    <w:tr2bl w:val="nil"/>
                  </w:tcBorders>
                  <w:vAlign w:val="center"/>
                </w:tcPr>
                <w:p w14:paraId="47F5298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10</w:t>
                  </w:r>
                </w:p>
              </w:tc>
              <w:tc>
                <w:tcPr>
                  <w:tcW w:w="482" w:type="pct"/>
                  <w:tcBorders>
                    <w:tl2br w:val="nil"/>
                    <w:tr2bl w:val="nil"/>
                  </w:tcBorders>
                  <w:vAlign w:val="center"/>
                </w:tcPr>
                <w:p w14:paraId="6F061A8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昼间</w:t>
                  </w:r>
                </w:p>
              </w:tc>
              <w:tc>
                <w:tcPr>
                  <w:tcW w:w="405" w:type="pct"/>
                  <w:tcBorders>
                    <w:tl2br w:val="nil"/>
                    <w:tr2bl w:val="nil"/>
                  </w:tcBorders>
                  <w:vAlign w:val="center"/>
                </w:tcPr>
                <w:p w14:paraId="1C0F347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21</w:t>
                  </w:r>
                </w:p>
              </w:tc>
              <w:tc>
                <w:tcPr>
                  <w:tcW w:w="389" w:type="pct"/>
                  <w:tcBorders>
                    <w:tl2br w:val="nil"/>
                    <w:tr2bl w:val="nil"/>
                  </w:tcBorders>
                  <w:vAlign w:val="center"/>
                </w:tcPr>
                <w:p w14:paraId="5F7C53A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39</w:t>
                  </w:r>
                </w:p>
              </w:tc>
              <w:tc>
                <w:tcPr>
                  <w:tcW w:w="417" w:type="pct"/>
                  <w:tcBorders>
                    <w:tl2br w:val="nil"/>
                    <w:tr2bl w:val="nil"/>
                  </w:tcBorders>
                  <w:vAlign w:val="center"/>
                </w:tcPr>
                <w:p w14:paraId="1AE9CF4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1</w:t>
                  </w:r>
                </w:p>
              </w:tc>
            </w:tr>
            <w:tr w14:paraId="67528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4D72FF57">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bidi="ar"/>
                    </w:rPr>
                  </w:pPr>
                  <w:r>
                    <w:rPr>
                      <w:rFonts w:hint="eastAsia"/>
                      <w:color w:val="auto"/>
                      <w:sz w:val="21"/>
                      <w:szCs w:val="21"/>
                      <w:highlight w:val="none"/>
                      <w:lang w:val="en-US" w:eastAsia="zh-CN" w:bidi="ar"/>
                    </w:rPr>
                    <w:t>3</w:t>
                  </w:r>
                </w:p>
              </w:tc>
              <w:tc>
                <w:tcPr>
                  <w:tcW w:w="275" w:type="pct"/>
                  <w:vMerge w:val="continue"/>
                  <w:tcBorders>
                    <w:tl2br w:val="nil"/>
                    <w:tr2bl w:val="nil"/>
                  </w:tcBorders>
                  <w:vAlign w:val="center"/>
                </w:tcPr>
                <w:p w14:paraId="507055A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535" w:type="pct"/>
                  <w:tcBorders>
                    <w:tl2br w:val="nil"/>
                    <w:tr2bl w:val="nil"/>
                  </w:tcBorders>
                  <w:vAlign w:val="center"/>
                </w:tcPr>
                <w:p w14:paraId="5B50B41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通风</w:t>
                  </w:r>
                  <w:r>
                    <w:rPr>
                      <w:rFonts w:hint="eastAsia"/>
                      <w:color w:val="auto"/>
                      <w:sz w:val="21"/>
                      <w:szCs w:val="21"/>
                      <w:highlight w:val="none"/>
                      <w:lang w:val="en-US" w:eastAsia="zh-CN"/>
                    </w:rPr>
                    <w:t>橱</w:t>
                  </w:r>
                </w:p>
              </w:tc>
              <w:tc>
                <w:tcPr>
                  <w:tcW w:w="353" w:type="pct"/>
                  <w:tcBorders>
                    <w:tl2br w:val="nil"/>
                    <w:tr2bl w:val="nil"/>
                  </w:tcBorders>
                  <w:vAlign w:val="center"/>
                </w:tcPr>
                <w:p w14:paraId="02CDE59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c>
                <w:tcPr>
                  <w:tcW w:w="525" w:type="pct"/>
                  <w:tcBorders>
                    <w:tl2br w:val="nil"/>
                    <w:tr2bl w:val="nil"/>
                  </w:tcBorders>
                  <w:vAlign w:val="center"/>
                </w:tcPr>
                <w:p w14:paraId="431306E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lang w:bidi="ar"/>
                    </w:rPr>
                  </w:pPr>
                  <w:r>
                    <w:rPr>
                      <w:rFonts w:hint="eastAsia"/>
                      <w:color w:val="auto"/>
                      <w:sz w:val="21"/>
                      <w:szCs w:val="21"/>
                      <w:highlight w:val="none"/>
                      <w:lang w:bidi="ar"/>
                    </w:rPr>
                    <w:t>75</w:t>
                  </w:r>
                </w:p>
              </w:tc>
              <w:tc>
                <w:tcPr>
                  <w:tcW w:w="506" w:type="pct"/>
                  <w:vMerge w:val="continue"/>
                  <w:tcBorders>
                    <w:tl2br w:val="nil"/>
                    <w:tr2bl w:val="nil"/>
                  </w:tcBorders>
                  <w:vAlign w:val="center"/>
                </w:tcPr>
                <w:p w14:paraId="5CEC478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279" w:type="pct"/>
                  <w:tcBorders>
                    <w:tl2br w:val="nil"/>
                    <w:tr2bl w:val="nil"/>
                  </w:tcBorders>
                  <w:vAlign w:val="center"/>
                </w:tcPr>
                <w:p w14:paraId="3C9AA5D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67</w:t>
                  </w:r>
                </w:p>
              </w:tc>
              <w:tc>
                <w:tcPr>
                  <w:tcW w:w="294" w:type="pct"/>
                  <w:tcBorders>
                    <w:tl2br w:val="nil"/>
                    <w:tr2bl w:val="nil"/>
                  </w:tcBorders>
                  <w:vAlign w:val="center"/>
                </w:tcPr>
                <w:p w14:paraId="270BB357">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70</w:t>
                  </w:r>
                </w:p>
              </w:tc>
              <w:tc>
                <w:tcPr>
                  <w:tcW w:w="280" w:type="pct"/>
                  <w:tcBorders>
                    <w:tl2br w:val="nil"/>
                    <w:tr2bl w:val="nil"/>
                  </w:tcBorders>
                  <w:vAlign w:val="center"/>
                </w:tcPr>
                <w:p w14:paraId="3CB4EBA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10</w:t>
                  </w:r>
                </w:p>
              </w:tc>
              <w:tc>
                <w:tcPr>
                  <w:tcW w:w="482" w:type="pct"/>
                  <w:tcBorders>
                    <w:tl2br w:val="nil"/>
                    <w:tr2bl w:val="nil"/>
                  </w:tcBorders>
                  <w:vAlign w:val="center"/>
                </w:tcPr>
                <w:p w14:paraId="6AD07A2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昼间</w:t>
                  </w:r>
                </w:p>
              </w:tc>
              <w:tc>
                <w:tcPr>
                  <w:tcW w:w="405" w:type="pct"/>
                  <w:tcBorders>
                    <w:tl2br w:val="nil"/>
                    <w:tr2bl w:val="nil"/>
                  </w:tcBorders>
                  <w:vAlign w:val="center"/>
                </w:tcPr>
                <w:p w14:paraId="5A4FE6F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21</w:t>
                  </w:r>
                </w:p>
              </w:tc>
              <w:tc>
                <w:tcPr>
                  <w:tcW w:w="389" w:type="pct"/>
                  <w:tcBorders>
                    <w:tl2br w:val="nil"/>
                    <w:tr2bl w:val="nil"/>
                  </w:tcBorders>
                  <w:vAlign w:val="center"/>
                </w:tcPr>
                <w:p w14:paraId="3E843AF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39</w:t>
                  </w:r>
                </w:p>
              </w:tc>
              <w:tc>
                <w:tcPr>
                  <w:tcW w:w="417" w:type="pct"/>
                  <w:tcBorders>
                    <w:tl2br w:val="nil"/>
                    <w:tr2bl w:val="nil"/>
                  </w:tcBorders>
                  <w:vAlign w:val="center"/>
                </w:tcPr>
                <w:p w14:paraId="5B7B5D7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1</w:t>
                  </w:r>
                </w:p>
              </w:tc>
            </w:tr>
            <w:tr w14:paraId="37750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4507ABB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bidi="ar"/>
                    </w:rPr>
                  </w:pPr>
                  <w:r>
                    <w:rPr>
                      <w:rFonts w:hint="eastAsia"/>
                      <w:color w:val="auto"/>
                      <w:sz w:val="21"/>
                      <w:szCs w:val="21"/>
                      <w:highlight w:val="none"/>
                      <w:lang w:val="en-US" w:eastAsia="zh-CN" w:bidi="ar"/>
                    </w:rPr>
                    <w:t>4</w:t>
                  </w:r>
                </w:p>
              </w:tc>
              <w:tc>
                <w:tcPr>
                  <w:tcW w:w="275" w:type="pct"/>
                  <w:vMerge w:val="continue"/>
                  <w:tcBorders>
                    <w:tl2br w:val="nil"/>
                    <w:tr2bl w:val="nil"/>
                  </w:tcBorders>
                  <w:vAlign w:val="center"/>
                </w:tcPr>
                <w:p w14:paraId="79722DC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535" w:type="pct"/>
                  <w:tcBorders>
                    <w:tl2br w:val="nil"/>
                    <w:tr2bl w:val="nil"/>
                  </w:tcBorders>
                  <w:vAlign w:val="center"/>
                </w:tcPr>
                <w:p w14:paraId="5EE3415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通风</w:t>
                  </w:r>
                  <w:r>
                    <w:rPr>
                      <w:rFonts w:hint="eastAsia"/>
                      <w:color w:val="auto"/>
                      <w:sz w:val="21"/>
                      <w:szCs w:val="21"/>
                      <w:highlight w:val="none"/>
                      <w:lang w:val="en-US" w:eastAsia="zh-CN"/>
                    </w:rPr>
                    <w:t>橱</w:t>
                  </w:r>
                </w:p>
              </w:tc>
              <w:tc>
                <w:tcPr>
                  <w:tcW w:w="353" w:type="pct"/>
                  <w:tcBorders>
                    <w:tl2br w:val="nil"/>
                    <w:tr2bl w:val="nil"/>
                  </w:tcBorders>
                  <w:vAlign w:val="center"/>
                </w:tcPr>
                <w:p w14:paraId="7B70775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c>
                <w:tcPr>
                  <w:tcW w:w="525" w:type="pct"/>
                  <w:tcBorders>
                    <w:tl2br w:val="nil"/>
                    <w:tr2bl w:val="nil"/>
                  </w:tcBorders>
                  <w:vAlign w:val="center"/>
                </w:tcPr>
                <w:p w14:paraId="57DF54E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lang w:bidi="ar"/>
                    </w:rPr>
                  </w:pPr>
                  <w:r>
                    <w:rPr>
                      <w:rFonts w:hint="eastAsia"/>
                      <w:color w:val="auto"/>
                      <w:sz w:val="21"/>
                      <w:szCs w:val="21"/>
                      <w:highlight w:val="none"/>
                      <w:lang w:bidi="ar"/>
                    </w:rPr>
                    <w:t>75</w:t>
                  </w:r>
                </w:p>
              </w:tc>
              <w:tc>
                <w:tcPr>
                  <w:tcW w:w="506" w:type="pct"/>
                  <w:vMerge w:val="continue"/>
                  <w:tcBorders>
                    <w:tl2br w:val="nil"/>
                    <w:tr2bl w:val="nil"/>
                  </w:tcBorders>
                  <w:vAlign w:val="center"/>
                </w:tcPr>
                <w:p w14:paraId="4A2AFE9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279" w:type="pct"/>
                  <w:tcBorders>
                    <w:tl2br w:val="nil"/>
                    <w:tr2bl w:val="nil"/>
                  </w:tcBorders>
                  <w:vAlign w:val="center"/>
                </w:tcPr>
                <w:p w14:paraId="2A03D73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57</w:t>
                  </w:r>
                </w:p>
              </w:tc>
              <w:tc>
                <w:tcPr>
                  <w:tcW w:w="294" w:type="pct"/>
                  <w:tcBorders>
                    <w:tl2br w:val="nil"/>
                    <w:tr2bl w:val="nil"/>
                  </w:tcBorders>
                  <w:vAlign w:val="center"/>
                </w:tcPr>
                <w:p w14:paraId="43BC5CA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70</w:t>
                  </w:r>
                </w:p>
              </w:tc>
              <w:tc>
                <w:tcPr>
                  <w:tcW w:w="280" w:type="pct"/>
                  <w:tcBorders>
                    <w:tl2br w:val="nil"/>
                    <w:tr2bl w:val="nil"/>
                  </w:tcBorders>
                  <w:vAlign w:val="center"/>
                </w:tcPr>
                <w:p w14:paraId="7CB26DBC">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10</w:t>
                  </w:r>
                </w:p>
              </w:tc>
              <w:tc>
                <w:tcPr>
                  <w:tcW w:w="482" w:type="pct"/>
                  <w:tcBorders>
                    <w:tl2br w:val="nil"/>
                    <w:tr2bl w:val="nil"/>
                  </w:tcBorders>
                  <w:vAlign w:val="center"/>
                </w:tcPr>
                <w:p w14:paraId="5A07AE1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昼间</w:t>
                  </w:r>
                </w:p>
              </w:tc>
              <w:tc>
                <w:tcPr>
                  <w:tcW w:w="405" w:type="pct"/>
                  <w:tcBorders>
                    <w:tl2br w:val="nil"/>
                    <w:tr2bl w:val="nil"/>
                  </w:tcBorders>
                  <w:vAlign w:val="center"/>
                </w:tcPr>
                <w:p w14:paraId="64A6E45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21</w:t>
                  </w:r>
                </w:p>
              </w:tc>
              <w:tc>
                <w:tcPr>
                  <w:tcW w:w="389" w:type="pct"/>
                  <w:tcBorders>
                    <w:tl2br w:val="nil"/>
                    <w:tr2bl w:val="nil"/>
                  </w:tcBorders>
                  <w:vAlign w:val="center"/>
                </w:tcPr>
                <w:p w14:paraId="754E1C3C">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39</w:t>
                  </w:r>
                </w:p>
              </w:tc>
              <w:tc>
                <w:tcPr>
                  <w:tcW w:w="417" w:type="pct"/>
                  <w:tcBorders>
                    <w:tl2br w:val="nil"/>
                    <w:tr2bl w:val="nil"/>
                  </w:tcBorders>
                  <w:vAlign w:val="center"/>
                </w:tcPr>
                <w:p w14:paraId="6BB79F4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1</w:t>
                  </w:r>
                </w:p>
              </w:tc>
            </w:tr>
            <w:tr w14:paraId="34760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7885330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bidi="ar"/>
                    </w:rPr>
                  </w:pPr>
                  <w:r>
                    <w:rPr>
                      <w:rFonts w:hint="eastAsia"/>
                      <w:color w:val="auto"/>
                      <w:sz w:val="21"/>
                      <w:szCs w:val="21"/>
                      <w:highlight w:val="none"/>
                      <w:lang w:val="en-US" w:eastAsia="zh-CN" w:bidi="ar"/>
                    </w:rPr>
                    <w:t>5</w:t>
                  </w:r>
                </w:p>
              </w:tc>
              <w:tc>
                <w:tcPr>
                  <w:tcW w:w="275" w:type="pct"/>
                  <w:vMerge w:val="continue"/>
                  <w:tcBorders>
                    <w:tl2br w:val="nil"/>
                    <w:tr2bl w:val="nil"/>
                  </w:tcBorders>
                  <w:vAlign w:val="center"/>
                </w:tcPr>
                <w:p w14:paraId="7D39E2D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535" w:type="pct"/>
                  <w:tcBorders>
                    <w:tl2br w:val="nil"/>
                    <w:tr2bl w:val="nil"/>
                  </w:tcBorders>
                  <w:vAlign w:val="center"/>
                </w:tcPr>
                <w:p w14:paraId="0B9D075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通风</w:t>
                  </w:r>
                  <w:r>
                    <w:rPr>
                      <w:rFonts w:hint="eastAsia"/>
                      <w:color w:val="auto"/>
                      <w:sz w:val="21"/>
                      <w:szCs w:val="21"/>
                      <w:highlight w:val="none"/>
                      <w:lang w:val="en-US" w:eastAsia="zh-CN"/>
                    </w:rPr>
                    <w:t>橱</w:t>
                  </w:r>
                </w:p>
              </w:tc>
              <w:tc>
                <w:tcPr>
                  <w:tcW w:w="353" w:type="pct"/>
                  <w:tcBorders>
                    <w:tl2br w:val="nil"/>
                    <w:tr2bl w:val="nil"/>
                  </w:tcBorders>
                  <w:vAlign w:val="center"/>
                </w:tcPr>
                <w:p w14:paraId="2D45B5D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c>
                <w:tcPr>
                  <w:tcW w:w="525" w:type="pct"/>
                  <w:tcBorders>
                    <w:tl2br w:val="nil"/>
                    <w:tr2bl w:val="nil"/>
                  </w:tcBorders>
                  <w:vAlign w:val="center"/>
                </w:tcPr>
                <w:p w14:paraId="7E4BC3F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lang w:bidi="ar"/>
                    </w:rPr>
                  </w:pPr>
                  <w:r>
                    <w:rPr>
                      <w:rFonts w:hint="eastAsia"/>
                      <w:color w:val="auto"/>
                      <w:sz w:val="21"/>
                      <w:szCs w:val="21"/>
                      <w:highlight w:val="none"/>
                      <w:lang w:bidi="ar"/>
                    </w:rPr>
                    <w:t>75</w:t>
                  </w:r>
                </w:p>
              </w:tc>
              <w:tc>
                <w:tcPr>
                  <w:tcW w:w="506" w:type="pct"/>
                  <w:vMerge w:val="continue"/>
                  <w:tcBorders>
                    <w:tl2br w:val="nil"/>
                    <w:tr2bl w:val="nil"/>
                  </w:tcBorders>
                  <w:vAlign w:val="center"/>
                </w:tcPr>
                <w:p w14:paraId="340CAB2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279" w:type="pct"/>
                  <w:tcBorders>
                    <w:tl2br w:val="nil"/>
                    <w:tr2bl w:val="nil"/>
                  </w:tcBorders>
                  <w:vAlign w:val="center"/>
                </w:tcPr>
                <w:p w14:paraId="327493F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47</w:t>
                  </w:r>
                </w:p>
              </w:tc>
              <w:tc>
                <w:tcPr>
                  <w:tcW w:w="294" w:type="pct"/>
                  <w:tcBorders>
                    <w:tl2br w:val="nil"/>
                    <w:tr2bl w:val="nil"/>
                  </w:tcBorders>
                  <w:vAlign w:val="center"/>
                </w:tcPr>
                <w:p w14:paraId="296D44F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70</w:t>
                  </w:r>
                </w:p>
              </w:tc>
              <w:tc>
                <w:tcPr>
                  <w:tcW w:w="280" w:type="pct"/>
                  <w:tcBorders>
                    <w:tl2br w:val="nil"/>
                    <w:tr2bl w:val="nil"/>
                  </w:tcBorders>
                  <w:vAlign w:val="center"/>
                </w:tcPr>
                <w:p w14:paraId="4521DC6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10</w:t>
                  </w:r>
                </w:p>
              </w:tc>
              <w:tc>
                <w:tcPr>
                  <w:tcW w:w="482" w:type="pct"/>
                  <w:tcBorders>
                    <w:tl2br w:val="nil"/>
                    <w:tr2bl w:val="nil"/>
                  </w:tcBorders>
                  <w:vAlign w:val="center"/>
                </w:tcPr>
                <w:p w14:paraId="4BF94C4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昼间</w:t>
                  </w:r>
                </w:p>
              </w:tc>
              <w:tc>
                <w:tcPr>
                  <w:tcW w:w="405" w:type="pct"/>
                  <w:tcBorders>
                    <w:tl2br w:val="nil"/>
                    <w:tr2bl w:val="nil"/>
                  </w:tcBorders>
                  <w:vAlign w:val="center"/>
                </w:tcPr>
                <w:p w14:paraId="1183B15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21</w:t>
                  </w:r>
                </w:p>
              </w:tc>
              <w:tc>
                <w:tcPr>
                  <w:tcW w:w="389" w:type="pct"/>
                  <w:tcBorders>
                    <w:tl2br w:val="nil"/>
                    <w:tr2bl w:val="nil"/>
                  </w:tcBorders>
                  <w:vAlign w:val="center"/>
                </w:tcPr>
                <w:p w14:paraId="2979AD3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40</w:t>
                  </w:r>
                </w:p>
              </w:tc>
              <w:tc>
                <w:tcPr>
                  <w:tcW w:w="417" w:type="pct"/>
                  <w:tcBorders>
                    <w:tl2br w:val="nil"/>
                    <w:tr2bl w:val="nil"/>
                  </w:tcBorders>
                  <w:vAlign w:val="center"/>
                </w:tcPr>
                <w:p w14:paraId="761C854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1</w:t>
                  </w:r>
                </w:p>
              </w:tc>
            </w:tr>
            <w:tr w14:paraId="11414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54" w:type="pct"/>
                  <w:tcBorders>
                    <w:tl2br w:val="nil"/>
                    <w:tr2bl w:val="nil"/>
                  </w:tcBorders>
                  <w:vAlign w:val="center"/>
                </w:tcPr>
                <w:p w14:paraId="5474DDF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bidi="ar"/>
                    </w:rPr>
                  </w:pPr>
                  <w:r>
                    <w:rPr>
                      <w:rFonts w:hint="eastAsia"/>
                      <w:color w:val="auto"/>
                      <w:sz w:val="21"/>
                      <w:szCs w:val="21"/>
                      <w:highlight w:val="none"/>
                      <w:lang w:val="en-US" w:eastAsia="zh-CN" w:bidi="ar"/>
                    </w:rPr>
                    <w:t>6</w:t>
                  </w:r>
                </w:p>
              </w:tc>
              <w:tc>
                <w:tcPr>
                  <w:tcW w:w="275" w:type="pct"/>
                  <w:vMerge w:val="restart"/>
                  <w:tcBorders>
                    <w:tl2br w:val="nil"/>
                    <w:tr2bl w:val="nil"/>
                  </w:tcBorders>
                  <w:vAlign w:val="center"/>
                </w:tcPr>
                <w:p w14:paraId="4B6401E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rPr>
                  </w:pPr>
                  <w:r>
                    <w:rPr>
                      <w:rFonts w:hint="eastAsia"/>
                      <w:color w:val="auto"/>
                      <w:sz w:val="21"/>
                      <w:szCs w:val="21"/>
                      <w:highlight w:val="none"/>
                    </w:rPr>
                    <w:t>实验区</w:t>
                  </w:r>
                </w:p>
              </w:tc>
              <w:tc>
                <w:tcPr>
                  <w:tcW w:w="535" w:type="pct"/>
                  <w:tcBorders>
                    <w:tl2br w:val="nil"/>
                    <w:tr2bl w:val="nil"/>
                  </w:tcBorders>
                  <w:vAlign w:val="center"/>
                </w:tcPr>
                <w:p w14:paraId="7CDB979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rPr>
                  </w:pPr>
                  <w:r>
                    <w:rPr>
                      <w:rFonts w:hint="eastAsia"/>
                      <w:color w:val="auto"/>
                      <w:sz w:val="21"/>
                      <w:szCs w:val="21"/>
                      <w:highlight w:val="none"/>
                    </w:rPr>
                    <w:t>通风机组</w:t>
                  </w:r>
                </w:p>
              </w:tc>
              <w:tc>
                <w:tcPr>
                  <w:tcW w:w="353" w:type="pct"/>
                  <w:tcBorders>
                    <w:tl2br w:val="nil"/>
                    <w:tr2bl w:val="nil"/>
                  </w:tcBorders>
                  <w:vAlign w:val="center"/>
                </w:tcPr>
                <w:p w14:paraId="52D20E3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1</w:t>
                  </w:r>
                </w:p>
              </w:tc>
              <w:tc>
                <w:tcPr>
                  <w:tcW w:w="525" w:type="pct"/>
                  <w:tcBorders>
                    <w:tl2br w:val="nil"/>
                    <w:tr2bl w:val="nil"/>
                  </w:tcBorders>
                  <w:vAlign w:val="center"/>
                </w:tcPr>
                <w:p w14:paraId="2EC1EA0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lang w:bidi="ar"/>
                    </w:rPr>
                  </w:pPr>
                  <w:r>
                    <w:rPr>
                      <w:rFonts w:hint="eastAsia"/>
                      <w:color w:val="auto"/>
                      <w:sz w:val="21"/>
                      <w:szCs w:val="21"/>
                      <w:highlight w:val="none"/>
                      <w:lang w:bidi="ar"/>
                    </w:rPr>
                    <w:t>75</w:t>
                  </w:r>
                </w:p>
              </w:tc>
              <w:tc>
                <w:tcPr>
                  <w:tcW w:w="506" w:type="pct"/>
                  <w:vMerge w:val="restart"/>
                  <w:tcBorders>
                    <w:tl2br w:val="nil"/>
                    <w:tr2bl w:val="nil"/>
                  </w:tcBorders>
                  <w:vAlign w:val="center"/>
                </w:tcPr>
                <w:p w14:paraId="4B5D1D3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rPr>
                  </w:pPr>
                  <w:r>
                    <w:rPr>
                      <w:rFonts w:hint="eastAsia"/>
                      <w:color w:val="auto"/>
                      <w:sz w:val="21"/>
                      <w:szCs w:val="21"/>
                      <w:highlight w:val="none"/>
                    </w:rPr>
                    <w:t>厂房隔音</w:t>
                  </w:r>
                </w:p>
              </w:tc>
              <w:tc>
                <w:tcPr>
                  <w:tcW w:w="279" w:type="pct"/>
                  <w:tcBorders>
                    <w:tl2br w:val="nil"/>
                    <w:tr2bl w:val="nil"/>
                  </w:tcBorders>
                  <w:vAlign w:val="center"/>
                </w:tcPr>
                <w:p w14:paraId="71B7776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83</w:t>
                  </w:r>
                </w:p>
              </w:tc>
              <w:tc>
                <w:tcPr>
                  <w:tcW w:w="294" w:type="pct"/>
                  <w:tcBorders>
                    <w:tl2br w:val="nil"/>
                    <w:tr2bl w:val="nil"/>
                  </w:tcBorders>
                  <w:vAlign w:val="center"/>
                </w:tcPr>
                <w:p w14:paraId="560DEBD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64</w:t>
                  </w:r>
                </w:p>
              </w:tc>
              <w:tc>
                <w:tcPr>
                  <w:tcW w:w="280" w:type="pct"/>
                  <w:tcBorders>
                    <w:tl2br w:val="nil"/>
                    <w:tr2bl w:val="nil"/>
                  </w:tcBorders>
                  <w:vAlign w:val="center"/>
                </w:tcPr>
                <w:p w14:paraId="6A028E3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10</w:t>
                  </w:r>
                </w:p>
              </w:tc>
              <w:tc>
                <w:tcPr>
                  <w:tcW w:w="482" w:type="pct"/>
                  <w:tcBorders>
                    <w:tl2br w:val="nil"/>
                    <w:tr2bl w:val="nil"/>
                  </w:tcBorders>
                  <w:vAlign w:val="center"/>
                </w:tcPr>
                <w:p w14:paraId="658AED8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rPr>
                  </w:pPr>
                  <w:r>
                    <w:rPr>
                      <w:rFonts w:hint="eastAsia"/>
                      <w:color w:val="auto"/>
                      <w:sz w:val="21"/>
                      <w:szCs w:val="21"/>
                      <w:highlight w:val="none"/>
                    </w:rPr>
                    <w:t>昼间</w:t>
                  </w:r>
                </w:p>
              </w:tc>
              <w:tc>
                <w:tcPr>
                  <w:tcW w:w="405" w:type="pct"/>
                  <w:tcBorders>
                    <w:tl2br w:val="nil"/>
                    <w:tr2bl w:val="nil"/>
                  </w:tcBorders>
                  <w:vAlign w:val="center"/>
                </w:tcPr>
                <w:p w14:paraId="0B2F5D4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eastAsia="zh-CN"/>
                    </w:rPr>
                  </w:pPr>
                  <w:r>
                    <w:rPr>
                      <w:rFonts w:hint="eastAsia"/>
                      <w:color w:val="auto"/>
                      <w:sz w:val="21"/>
                      <w:szCs w:val="21"/>
                      <w:highlight w:val="none"/>
                    </w:rPr>
                    <w:t>2</w:t>
                  </w:r>
                  <w:r>
                    <w:rPr>
                      <w:rFonts w:hint="eastAsia"/>
                      <w:color w:val="auto"/>
                      <w:sz w:val="21"/>
                      <w:szCs w:val="21"/>
                      <w:highlight w:val="none"/>
                      <w:lang w:val="en-US" w:eastAsia="zh-CN"/>
                    </w:rPr>
                    <w:t>1</w:t>
                  </w:r>
                </w:p>
              </w:tc>
              <w:tc>
                <w:tcPr>
                  <w:tcW w:w="389" w:type="pct"/>
                  <w:tcBorders>
                    <w:tl2br w:val="nil"/>
                    <w:tr2bl w:val="nil"/>
                  </w:tcBorders>
                  <w:vAlign w:val="center"/>
                </w:tcPr>
                <w:p w14:paraId="024A33F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rPr>
                  </w:pPr>
                  <w:r>
                    <w:rPr>
                      <w:rFonts w:hint="eastAsia"/>
                      <w:color w:val="auto"/>
                      <w:sz w:val="21"/>
                      <w:szCs w:val="21"/>
                      <w:highlight w:val="none"/>
                    </w:rPr>
                    <w:t>42</w:t>
                  </w:r>
                </w:p>
              </w:tc>
              <w:tc>
                <w:tcPr>
                  <w:tcW w:w="417" w:type="pct"/>
                  <w:tcBorders>
                    <w:tl2br w:val="nil"/>
                    <w:tr2bl w:val="nil"/>
                  </w:tcBorders>
                  <w:vAlign w:val="center"/>
                </w:tcPr>
                <w:p w14:paraId="47618AF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rPr>
                  </w:pPr>
                  <w:r>
                    <w:rPr>
                      <w:rFonts w:hint="eastAsia"/>
                      <w:color w:val="auto"/>
                      <w:sz w:val="21"/>
                      <w:szCs w:val="21"/>
                      <w:highlight w:val="none"/>
                    </w:rPr>
                    <w:t>1</w:t>
                  </w:r>
                </w:p>
              </w:tc>
            </w:tr>
            <w:tr w14:paraId="004B2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0EC71A8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bidi="ar"/>
                    </w:rPr>
                  </w:pPr>
                  <w:r>
                    <w:rPr>
                      <w:rFonts w:hint="eastAsia"/>
                      <w:color w:val="auto"/>
                      <w:sz w:val="21"/>
                      <w:szCs w:val="21"/>
                      <w:highlight w:val="none"/>
                      <w:lang w:val="en-US" w:eastAsia="zh-CN" w:bidi="ar"/>
                    </w:rPr>
                    <w:t>7</w:t>
                  </w:r>
                </w:p>
              </w:tc>
              <w:tc>
                <w:tcPr>
                  <w:tcW w:w="275" w:type="pct"/>
                  <w:vMerge w:val="continue"/>
                  <w:tcBorders>
                    <w:tl2br w:val="nil"/>
                    <w:tr2bl w:val="nil"/>
                  </w:tcBorders>
                  <w:vAlign w:val="center"/>
                </w:tcPr>
                <w:p w14:paraId="0DAD105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535" w:type="pct"/>
                  <w:tcBorders>
                    <w:tl2br w:val="nil"/>
                    <w:tr2bl w:val="nil"/>
                  </w:tcBorders>
                  <w:vAlign w:val="center"/>
                </w:tcPr>
                <w:p w14:paraId="5780544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通风机组</w:t>
                  </w:r>
                </w:p>
              </w:tc>
              <w:tc>
                <w:tcPr>
                  <w:tcW w:w="353" w:type="pct"/>
                  <w:tcBorders>
                    <w:tl2br w:val="nil"/>
                    <w:tr2bl w:val="nil"/>
                  </w:tcBorders>
                  <w:vAlign w:val="center"/>
                </w:tcPr>
                <w:p w14:paraId="1AC7E7A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c>
                <w:tcPr>
                  <w:tcW w:w="525" w:type="pct"/>
                  <w:tcBorders>
                    <w:tl2br w:val="nil"/>
                    <w:tr2bl w:val="nil"/>
                  </w:tcBorders>
                  <w:vAlign w:val="center"/>
                </w:tcPr>
                <w:p w14:paraId="2C46B61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lang w:bidi="ar"/>
                    </w:rPr>
                  </w:pPr>
                  <w:r>
                    <w:rPr>
                      <w:rFonts w:hint="eastAsia"/>
                      <w:color w:val="auto"/>
                      <w:sz w:val="21"/>
                      <w:szCs w:val="21"/>
                      <w:highlight w:val="none"/>
                      <w:lang w:bidi="ar"/>
                    </w:rPr>
                    <w:t>75</w:t>
                  </w:r>
                </w:p>
              </w:tc>
              <w:tc>
                <w:tcPr>
                  <w:tcW w:w="506" w:type="pct"/>
                  <w:vMerge w:val="continue"/>
                  <w:tcBorders>
                    <w:tl2br w:val="nil"/>
                    <w:tr2bl w:val="nil"/>
                  </w:tcBorders>
                  <w:vAlign w:val="center"/>
                </w:tcPr>
                <w:p w14:paraId="1A860E1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279" w:type="pct"/>
                  <w:tcBorders>
                    <w:tl2br w:val="nil"/>
                    <w:tr2bl w:val="nil"/>
                  </w:tcBorders>
                  <w:vAlign w:val="center"/>
                </w:tcPr>
                <w:p w14:paraId="1800CB6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83</w:t>
                  </w:r>
                </w:p>
              </w:tc>
              <w:tc>
                <w:tcPr>
                  <w:tcW w:w="294" w:type="pct"/>
                  <w:tcBorders>
                    <w:tl2br w:val="nil"/>
                    <w:tr2bl w:val="nil"/>
                  </w:tcBorders>
                  <w:vAlign w:val="center"/>
                </w:tcPr>
                <w:p w14:paraId="7BC2431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64</w:t>
                  </w:r>
                </w:p>
              </w:tc>
              <w:tc>
                <w:tcPr>
                  <w:tcW w:w="280" w:type="pct"/>
                  <w:tcBorders>
                    <w:tl2br w:val="nil"/>
                    <w:tr2bl w:val="nil"/>
                  </w:tcBorders>
                  <w:vAlign w:val="center"/>
                </w:tcPr>
                <w:p w14:paraId="3DFAD87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14</w:t>
                  </w:r>
                </w:p>
              </w:tc>
              <w:tc>
                <w:tcPr>
                  <w:tcW w:w="482" w:type="pct"/>
                  <w:tcBorders>
                    <w:tl2br w:val="nil"/>
                    <w:tr2bl w:val="nil"/>
                  </w:tcBorders>
                  <w:vAlign w:val="center"/>
                </w:tcPr>
                <w:p w14:paraId="12020A0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昼间</w:t>
                  </w:r>
                </w:p>
              </w:tc>
              <w:tc>
                <w:tcPr>
                  <w:tcW w:w="405" w:type="pct"/>
                  <w:tcBorders>
                    <w:tl2br w:val="nil"/>
                    <w:tr2bl w:val="nil"/>
                  </w:tcBorders>
                  <w:vAlign w:val="center"/>
                </w:tcPr>
                <w:p w14:paraId="428A951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21</w:t>
                  </w:r>
                </w:p>
              </w:tc>
              <w:tc>
                <w:tcPr>
                  <w:tcW w:w="389" w:type="pct"/>
                  <w:tcBorders>
                    <w:tl2br w:val="nil"/>
                    <w:tr2bl w:val="nil"/>
                  </w:tcBorders>
                  <w:vAlign w:val="center"/>
                </w:tcPr>
                <w:p w14:paraId="679D54E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42</w:t>
                  </w:r>
                </w:p>
              </w:tc>
              <w:tc>
                <w:tcPr>
                  <w:tcW w:w="417" w:type="pct"/>
                  <w:tcBorders>
                    <w:tl2br w:val="nil"/>
                    <w:tr2bl w:val="nil"/>
                  </w:tcBorders>
                  <w:vAlign w:val="center"/>
                </w:tcPr>
                <w:p w14:paraId="6EA1E03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1</w:t>
                  </w:r>
                </w:p>
              </w:tc>
            </w:tr>
            <w:tr w14:paraId="7FFCA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283C067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bidi="ar"/>
                    </w:rPr>
                  </w:pPr>
                  <w:r>
                    <w:rPr>
                      <w:rFonts w:hint="eastAsia"/>
                      <w:color w:val="auto"/>
                      <w:sz w:val="21"/>
                      <w:szCs w:val="21"/>
                      <w:highlight w:val="none"/>
                      <w:lang w:val="en-US" w:eastAsia="zh-CN" w:bidi="ar"/>
                    </w:rPr>
                    <w:t>8</w:t>
                  </w:r>
                </w:p>
              </w:tc>
              <w:tc>
                <w:tcPr>
                  <w:tcW w:w="275" w:type="pct"/>
                  <w:vMerge w:val="continue"/>
                  <w:tcBorders>
                    <w:tl2br w:val="nil"/>
                    <w:tr2bl w:val="nil"/>
                  </w:tcBorders>
                  <w:vAlign w:val="center"/>
                </w:tcPr>
                <w:p w14:paraId="025A1D7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535" w:type="pct"/>
                  <w:tcBorders>
                    <w:tl2br w:val="nil"/>
                    <w:tr2bl w:val="nil"/>
                  </w:tcBorders>
                  <w:vAlign w:val="center"/>
                </w:tcPr>
                <w:p w14:paraId="66B7017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通风机组</w:t>
                  </w:r>
                </w:p>
              </w:tc>
              <w:tc>
                <w:tcPr>
                  <w:tcW w:w="353" w:type="pct"/>
                  <w:tcBorders>
                    <w:tl2br w:val="nil"/>
                    <w:tr2bl w:val="nil"/>
                  </w:tcBorders>
                  <w:vAlign w:val="center"/>
                </w:tcPr>
                <w:p w14:paraId="356EBC3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c>
                <w:tcPr>
                  <w:tcW w:w="525" w:type="pct"/>
                  <w:tcBorders>
                    <w:tl2br w:val="nil"/>
                    <w:tr2bl w:val="nil"/>
                  </w:tcBorders>
                  <w:vAlign w:val="center"/>
                </w:tcPr>
                <w:p w14:paraId="1DCDF5D7">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lang w:bidi="ar"/>
                    </w:rPr>
                  </w:pPr>
                  <w:r>
                    <w:rPr>
                      <w:rFonts w:hint="eastAsia"/>
                      <w:color w:val="auto"/>
                      <w:sz w:val="21"/>
                      <w:szCs w:val="21"/>
                      <w:highlight w:val="none"/>
                      <w:lang w:bidi="ar"/>
                    </w:rPr>
                    <w:t>75</w:t>
                  </w:r>
                </w:p>
              </w:tc>
              <w:tc>
                <w:tcPr>
                  <w:tcW w:w="506" w:type="pct"/>
                  <w:vMerge w:val="continue"/>
                  <w:tcBorders>
                    <w:tl2br w:val="nil"/>
                    <w:tr2bl w:val="nil"/>
                  </w:tcBorders>
                  <w:vAlign w:val="center"/>
                </w:tcPr>
                <w:p w14:paraId="7965E12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279" w:type="pct"/>
                  <w:tcBorders>
                    <w:tl2br w:val="nil"/>
                    <w:tr2bl w:val="nil"/>
                  </w:tcBorders>
                  <w:vAlign w:val="center"/>
                </w:tcPr>
                <w:p w14:paraId="7C8A200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83</w:t>
                  </w:r>
                </w:p>
              </w:tc>
              <w:tc>
                <w:tcPr>
                  <w:tcW w:w="294" w:type="pct"/>
                  <w:tcBorders>
                    <w:tl2br w:val="nil"/>
                    <w:tr2bl w:val="nil"/>
                  </w:tcBorders>
                  <w:vAlign w:val="center"/>
                </w:tcPr>
                <w:p w14:paraId="7A5119F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64</w:t>
                  </w:r>
                </w:p>
              </w:tc>
              <w:tc>
                <w:tcPr>
                  <w:tcW w:w="280" w:type="pct"/>
                  <w:tcBorders>
                    <w:tl2br w:val="nil"/>
                    <w:tr2bl w:val="nil"/>
                  </w:tcBorders>
                  <w:vAlign w:val="center"/>
                </w:tcPr>
                <w:p w14:paraId="2E1C504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18</w:t>
                  </w:r>
                </w:p>
              </w:tc>
              <w:tc>
                <w:tcPr>
                  <w:tcW w:w="482" w:type="pct"/>
                  <w:tcBorders>
                    <w:tl2br w:val="nil"/>
                    <w:tr2bl w:val="nil"/>
                  </w:tcBorders>
                  <w:vAlign w:val="center"/>
                </w:tcPr>
                <w:p w14:paraId="79B5A47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昼间</w:t>
                  </w:r>
                </w:p>
              </w:tc>
              <w:tc>
                <w:tcPr>
                  <w:tcW w:w="405" w:type="pct"/>
                  <w:tcBorders>
                    <w:tl2br w:val="nil"/>
                    <w:tr2bl w:val="nil"/>
                  </w:tcBorders>
                  <w:vAlign w:val="center"/>
                </w:tcPr>
                <w:p w14:paraId="36062CF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21</w:t>
                  </w:r>
                </w:p>
              </w:tc>
              <w:tc>
                <w:tcPr>
                  <w:tcW w:w="389" w:type="pct"/>
                  <w:tcBorders>
                    <w:tl2br w:val="nil"/>
                    <w:tr2bl w:val="nil"/>
                  </w:tcBorders>
                  <w:vAlign w:val="center"/>
                </w:tcPr>
                <w:p w14:paraId="3C18087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41</w:t>
                  </w:r>
                </w:p>
              </w:tc>
              <w:tc>
                <w:tcPr>
                  <w:tcW w:w="417" w:type="pct"/>
                  <w:tcBorders>
                    <w:tl2br w:val="nil"/>
                    <w:tr2bl w:val="nil"/>
                  </w:tcBorders>
                  <w:vAlign w:val="center"/>
                </w:tcPr>
                <w:p w14:paraId="593ACD7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1</w:t>
                  </w:r>
                </w:p>
              </w:tc>
            </w:tr>
            <w:tr w14:paraId="3B855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391BB35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bidi="ar"/>
                    </w:rPr>
                  </w:pPr>
                  <w:r>
                    <w:rPr>
                      <w:rFonts w:hint="eastAsia"/>
                      <w:color w:val="auto"/>
                      <w:sz w:val="21"/>
                      <w:szCs w:val="21"/>
                      <w:highlight w:val="none"/>
                      <w:lang w:val="en-US" w:eastAsia="zh-CN" w:bidi="ar"/>
                    </w:rPr>
                    <w:t>9</w:t>
                  </w:r>
                </w:p>
              </w:tc>
              <w:tc>
                <w:tcPr>
                  <w:tcW w:w="275" w:type="pct"/>
                  <w:vMerge w:val="continue"/>
                  <w:tcBorders>
                    <w:tl2br w:val="nil"/>
                    <w:tr2bl w:val="nil"/>
                  </w:tcBorders>
                  <w:vAlign w:val="center"/>
                </w:tcPr>
                <w:p w14:paraId="72A2D7E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535" w:type="pct"/>
                  <w:tcBorders>
                    <w:tl2br w:val="nil"/>
                    <w:tr2bl w:val="nil"/>
                  </w:tcBorders>
                  <w:vAlign w:val="center"/>
                </w:tcPr>
                <w:p w14:paraId="6FE45B5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通风机组</w:t>
                  </w:r>
                </w:p>
              </w:tc>
              <w:tc>
                <w:tcPr>
                  <w:tcW w:w="353" w:type="pct"/>
                  <w:tcBorders>
                    <w:tl2br w:val="nil"/>
                    <w:tr2bl w:val="nil"/>
                  </w:tcBorders>
                  <w:vAlign w:val="center"/>
                </w:tcPr>
                <w:p w14:paraId="2F78138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c>
                <w:tcPr>
                  <w:tcW w:w="525" w:type="pct"/>
                  <w:tcBorders>
                    <w:tl2br w:val="nil"/>
                    <w:tr2bl w:val="nil"/>
                  </w:tcBorders>
                  <w:vAlign w:val="center"/>
                </w:tcPr>
                <w:p w14:paraId="4F275ED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lang w:bidi="ar"/>
                    </w:rPr>
                  </w:pPr>
                  <w:r>
                    <w:rPr>
                      <w:rFonts w:hint="eastAsia"/>
                      <w:color w:val="auto"/>
                      <w:sz w:val="21"/>
                      <w:szCs w:val="21"/>
                      <w:highlight w:val="none"/>
                      <w:lang w:bidi="ar"/>
                    </w:rPr>
                    <w:t>75</w:t>
                  </w:r>
                </w:p>
              </w:tc>
              <w:tc>
                <w:tcPr>
                  <w:tcW w:w="506" w:type="pct"/>
                  <w:vMerge w:val="continue"/>
                  <w:tcBorders>
                    <w:tl2br w:val="nil"/>
                    <w:tr2bl w:val="nil"/>
                  </w:tcBorders>
                  <w:vAlign w:val="center"/>
                </w:tcPr>
                <w:p w14:paraId="36A3D05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p>
              </w:tc>
              <w:tc>
                <w:tcPr>
                  <w:tcW w:w="279" w:type="pct"/>
                  <w:tcBorders>
                    <w:tl2br w:val="nil"/>
                    <w:tr2bl w:val="nil"/>
                  </w:tcBorders>
                  <w:vAlign w:val="center"/>
                </w:tcPr>
                <w:p w14:paraId="7B9E92C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83</w:t>
                  </w:r>
                </w:p>
              </w:tc>
              <w:tc>
                <w:tcPr>
                  <w:tcW w:w="294" w:type="pct"/>
                  <w:tcBorders>
                    <w:tl2br w:val="nil"/>
                    <w:tr2bl w:val="nil"/>
                  </w:tcBorders>
                  <w:vAlign w:val="center"/>
                </w:tcPr>
                <w:p w14:paraId="618027D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64</w:t>
                  </w:r>
                </w:p>
              </w:tc>
              <w:tc>
                <w:tcPr>
                  <w:tcW w:w="280" w:type="pct"/>
                  <w:tcBorders>
                    <w:tl2br w:val="nil"/>
                    <w:tr2bl w:val="nil"/>
                  </w:tcBorders>
                  <w:vAlign w:val="center"/>
                </w:tcPr>
                <w:p w14:paraId="636B8CE7">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22</w:t>
                  </w:r>
                </w:p>
              </w:tc>
              <w:tc>
                <w:tcPr>
                  <w:tcW w:w="482" w:type="pct"/>
                  <w:tcBorders>
                    <w:tl2br w:val="nil"/>
                    <w:tr2bl w:val="nil"/>
                  </w:tcBorders>
                  <w:vAlign w:val="center"/>
                </w:tcPr>
                <w:p w14:paraId="60B7962C">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昼间</w:t>
                  </w:r>
                </w:p>
              </w:tc>
              <w:tc>
                <w:tcPr>
                  <w:tcW w:w="405" w:type="pct"/>
                  <w:tcBorders>
                    <w:tl2br w:val="nil"/>
                    <w:tr2bl w:val="nil"/>
                  </w:tcBorders>
                  <w:vAlign w:val="center"/>
                </w:tcPr>
                <w:p w14:paraId="3F5631C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21</w:t>
                  </w:r>
                </w:p>
              </w:tc>
              <w:tc>
                <w:tcPr>
                  <w:tcW w:w="389" w:type="pct"/>
                  <w:tcBorders>
                    <w:tl2br w:val="nil"/>
                    <w:tr2bl w:val="nil"/>
                  </w:tcBorders>
                  <w:vAlign w:val="center"/>
                </w:tcPr>
                <w:p w14:paraId="1F5F593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41</w:t>
                  </w:r>
                </w:p>
              </w:tc>
              <w:tc>
                <w:tcPr>
                  <w:tcW w:w="417" w:type="pct"/>
                  <w:tcBorders>
                    <w:tl2br w:val="nil"/>
                    <w:tr2bl w:val="nil"/>
                  </w:tcBorders>
                  <w:vAlign w:val="center"/>
                </w:tcPr>
                <w:p w14:paraId="2A2EA74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1</w:t>
                  </w:r>
                </w:p>
              </w:tc>
            </w:tr>
            <w:tr w14:paraId="50046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4C26545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bidi="ar"/>
                    </w:rPr>
                  </w:pPr>
                  <w:r>
                    <w:rPr>
                      <w:rFonts w:hint="eastAsia"/>
                      <w:sz w:val="21"/>
                      <w:szCs w:val="21"/>
                      <w:highlight w:val="none"/>
                      <w:lang w:val="en-US" w:eastAsia="zh-CN" w:bidi="ar"/>
                    </w:rPr>
                    <w:t>10</w:t>
                  </w:r>
                </w:p>
              </w:tc>
              <w:tc>
                <w:tcPr>
                  <w:tcW w:w="275" w:type="pct"/>
                  <w:vMerge w:val="restart"/>
                  <w:tcBorders>
                    <w:tl2br w:val="nil"/>
                    <w:tr2bl w:val="nil"/>
                  </w:tcBorders>
                  <w:vAlign w:val="center"/>
                </w:tcPr>
                <w:p w14:paraId="1F0854C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可靠性实验室</w:t>
                  </w:r>
                </w:p>
              </w:tc>
              <w:tc>
                <w:tcPr>
                  <w:tcW w:w="535" w:type="pct"/>
                  <w:tcBorders>
                    <w:tl2br w:val="nil"/>
                    <w:tr2bl w:val="nil"/>
                  </w:tcBorders>
                  <w:vAlign w:val="center"/>
                </w:tcPr>
                <w:p w14:paraId="6A86E8D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r>
                    <w:rPr>
                      <w:rFonts w:hint="eastAsia" w:eastAsia="Helvetica" w:cs="Times New Roman"/>
                      <w:i w:val="0"/>
                      <w:iCs w:val="0"/>
                      <w:caps w:val="0"/>
                      <w:color w:val="333333"/>
                      <w:spacing w:val="0"/>
                      <w:sz w:val="21"/>
                      <w:szCs w:val="21"/>
                      <w:highlight w:val="none"/>
                      <w:shd w:val="clear" w:fill="FFFFFF"/>
                      <w:lang w:val="en-US" w:eastAsia="zh-CN"/>
                    </w:rPr>
                    <w:t>冲击碰撞试验台</w:t>
                  </w:r>
                </w:p>
              </w:tc>
              <w:tc>
                <w:tcPr>
                  <w:tcW w:w="353" w:type="pct"/>
                  <w:tcBorders>
                    <w:tl2br w:val="nil"/>
                    <w:tr2bl w:val="nil"/>
                  </w:tcBorders>
                  <w:vAlign w:val="center"/>
                </w:tcPr>
                <w:p w14:paraId="4976A27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1</w:t>
                  </w:r>
                </w:p>
              </w:tc>
              <w:tc>
                <w:tcPr>
                  <w:tcW w:w="525" w:type="pct"/>
                  <w:tcBorders>
                    <w:tl2br w:val="nil"/>
                    <w:tr2bl w:val="nil"/>
                  </w:tcBorders>
                  <w:vAlign w:val="center"/>
                </w:tcPr>
                <w:p w14:paraId="2A8CD657">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bidi="ar"/>
                    </w:rPr>
                  </w:pPr>
                  <w:r>
                    <w:rPr>
                      <w:rFonts w:hint="eastAsia"/>
                      <w:sz w:val="21"/>
                      <w:szCs w:val="21"/>
                      <w:highlight w:val="none"/>
                      <w:lang w:val="en-US" w:eastAsia="zh-CN" w:bidi="ar"/>
                    </w:rPr>
                    <w:t>80</w:t>
                  </w:r>
                </w:p>
              </w:tc>
              <w:tc>
                <w:tcPr>
                  <w:tcW w:w="506" w:type="pct"/>
                  <w:vMerge w:val="restart"/>
                  <w:tcBorders>
                    <w:tl2br w:val="nil"/>
                    <w:tr2bl w:val="nil"/>
                  </w:tcBorders>
                  <w:vAlign w:val="center"/>
                </w:tcPr>
                <w:p w14:paraId="45665CA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r>
                    <w:rPr>
                      <w:rFonts w:hint="eastAsia"/>
                      <w:sz w:val="21"/>
                      <w:szCs w:val="21"/>
                      <w:highlight w:val="none"/>
                    </w:rPr>
                    <w:t>厂房隔音</w:t>
                  </w:r>
                </w:p>
                <w:p w14:paraId="7AA2E6C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p>
              </w:tc>
              <w:tc>
                <w:tcPr>
                  <w:tcW w:w="279" w:type="pct"/>
                  <w:tcBorders>
                    <w:tl2br w:val="nil"/>
                    <w:tr2bl w:val="nil"/>
                  </w:tcBorders>
                  <w:vAlign w:val="center"/>
                </w:tcPr>
                <w:p w14:paraId="580C80F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37</w:t>
                  </w:r>
                </w:p>
              </w:tc>
              <w:tc>
                <w:tcPr>
                  <w:tcW w:w="294" w:type="pct"/>
                  <w:tcBorders>
                    <w:tl2br w:val="nil"/>
                    <w:tr2bl w:val="nil"/>
                  </w:tcBorders>
                  <w:vAlign w:val="center"/>
                </w:tcPr>
                <w:p w14:paraId="14E5FD3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68</w:t>
                  </w:r>
                </w:p>
              </w:tc>
              <w:tc>
                <w:tcPr>
                  <w:tcW w:w="280" w:type="pct"/>
                  <w:tcBorders>
                    <w:tl2br w:val="nil"/>
                    <w:tr2bl w:val="nil"/>
                  </w:tcBorders>
                  <w:vAlign w:val="center"/>
                </w:tcPr>
                <w:p w14:paraId="520AECBC">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sz w:val="21"/>
                      <w:szCs w:val="21"/>
                      <w:highlight w:val="none"/>
                      <w:lang w:val="en-US" w:eastAsia="zh-CN"/>
                    </w:rPr>
                  </w:pPr>
                  <w:r>
                    <w:rPr>
                      <w:rFonts w:hint="eastAsia"/>
                      <w:sz w:val="21"/>
                      <w:szCs w:val="21"/>
                      <w:highlight w:val="none"/>
                      <w:lang w:val="en-US" w:eastAsia="zh-CN"/>
                    </w:rPr>
                    <w:t>4</w:t>
                  </w:r>
                </w:p>
              </w:tc>
              <w:tc>
                <w:tcPr>
                  <w:tcW w:w="482" w:type="pct"/>
                  <w:tcBorders>
                    <w:tl2br w:val="nil"/>
                    <w:tr2bl w:val="nil"/>
                  </w:tcBorders>
                  <w:vAlign w:val="center"/>
                </w:tcPr>
                <w:p w14:paraId="1FE6EC4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r>
                    <w:rPr>
                      <w:rFonts w:hint="eastAsia"/>
                      <w:sz w:val="21"/>
                      <w:szCs w:val="21"/>
                      <w:highlight w:val="none"/>
                    </w:rPr>
                    <w:t>昼间</w:t>
                  </w:r>
                </w:p>
              </w:tc>
              <w:tc>
                <w:tcPr>
                  <w:tcW w:w="405" w:type="pct"/>
                  <w:tcBorders>
                    <w:tl2br w:val="nil"/>
                    <w:tr2bl w:val="nil"/>
                  </w:tcBorders>
                  <w:vAlign w:val="center"/>
                </w:tcPr>
                <w:p w14:paraId="5A1A5D4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21</w:t>
                  </w:r>
                </w:p>
              </w:tc>
              <w:tc>
                <w:tcPr>
                  <w:tcW w:w="389" w:type="pct"/>
                  <w:tcBorders>
                    <w:tl2br w:val="nil"/>
                    <w:tr2bl w:val="nil"/>
                  </w:tcBorders>
                  <w:vAlign w:val="center"/>
                </w:tcPr>
                <w:p w14:paraId="3D7D63C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44</w:t>
                  </w:r>
                </w:p>
              </w:tc>
              <w:tc>
                <w:tcPr>
                  <w:tcW w:w="417" w:type="pct"/>
                  <w:tcBorders>
                    <w:tl2br w:val="nil"/>
                    <w:tr2bl w:val="nil"/>
                  </w:tcBorders>
                  <w:vAlign w:val="center"/>
                </w:tcPr>
                <w:p w14:paraId="1182E58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sz w:val="21"/>
                      <w:szCs w:val="21"/>
                      <w:highlight w:val="none"/>
                      <w:lang w:val="en-US" w:eastAsia="zh-CN"/>
                    </w:rPr>
                  </w:pPr>
                  <w:r>
                    <w:rPr>
                      <w:rFonts w:hint="eastAsia"/>
                      <w:sz w:val="21"/>
                      <w:szCs w:val="21"/>
                      <w:highlight w:val="none"/>
                      <w:lang w:val="en-US" w:eastAsia="zh-CN"/>
                    </w:rPr>
                    <w:t>1</w:t>
                  </w:r>
                </w:p>
              </w:tc>
            </w:tr>
            <w:tr w14:paraId="42F14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6EF6875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sz w:val="21"/>
                      <w:szCs w:val="21"/>
                      <w:highlight w:val="none"/>
                      <w:lang w:val="en-US" w:eastAsia="zh-CN" w:bidi="ar"/>
                    </w:rPr>
                  </w:pPr>
                  <w:r>
                    <w:rPr>
                      <w:rFonts w:hint="eastAsia"/>
                      <w:sz w:val="21"/>
                      <w:szCs w:val="21"/>
                      <w:highlight w:val="none"/>
                      <w:lang w:val="en-US" w:eastAsia="zh-CN" w:bidi="ar"/>
                    </w:rPr>
                    <w:t>11</w:t>
                  </w:r>
                </w:p>
              </w:tc>
              <w:tc>
                <w:tcPr>
                  <w:tcW w:w="275" w:type="pct"/>
                  <w:vMerge w:val="continue"/>
                  <w:tcBorders>
                    <w:tl2br w:val="nil"/>
                    <w:tr2bl w:val="nil"/>
                  </w:tcBorders>
                  <w:vAlign w:val="center"/>
                </w:tcPr>
                <w:p w14:paraId="001C2FDC">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p>
              </w:tc>
              <w:tc>
                <w:tcPr>
                  <w:tcW w:w="535" w:type="pct"/>
                  <w:tcBorders>
                    <w:tl2br w:val="nil"/>
                    <w:tr2bl w:val="nil"/>
                  </w:tcBorders>
                  <w:vAlign w:val="center"/>
                </w:tcPr>
                <w:p w14:paraId="2B56E4A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Helvetica" w:cs="Times New Roman"/>
                      <w:i w:val="0"/>
                      <w:iCs w:val="0"/>
                      <w:caps w:val="0"/>
                      <w:color w:val="333333"/>
                      <w:spacing w:val="0"/>
                      <w:sz w:val="21"/>
                      <w:szCs w:val="21"/>
                      <w:highlight w:val="none"/>
                      <w:shd w:val="clear" w:fill="FFFFFF"/>
                      <w:lang w:val="en-US" w:eastAsia="zh-CN"/>
                    </w:rPr>
                  </w:pPr>
                  <w:r>
                    <w:rPr>
                      <w:rFonts w:hint="eastAsia" w:eastAsia="Helvetica" w:cs="Times New Roman"/>
                      <w:i w:val="0"/>
                      <w:iCs w:val="0"/>
                      <w:caps w:val="0"/>
                      <w:color w:val="333333"/>
                      <w:spacing w:val="0"/>
                      <w:sz w:val="21"/>
                      <w:szCs w:val="21"/>
                      <w:highlight w:val="none"/>
                      <w:shd w:val="clear" w:fill="FFFFFF"/>
                      <w:lang w:val="en-US" w:eastAsia="zh-CN"/>
                    </w:rPr>
                    <w:t>跌落机</w:t>
                  </w:r>
                </w:p>
              </w:tc>
              <w:tc>
                <w:tcPr>
                  <w:tcW w:w="353" w:type="pct"/>
                  <w:tcBorders>
                    <w:tl2br w:val="nil"/>
                    <w:tr2bl w:val="nil"/>
                  </w:tcBorders>
                  <w:vAlign w:val="center"/>
                </w:tcPr>
                <w:p w14:paraId="54AC8E9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sz w:val="21"/>
                      <w:szCs w:val="21"/>
                      <w:highlight w:val="none"/>
                      <w:lang w:val="en-US" w:eastAsia="zh-CN"/>
                    </w:rPr>
                  </w:pPr>
                  <w:r>
                    <w:rPr>
                      <w:rFonts w:hint="eastAsia"/>
                      <w:sz w:val="21"/>
                      <w:szCs w:val="21"/>
                      <w:highlight w:val="none"/>
                      <w:lang w:val="en-US" w:eastAsia="zh-CN"/>
                    </w:rPr>
                    <w:t>1</w:t>
                  </w:r>
                </w:p>
              </w:tc>
              <w:tc>
                <w:tcPr>
                  <w:tcW w:w="525" w:type="pct"/>
                  <w:tcBorders>
                    <w:tl2br w:val="nil"/>
                    <w:tr2bl w:val="nil"/>
                  </w:tcBorders>
                  <w:vAlign w:val="center"/>
                </w:tcPr>
                <w:p w14:paraId="7952EC2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bidi="ar"/>
                    </w:rPr>
                  </w:pPr>
                  <w:r>
                    <w:rPr>
                      <w:rFonts w:hint="eastAsia"/>
                      <w:sz w:val="21"/>
                      <w:szCs w:val="21"/>
                      <w:highlight w:val="none"/>
                      <w:lang w:val="en-US" w:eastAsia="zh-CN" w:bidi="ar"/>
                    </w:rPr>
                    <w:t>80</w:t>
                  </w:r>
                </w:p>
              </w:tc>
              <w:tc>
                <w:tcPr>
                  <w:tcW w:w="506" w:type="pct"/>
                  <w:vMerge w:val="continue"/>
                  <w:tcBorders>
                    <w:tl2br w:val="nil"/>
                    <w:tr2bl w:val="nil"/>
                  </w:tcBorders>
                  <w:vAlign w:val="center"/>
                </w:tcPr>
                <w:p w14:paraId="56A4484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p>
              </w:tc>
              <w:tc>
                <w:tcPr>
                  <w:tcW w:w="279" w:type="pct"/>
                  <w:tcBorders>
                    <w:tl2br w:val="nil"/>
                    <w:tr2bl w:val="nil"/>
                  </w:tcBorders>
                  <w:vAlign w:val="center"/>
                </w:tcPr>
                <w:p w14:paraId="172B8A9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39</w:t>
                  </w:r>
                </w:p>
              </w:tc>
              <w:tc>
                <w:tcPr>
                  <w:tcW w:w="294" w:type="pct"/>
                  <w:tcBorders>
                    <w:tl2br w:val="nil"/>
                    <w:tr2bl w:val="nil"/>
                  </w:tcBorders>
                  <w:vAlign w:val="center"/>
                </w:tcPr>
                <w:p w14:paraId="13ED876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72</w:t>
                  </w:r>
                </w:p>
              </w:tc>
              <w:tc>
                <w:tcPr>
                  <w:tcW w:w="280" w:type="pct"/>
                  <w:tcBorders>
                    <w:tl2br w:val="nil"/>
                    <w:tr2bl w:val="nil"/>
                  </w:tcBorders>
                  <w:vAlign w:val="center"/>
                </w:tcPr>
                <w:p w14:paraId="7D0F9BE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sz w:val="21"/>
                      <w:szCs w:val="21"/>
                      <w:highlight w:val="none"/>
                      <w:lang w:val="en-US" w:eastAsia="zh-CN"/>
                    </w:rPr>
                  </w:pPr>
                  <w:r>
                    <w:rPr>
                      <w:rFonts w:hint="eastAsia"/>
                      <w:sz w:val="21"/>
                      <w:szCs w:val="21"/>
                      <w:highlight w:val="none"/>
                      <w:lang w:val="en-US" w:eastAsia="zh-CN"/>
                    </w:rPr>
                    <w:t>4</w:t>
                  </w:r>
                </w:p>
              </w:tc>
              <w:tc>
                <w:tcPr>
                  <w:tcW w:w="482" w:type="pct"/>
                  <w:tcBorders>
                    <w:tl2br w:val="nil"/>
                    <w:tr2bl w:val="nil"/>
                  </w:tcBorders>
                  <w:vAlign w:val="center"/>
                </w:tcPr>
                <w:p w14:paraId="65829F7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r>
                    <w:rPr>
                      <w:rFonts w:hint="eastAsia"/>
                      <w:sz w:val="21"/>
                      <w:szCs w:val="21"/>
                      <w:highlight w:val="none"/>
                    </w:rPr>
                    <w:t>昼间</w:t>
                  </w:r>
                </w:p>
              </w:tc>
              <w:tc>
                <w:tcPr>
                  <w:tcW w:w="405" w:type="pct"/>
                  <w:tcBorders>
                    <w:tl2br w:val="nil"/>
                    <w:tr2bl w:val="nil"/>
                  </w:tcBorders>
                  <w:vAlign w:val="center"/>
                </w:tcPr>
                <w:p w14:paraId="5ECFDD6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21</w:t>
                  </w:r>
                </w:p>
              </w:tc>
              <w:tc>
                <w:tcPr>
                  <w:tcW w:w="389" w:type="pct"/>
                  <w:tcBorders>
                    <w:tl2br w:val="nil"/>
                    <w:tr2bl w:val="nil"/>
                  </w:tcBorders>
                  <w:vAlign w:val="center"/>
                </w:tcPr>
                <w:p w14:paraId="5CA373C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45</w:t>
                  </w:r>
                </w:p>
              </w:tc>
              <w:tc>
                <w:tcPr>
                  <w:tcW w:w="417" w:type="pct"/>
                  <w:tcBorders>
                    <w:tl2br w:val="nil"/>
                    <w:tr2bl w:val="nil"/>
                  </w:tcBorders>
                  <w:vAlign w:val="center"/>
                </w:tcPr>
                <w:p w14:paraId="509C365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sz w:val="21"/>
                      <w:szCs w:val="21"/>
                      <w:highlight w:val="none"/>
                      <w:lang w:val="en-US" w:eastAsia="zh-CN"/>
                    </w:rPr>
                  </w:pPr>
                  <w:r>
                    <w:rPr>
                      <w:rFonts w:hint="eastAsia"/>
                      <w:sz w:val="21"/>
                      <w:szCs w:val="21"/>
                      <w:highlight w:val="none"/>
                      <w:lang w:val="en-US" w:eastAsia="zh-CN"/>
                    </w:rPr>
                    <w:t>1</w:t>
                  </w:r>
                </w:p>
              </w:tc>
            </w:tr>
            <w:tr w14:paraId="6B322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15BE75D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sz w:val="21"/>
                      <w:szCs w:val="21"/>
                      <w:highlight w:val="none"/>
                      <w:lang w:val="en-US" w:eastAsia="zh-CN" w:bidi="ar"/>
                    </w:rPr>
                  </w:pPr>
                  <w:r>
                    <w:rPr>
                      <w:rFonts w:hint="eastAsia"/>
                      <w:sz w:val="21"/>
                      <w:szCs w:val="21"/>
                      <w:highlight w:val="none"/>
                      <w:lang w:val="en-US" w:eastAsia="zh-CN" w:bidi="ar"/>
                    </w:rPr>
                    <w:t>12</w:t>
                  </w:r>
                </w:p>
              </w:tc>
              <w:tc>
                <w:tcPr>
                  <w:tcW w:w="275" w:type="pct"/>
                  <w:vMerge w:val="continue"/>
                  <w:tcBorders>
                    <w:tl2br w:val="nil"/>
                    <w:tr2bl w:val="nil"/>
                  </w:tcBorders>
                  <w:vAlign w:val="center"/>
                </w:tcPr>
                <w:p w14:paraId="4983156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p>
              </w:tc>
              <w:tc>
                <w:tcPr>
                  <w:tcW w:w="535" w:type="pct"/>
                  <w:tcBorders>
                    <w:tl2br w:val="nil"/>
                    <w:tr2bl w:val="nil"/>
                  </w:tcBorders>
                  <w:vAlign w:val="center"/>
                </w:tcPr>
                <w:p w14:paraId="547F4F2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Helvetica" w:cs="Times New Roman"/>
                      <w:i w:val="0"/>
                      <w:iCs w:val="0"/>
                      <w:caps w:val="0"/>
                      <w:color w:val="333333"/>
                      <w:spacing w:val="0"/>
                      <w:sz w:val="21"/>
                      <w:szCs w:val="21"/>
                      <w:highlight w:val="none"/>
                      <w:shd w:val="clear" w:fill="FFFFFF"/>
                      <w:lang w:val="en-US" w:eastAsia="zh-CN"/>
                    </w:rPr>
                  </w:pPr>
                  <w:r>
                    <w:rPr>
                      <w:rFonts w:hint="eastAsia" w:eastAsia="Helvetica" w:cs="Times New Roman"/>
                      <w:i w:val="0"/>
                      <w:iCs w:val="0"/>
                      <w:caps w:val="0"/>
                      <w:color w:val="333333"/>
                      <w:spacing w:val="0"/>
                      <w:sz w:val="21"/>
                      <w:szCs w:val="21"/>
                      <w:highlight w:val="none"/>
                      <w:shd w:val="clear" w:fill="FFFFFF"/>
                      <w:lang w:val="en-US" w:eastAsia="zh-CN"/>
                    </w:rPr>
                    <w:t>振动台</w:t>
                  </w:r>
                </w:p>
              </w:tc>
              <w:tc>
                <w:tcPr>
                  <w:tcW w:w="353" w:type="pct"/>
                  <w:tcBorders>
                    <w:tl2br w:val="nil"/>
                    <w:tr2bl w:val="nil"/>
                  </w:tcBorders>
                  <w:vAlign w:val="center"/>
                </w:tcPr>
                <w:p w14:paraId="390B30E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sz w:val="21"/>
                      <w:szCs w:val="21"/>
                      <w:highlight w:val="none"/>
                      <w:lang w:val="en-US" w:eastAsia="zh-CN"/>
                    </w:rPr>
                  </w:pPr>
                  <w:r>
                    <w:rPr>
                      <w:rFonts w:hint="eastAsia"/>
                      <w:sz w:val="21"/>
                      <w:szCs w:val="21"/>
                      <w:highlight w:val="none"/>
                      <w:lang w:val="en-US" w:eastAsia="zh-CN"/>
                    </w:rPr>
                    <w:t>1</w:t>
                  </w:r>
                </w:p>
              </w:tc>
              <w:tc>
                <w:tcPr>
                  <w:tcW w:w="525" w:type="pct"/>
                  <w:tcBorders>
                    <w:tl2br w:val="nil"/>
                    <w:tr2bl w:val="nil"/>
                  </w:tcBorders>
                  <w:vAlign w:val="center"/>
                </w:tcPr>
                <w:p w14:paraId="6A3C7FD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bidi="ar"/>
                    </w:rPr>
                  </w:pPr>
                  <w:r>
                    <w:rPr>
                      <w:rFonts w:hint="eastAsia"/>
                      <w:sz w:val="21"/>
                      <w:szCs w:val="21"/>
                      <w:highlight w:val="none"/>
                      <w:lang w:val="en-US" w:eastAsia="zh-CN" w:bidi="ar"/>
                    </w:rPr>
                    <w:t>80</w:t>
                  </w:r>
                </w:p>
              </w:tc>
              <w:tc>
                <w:tcPr>
                  <w:tcW w:w="506" w:type="pct"/>
                  <w:vMerge w:val="continue"/>
                  <w:tcBorders>
                    <w:tl2br w:val="nil"/>
                    <w:tr2bl w:val="nil"/>
                  </w:tcBorders>
                  <w:vAlign w:val="center"/>
                </w:tcPr>
                <w:p w14:paraId="00B15C5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p>
              </w:tc>
              <w:tc>
                <w:tcPr>
                  <w:tcW w:w="279" w:type="pct"/>
                  <w:tcBorders>
                    <w:tl2br w:val="nil"/>
                    <w:tr2bl w:val="nil"/>
                  </w:tcBorders>
                  <w:vAlign w:val="center"/>
                </w:tcPr>
                <w:p w14:paraId="5416C3A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40</w:t>
                  </w:r>
                </w:p>
              </w:tc>
              <w:tc>
                <w:tcPr>
                  <w:tcW w:w="294" w:type="pct"/>
                  <w:tcBorders>
                    <w:tl2br w:val="nil"/>
                    <w:tr2bl w:val="nil"/>
                  </w:tcBorders>
                  <w:vAlign w:val="center"/>
                </w:tcPr>
                <w:p w14:paraId="209571D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75</w:t>
                  </w:r>
                </w:p>
              </w:tc>
              <w:tc>
                <w:tcPr>
                  <w:tcW w:w="280" w:type="pct"/>
                  <w:tcBorders>
                    <w:tl2br w:val="nil"/>
                    <w:tr2bl w:val="nil"/>
                  </w:tcBorders>
                  <w:vAlign w:val="center"/>
                </w:tcPr>
                <w:p w14:paraId="09AAAD3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sz w:val="21"/>
                      <w:szCs w:val="21"/>
                      <w:highlight w:val="none"/>
                      <w:lang w:val="en-US" w:eastAsia="zh-CN"/>
                    </w:rPr>
                  </w:pPr>
                  <w:r>
                    <w:rPr>
                      <w:rFonts w:hint="eastAsia"/>
                      <w:sz w:val="21"/>
                      <w:szCs w:val="21"/>
                      <w:highlight w:val="none"/>
                      <w:lang w:val="en-US" w:eastAsia="zh-CN"/>
                    </w:rPr>
                    <w:t>4</w:t>
                  </w:r>
                </w:p>
              </w:tc>
              <w:tc>
                <w:tcPr>
                  <w:tcW w:w="482" w:type="pct"/>
                  <w:tcBorders>
                    <w:tl2br w:val="nil"/>
                    <w:tr2bl w:val="nil"/>
                  </w:tcBorders>
                  <w:vAlign w:val="center"/>
                </w:tcPr>
                <w:p w14:paraId="16D74D3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r>
                    <w:rPr>
                      <w:rFonts w:hint="eastAsia"/>
                      <w:sz w:val="21"/>
                      <w:szCs w:val="21"/>
                      <w:highlight w:val="none"/>
                    </w:rPr>
                    <w:t>昼间</w:t>
                  </w:r>
                </w:p>
              </w:tc>
              <w:tc>
                <w:tcPr>
                  <w:tcW w:w="405" w:type="pct"/>
                  <w:tcBorders>
                    <w:tl2br w:val="nil"/>
                    <w:tr2bl w:val="nil"/>
                  </w:tcBorders>
                  <w:vAlign w:val="center"/>
                </w:tcPr>
                <w:p w14:paraId="58EAB8B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21</w:t>
                  </w:r>
                </w:p>
              </w:tc>
              <w:tc>
                <w:tcPr>
                  <w:tcW w:w="389" w:type="pct"/>
                  <w:tcBorders>
                    <w:tl2br w:val="nil"/>
                    <w:tr2bl w:val="nil"/>
                  </w:tcBorders>
                  <w:vAlign w:val="center"/>
                </w:tcPr>
                <w:p w14:paraId="05A990C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45</w:t>
                  </w:r>
                </w:p>
              </w:tc>
              <w:tc>
                <w:tcPr>
                  <w:tcW w:w="417" w:type="pct"/>
                  <w:tcBorders>
                    <w:tl2br w:val="nil"/>
                    <w:tr2bl w:val="nil"/>
                  </w:tcBorders>
                  <w:vAlign w:val="center"/>
                </w:tcPr>
                <w:p w14:paraId="79C1311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sz w:val="21"/>
                      <w:szCs w:val="21"/>
                      <w:highlight w:val="none"/>
                      <w:lang w:val="en-US" w:eastAsia="zh-CN"/>
                    </w:rPr>
                  </w:pPr>
                  <w:r>
                    <w:rPr>
                      <w:rFonts w:hint="eastAsia"/>
                      <w:sz w:val="21"/>
                      <w:szCs w:val="21"/>
                      <w:highlight w:val="none"/>
                      <w:lang w:val="en-US" w:eastAsia="zh-CN"/>
                    </w:rPr>
                    <w:t>1</w:t>
                  </w:r>
                </w:p>
              </w:tc>
            </w:tr>
            <w:tr w14:paraId="7E2C1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5134A9B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sz w:val="21"/>
                      <w:szCs w:val="21"/>
                      <w:highlight w:val="none"/>
                      <w:lang w:val="en-US" w:eastAsia="zh-CN" w:bidi="ar"/>
                    </w:rPr>
                  </w:pPr>
                  <w:r>
                    <w:rPr>
                      <w:rFonts w:hint="eastAsia"/>
                      <w:sz w:val="21"/>
                      <w:szCs w:val="21"/>
                      <w:highlight w:val="none"/>
                      <w:lang w:val="en-US" w:eastAsia="zh-CN" w:bidi="ar"/>
                    </w:rPr>
                    <w:t>13</w:t>
                  </w:r>
                </w:p>
              </w:tc>
              <w:tc>
                <w:tcPr>
                  <w:tcW w:w="275" w:type="pct"/>
                  <w:vMerge w:val="continue"/>
                  <w:tcBorders>
                    <w:tl2br w:val="nil"/>
                    <w:tr2bl w:val="nil"/>
                  </w:tcBorders>
                  <w:vAlign w:val="center"/>
                </w:tcPr>
                <w:p w14:paraId="10970EC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p>
              </w:tc>
              <w:tc>
                <w:tcPr>
                  <w:tcW w:w="535" w:type="pct"/>
                  <w:tcBorders>
                    <w:tl2br w:val="nil"/>
                    <w:tr2bl w:val="nil"/>
                  </w:tcBorders>
                  <w:vAlign w:val="center"/>
                </w:tcPr>
                <w:p w14:paraId="3E57FEB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Helvetica" w:cs="Times New Roman"/>
                      <w:i w:val="0"/>
                      <w:iCs w:val="0"/>
                      <w:caps w:val="0"/>
                      <w:color w:val="333333"/>
                      <w:spacing w:val="0"/>
                      <w:sz w:val="21"/>
                      <w:szCs w:val="21"/>
                      <w:highlight w:val="none"/>
                      <w:shd w:val="clear" w:fill="FFFFFF"/>
                      <w:lang w:val="en-US" w:eastAsia="zh-CN"/>
                    </w:rPr>
                  </w:pPr>
                  <w:r>
                    <w:rPr>
                      <w:rFonts w:hint="eastAsia" w:eastAsia="Helvetica" w:cs="Times New Roman"/>
                      <w:i w:val="0"/>
                      <w:iCs w:val="0"/>
                      <w:caps w:val="0"/>
                      <w:color w:val="333333"/>
                      <w:spacing w:val="0"/>
                      <w:sz w:val="21"/>
                      <w:szCs w:val="21"/>
                      <w:highlight w:val="none"/>
                      <w:shd w:val="clear" w:fill="FFFFFF"/>
                      <w:lang w:val="en-US" w:eastAsia="zh-CN"/>
                    </w:rPr>
                    <w:t>包装箱压力机</w:t>
                  </w:r>
                </w:p>
              </w:tc>
              <w:tc>
                <w:tcPr>
                  <w:tcW w:w="353" w:type="pct"/>
                  <w:tcBorders>
                    <w:tl2br w:val="nil"/>
                    <w:tr2bl w:val="nil"/>
                  </w:tcBorders>
                  <w:vAlign w:val="center"/>
                </w:tcPr>
                <w:p w14:paraId="1FB457C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sz w:val="21"/>
                      <w:szCs w:val="21"/>
                      <w:highlight w:val="none"/>
                      <w:lang w:val="en-US" w:eastAsia="zh-CN"/>
                    </w:rPr>
                  </w:pPr>
                  <w:r>
                    <w:rPr>
                      <w:rFonts w:hint="eastAsia"/>
                      <w:sz w:val="21"/>
                      <w:szCs w:val="21"/>
                      <w:highlight w:val="none"/>
                      <w:lang w:val="en-US" w:eastAsia="zh-CN"/>
                    </w:rPr>
                    <w:t>1</w:t>
                  </w:r>
                </w:p>
              </w:tc>
              <w:tc>
                <w:tcPr>
                  <w:tcW w:w="525" w:type="pct"/>
                  <w:tcBorders>
                    <w:tl2br w:val="nil"/>
                    <w:tr2bl w:val="nil"/>
                  </w:tcBorders>
                  <w:vAlign w:val="center"/>
                </w:tcPr>
                <w:p w14:paraId="5D4FE56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bidi="ar"/>
                    </w:rPr>
                  </w:pPr>
                  <w:r>
                    <w:rPr>
                      <w:rFonts w:hint="eastAsia"/>
                      <w:sz w:val="21"/>
                      <w:szCs w:val="21"/>
                      <w:highlight w:val="none"/>
                      <w:lang w:val="en-US" w:eastAsia="zh-CN" w:bidi="ar"/>
                    </w:rPr>
                    <w:t>80</w:t>
                  </w:r>
                </w:p>
              </w:tc>
              <w:tc>
                <w:tcPr>
                  <w:tcW w:w="506" w:type="pct"/>
                  <w:vMerge w:val="continue"/>
                  <w:tcBorders>
                    <w:tl2br w:val="nil"/>
                    <w:tr2bl w:val="nil"/>
                  </w:tcBorders>
                  <w:vAlign w:val="center"/>
                </w:tcPr>
                <w:p w14:paraId="42C8626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p>
              </w:tc>
              <w:tc>
                <w:tcPr>
                  <w:tcW w:w="279" w:type="pct"/>
                  <w:tcBorders>
                    <w:tl2br w:val="nil"/>
                    <w:tr2bl w:val="nil"/>
                  </w:tcBorders>
                  <w:vAlign w:val="center"/>
                </w:tcPr>
                <w:p w14:paraId="5C8621C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45</w:t>
                  </w:r>
                </w:p>
              </w:tc>
              <w:tc>
                <w:tcPr>
                  <w:tcW w:w="294" w:type="pct"/>
                  <w:tcBorders>
                    <w:tl2br w:val="nil"/>
                    <w:tr2bl w:val="nil"/>
                  </w:tcBorders>
                  <w:vAlign w:val="center"/>
                </w:tcPr>
                <w:p w14:paraId="5435DC1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77</w:t>
                  </w:r>
                </w:p>
              </w:tc>
              <w:tc>
                <w:tcPr>
                  <w:tcW w:w="280" w:type="pct"/>
                  <w:tcBorders>
                    <w:tl2br w:val="nil"/>
                    <w:tr2bl w:val="nil"/>
                  </w:tcBorders>
                  <w:vAlign w:val="center"/>
                </w:tcPr>
                <w:p w14:paraId="44921F2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sz w:val="21"/>
                      <w:szCs w:val="21"/>
                      <w:highlight w:val="none"/>
                      <w:lang w:val="en-US" w:eastAsia="zh-CN"/>
                    </w:rPr>
                  </w:pPr>
                  <w:r>
                    <w:rPr>
                      <w:rFonts w:hint="eastAsia"/>
                      <w:sz w:val="21"/>
                      <w:szCs w:val="21"/>
                      <w:highlight w:val="none"/>
                      <w:lang w:val="en-US" w:eastAsia="zh-CN"/>
                    </w:rPr>
                    <w:t>4</w:t>
                  </w:r>
                </w:p>
              </w:tc>
              <w:tc>
                <w:tcPr>
                  <w:tcW w:w="482" w:type="pct"/>
                  <w:tcBorders>
                    <w:tl2br w:val="nil"/>
                    <w:tr2bl w:val="nil"/>
                  </w:tcBorders>
                  <w:vAlign w:val="center"/>
                </w:tcPr>
                <w:p w14:paraId="29A2579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sz w:val="21"/>
                      <w:szCs w:val="21"/>
                      <w:highlight w:val="none"/>
                    </w:rPr>
                  </w:pPr>
                  <w:r>
                    <w:rPr>
                      <w:rFonts w:hint="eastAsia"/>
                      <w:sz w:val="21"/>
                      <w:szCs w:val="21"/>
                      <w:highlight w:val="none"/>
                    </w:rPr>
                    <w:t>昼间</w:t>
                  </w:r>
                </w:p>
              </w:tc>
              <w:tc>
                <w:tcPr>
                  <w:tcW w:w="405" w:type="pct"/>
                  <w:tcBorders>
                    <w:tl2br w:val="nil"/>
                    <w:tr2bl w:val="nil"/>
                  </w:tcBorders>
                  <w:vAlign w:val="center"/>
                </w:tcPr>
                <w:p w14:paraId="352D56C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21</w:t>
                  </w:r>
                </w:p>
              </w:tc>
              <w:tc>
                <w:tcPr>
                  <w:tcW w:w="389" w:type="pct"/>
                  <w:tcBorders>
                    <w:tl2br w:val="nil"/>
                    <w:tr2bl w:val="nil"/>
                  </w:tcBorders>
                  <w:vAlign w:val="center"/>
                </w:tcPr>
                <w:p w14:paraId="6D2D376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highlight w:val="none"/>
                      <w:lang w:val="en-US" w:eastAsia="zh-CN"/>
                    </w:rPr>
                  </w:pPr>
                  <w:r>
                    <w:rPr>
                      <w:rFonts w:hint="eastAsia"/>
                      <w:sz w:val="21"/>
                      <w:szCs w:val="21"/>
                      <w:highlight w:val="none"/>
                      <w:lang w:val="en-US" w:eastAsia="zh-CN"/>
                    </w:rPr>
                    <w:t>45</w:t>
                  </w:r>
                </w:p>
              </w:tc>
              <w:tc>
                <w:tcPr>
                  <w:tcW w:w="417" w:type="pct"/>
                  <w:tcBorders>
                    <w:tl2br w:val="nil"/>
                    <w:tr2bl w:val="nil"/>
                  </w:tcBorders>
                  <w:vAlign w:val="center"/>
                </w:tcPr>
                <w:p w14:paraId="42A589F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sz w:val="21"/>
                      <w:szCs w:val="21"/>
                      <w:highlight w:val="none"/>
                      <w:lang w:val="en-US" w:eastAsia="zh-CN"/>
                    </w:rPr>
                  </w:pPr>
                  <w:r>
                    <w:rPr>
                      <w:rFonts w:hint="eastAsia"/>
                      <w:sz w:val="21"/>
                      <w:szCs w:val="21"/>
                      <w:highlight w:val="none"/>
                      <w:lang w:val="en-US" w:eastAsia="zh-CN"/>
                    </w:rPr>
                    <w:t>1</w:t>
                  </w:r>
                </w:p>
              </w:tc>
            </w:tr>
            <w:tr w14:paraId="21398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72F942B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bidi="ar"/>
                    </w:rPr>
                  </w:pPr>
                  <w:r>
                    <w:rPr>
                      <w:rFonts w:hint="eastAsia"/>
                      <w:color w:val="auto"/>
                      <w:sz w:val="21"/>
                      <w:szCs w:val="21"/>
                      <w:highlight w:val="none"/>
                      <w:lang w:val="en-US" w:eastAsia="zh-CN" w:bidi="ar"/>
                    </w:rPr>
                    <w:t>14</w:t>
                  </w:r>
                </w:p>
              </w:tc>
              <w:tc>
                <w:tcPr>
                  <w:tcW w:w="275" w:type="pct"/>
                  <w:tcBorders>
                    <w:tl2br w:val="nil"/>
                    <w:tr2bl w:val="nil"/>
                  </w:tcBorders>
                  <w:vAlign w:val="center"/>
                </w:tcPr>
                <w:p w14:paraId="0D9D4E9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辅助设施</w:t>
                  </w:r>
                </w:p>
              </w:tc>
              <w:tc>
                <w:tcPr>
                  <w:tcW w:w="535" w:type="pct"/>
                  <w:tcBorders>
                    <w:tl2br w:val="nil"/>
                    <w:tr2bl w:val="nil"/>
                  </w:tcBorders>
                  <w:vAlign w:val="center"/>
                </w:tcPr>
                <w:p w14:paraId="03DDB94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eastAsia="Helvetica" w:cs="Times New Roman"/>
                      <w:i w:val="0"/>
                      <w:iCs w:val="0"/>
                      <w:caps w:val="0"/>
                      <w:color w:val="auto"/>
                      <w:spacing w:val="0"/>
                      <w:sz w:val="21"/>
                      <w:szCs w:val="21"/>
                      <w:highlight w:val="none"/>
                      <w:shd w:val="clear" w:fill="FFFFFF"/>
                      <w:lang w:val="en-US" w:eastAsia="zh-CN"/>
                    </w:rPr>
                  </w:pPr>
                  <w:r>
                    <w:rPr>
                      <w:rFonts w:hint="eastAsia" w:eastAsia="Helvetica" w:cs="Times New Roman"/>
                      <w:i w:val="0"/>
                      <w:iCs w:val="0"/>
                      <w:caps w:val="0"/>
                      <w:color w:val="auto"/>
                      <w:spacing w:val="0"/>
                      <w:sz w:val="21"/>
                      <w:szCs w:val="21"/>
                      <w:highlight w:val="none"/>
                      <w:shd w:val="clear" w:fill="FFFFFF"/>
                      <w:lang w:val="en-US" w:eastAsia="zh-CN"/>
                    </w:rPr>
                    <w:t>空调机组</w:t>
                  </w:r>
                </w:p>
              </w:tc>
              <w:tc>
                <w:tcPr>
                  <w:tcW w:w="353" w:type="pct"/>
                  <w:tcBorders>
                    <w:tl2br w:val="nil"/>
                    <w:tr2bl w:val="nil"/>
                  </w:tcBorders>
                  <w:vAlign w:val="center"/>
                </w:tcPr>
                <w:p w14:paraId="36017D8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c>
                <w:tcPr>
                  <w:tcW w:w="525" w:type="pct"/>
                  <w:tcBorders>
                    <w:tl2br w:val="nil"/>
                    <w:tr2bl w:val="nil"/>
                  </w:tcBorders>
                  <w:vAlign w:val="center"/>
                </w:tcPr>
                <w:p w14:paraId="5453F2C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bidi="ar"/>
                    </w:rPr>
                  </w:pPr>
                  <w:r>
                    <w:rPr>
                      <w:rFonts w:hint="eastAsia"/>
                      <w:color w:val="auto"/>
                      <w:sz w:val="21"/>
                      <w:szCs w:val="21"/>
                      <w:highlight w:val="none"/>
                      <w:lang w:val="en-US" w:eastAsia="zh-CN" w:bidi="ar"/>
                    </w:rPr>
                    <w:t>70</w:t>
                  </w:r>
                </w:p>
              </w:tc>
              <w:tc>
                <w:tcPr>
                  <w:tcW w:w="506" w:type="pct"/>
                  <w:tcBorders>
                    <w:tl2br w:val="nil"/>
                    <w:tr2bl w:val="nil"/>
                  </w:tcBorders>
                  <w:vAlign w:val="center"/>
                </w:tcPr>
                <w:p w14:paraId="368FB21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厂房隔音</w:t>
                  </w:r>
                </w:p>
              </w:tc>
              <w:tc>
                <w:tcPr>
                  <w:tcW w:w="279" w:type="pct"/>
                  <w:tcBorders>
                    <w:tl2br w:val="nil"/>
                    <w:tr2bl w:val="nil"/>
                  </w:tcBorders>
                  <w:vAlign w:val="center"/>
                </w:tcPr>
                <w:p w14:paraId="3090B96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80</w:t>
                  </w:r>
                </w:p>
              </w:tc>
              <w:tc>
                <w:tcPr>
                  <w:tcW w:w="294" w:type="pct"/>
                  <w:tcBorders>
                    <w:tl2br w:val="nil"/>
                    <w:tr2bl w:val="nil"/>
                  </w:tcBorders>
                  <w:vAlign w:val="center"/>
                </w:tcPr>
                <w:p w14:paraId="17341A5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80</w:t>
                  </w:r>
                </w:p>
              </w:tc>
              <w:tc>
                <w:tcPr>
                  <w:tcW w:w="280" w:type="pct"/>
                  <w:tcBorders>
                    <w:tl2br w:val="nil"/>
                    <w:tr2bl w:val="nil"/>
                  </w:tcBorders>
                  <w:vAlign w:val="center"/>
                </w:tcPr>
                <w:p w14:paraId="25626B6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-3</w:t>
                  </w:r>
                </w:p>
              </w:tc>
              <w:tc>
                <w:tcPr>
                  <w:tcW w:w="482" w:type="pct"/>
                  <w:tcBorders>
                    <w:tl2br w:val="nil"/>
                    <w:tr2bl w:val="nil"/>
                  </w:tcBorders>
                  <w:vAlign w:val="center"/>
                </w:tcPr>
                <w:p w14:paraId="3F8246D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昼间</w:t>
                  </w:r>
                </w:p>
              </w:tc>
              <w:tc>
                <w:tcPr>
                  <w:tcW w:w="405" w:type="pct"/>
                  <w:tcBorders>
                    <w:tl2br w:val="nil"/>
                    <w:tr2bl w:val="nil"/>
                  </w:tcBorders>
                  <w:vAlign w:val="center"/>
                </w:tcPr>
                <w:p w14:paraId="009E792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21</w:t>
                  </w:r>
                </w:p>
              </w:tc>
              <w:tc>
                <w:tcPr>
                  <w:tcW w:w="389" w:type="pct"/>
                  <w:tcBorders>
                    <w:tl2br w:val="nil"/>
                    <w:tr2bl w:val="nil"/>
                  </w:tcBorders>
                  <w:vAlign w:val="center"/>
                </w:tcPr>
                <w:p w14:paraId="2CA284F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48</w:t>
                  </w:r>
                </w:p>
              </w:tc>
              <w:tc>
                <w:tcPr>
                  <w:tcW w:w="417" w:type="pct"/>
                  <w:tcBorders>
                    <w:tl2br w:val="nil"/>
                    <w:tr2bl w:val="nil"/>
                  </w:tcBorders>
                  <w:vAlign w:val="center"/>
                </w:tcPr>
                <w:p w14:paraId="0F1E45B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r>
          </w:tbl>
          <w:p w14:paraId="06BF504E">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color w:val="auto"/>
                <w:lang w:val="en-US" w:eastAsia="zh-CN"/>
              </w:rPr>
            </w:pPr>
            <w:r>
              <w:rPr>
                <w:kern w:val="0"/>
                <w:sz w:val="20"/>
                <w:szCs w:val="20"/>
                <w:lang w:bidi="ar"/>
              </w:rPr>
              <w:t>注：本项目（0，0）点坐标位于</w:t>
            </w:r>
            <w:r>
              <w:rPr>
                <w:rFonts w:hint="eastAsia"/>
                <w:kern w:val="0"/>
                <w:sz w:val="20"/>
                <w:szCs w:val="20"/>
                <w:lang w:val="en-US" w:eastAsia="zh-CN" w:bidi="ar"/>
              </w:rPr>
              <w:t>1#楼的</w:t>
            </w:r>
            <w:r>
              <w:rPr>
                <w:kern w:val="0"/>
                <w:sz w:val="20"/>
                <w:szCs w:val="20"/>
                <w:lang w:bidi="ar"/>
              </w:rPr>
              <w:t>西南角，“X”代表以正东为正方向的坐标轴，“Y”代表以正北为正方向的坐标轴，“Y”代表垂直于 X，Y 向上的坐标轴。</w:t>
            </w:r>
          </w:p>
          <w:p w14:paraId="59BBE0B5">
            <w:pPr>
              <w:ind w:firstLine="482"/>
              <w:rPr>
                <w:rFonts w:hint="eastAsia"/>
                <w:b/>
                <w:bCs/>
                <w:color w:val="auto"/>
                <w:lang w:eastAsia="zh-CN"/>
              </w:rPr>
            </w:pPr>
            <w:r>
              <w:rPr>
                <w:rFonts w:hint="eastAsia"/>
                <w:b/>
                <w:bCs/>
                <w:color w:val="auto"/>
                <w:lang w:eastAsia="zh-CN"/>
              </w:rPr>
              <w:t>（2）预测模式</w:t>
            </w:r>
          </w:p>
          <w:p w14:paraId="039DD6C3">
            <w:pPr>
              <w:tabs>
                <w:tab w:val="left" w:pos="720"/>
              </w:tabs>
              <w:adjustRightInd w:val="0"/>
              <w:snapToGrid w:val="0"/>
              <w:spacing w:line="360" w:lineRule="auto"/>
              <w:ind w:firstLine="480" w:firstLineChars="200"/>
              <w:rPr>
                <w:sz w:val="24"/>
                <w:szCs w:val="20"/>
              </w:rPr>
            </w:pPr>
            <w:r>
              <w:rPr>
                <w:sz w:val="24"/>
                <w:szCs w:val="20"/>
              </w:rPr>
              <w:t>采用《环境影响评价技术导则 声环境》（HJ2.4-2021）中的工业噪声预测模式。</w:t>
            </w:r>
          </w:p>
          <w:p w14:paraId="4039F7A8">
            <w:pPr>
              <w:keepNext/>
              <w:keepLines/>
              <w:adjustRightInd w:val="0"/>
              <w:snapToGrid w:val="0"/>
              <w:spacing w:line="360" w:lineRule="auto"/>
              <w:ind w:firstLine="480" w:firstLineChars="200"/>
              <w:rPr>
                <w:sz w:val="24"/>
              </w:rPr>
            </w:pPr>
            <w:r>
              <w:rPr>
                <w:sz w:val="24"/>
              </w:rPr>
              <w:t>将室内声源等效为室外点声源，室内声源传播衰减公式为：</w:t>
            </w:r>
          </w:p>
          <w:p w14:paraId="5FFD014A">
            <w:pPr>
              <w:keepNext/>
              <w:keepLines/>
              <w:adjustRightInd w:val="0"/>
              <w:snapToGrid w:val="0"/>
              <w:spacing w:line="360" w:lineRule="auto"/>
              <w:ind w:firstLine="480" w:firstLineChars="200"/>
              <w:jc w:val="center"/>
              <w:rPr>
                <w:sz w:val="24"/>
              </w:rPr>
            </w:pPr>
            <w:r>
              <w:rPr>
                <w:sz w:val="24"/>
              </w:rPr>
              <w:drawing>
                <wp:inline distT="0" distB="0" distL="114300" distR="114300">
                  <wp:extent cx="3306445" cy="523240"/>
                  <wp:effectExtent l="0" t="0" r="8255" b="1016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2"/>
                          <a:stretch>
                            <a:fillRect/>
                          </a:stretch>
                        </pic:blipFill>
                        <pic:spPr>
                          <a:xfrm>
                            <a:off x="0" y="0"/>
                            <a:ext cx="3306445" cy="523240"/>
                          </a:xfrm>
                          <a:prstGeom prst="rect">
                            <a:avLst/>
                          </a:prstGeom>
                          <a:noFill/>
                          <a:ln>
                            <a:noFill/>
                          </a:ln>
                        </pic:spPr>
                      </pic:pic>
                    </a:graphicData>
                  </a:graphic>
                </wp:inline>
              </w:drawing>
            </w:r>
          </w:p>
          <w:p w14:paraId="782F95D7">
            <w:pPr>
              <w:keepNext/>
              <w:keepLines/>
              <w:adjustRightInd w:val="0"/>
              <w:snapToGrid w:val="0"/>
              <w:spacing w:line="360" w:lineRule="auto"/>
              <w:ind w:firstLine="480" w:firstLineChars="200"/>
              <w:rPr>
                <w:sz w:val="24"/>
              </w:rPr>
            </w:pPr>
            <w:r>
              <w:rPr>
                <w:sz w:val="24"/>
              </w:rPr>
              <w:t>式中：L(r)—距离声源rm处声压级，dB（A）；</w:t>
            </w:r>
          </w:p>
          <w:p w14:paraId="777A3D86">
            <w:pPr>
              <w:keepNext/>
              <w:keepLines/>
              <w:adjustRightInd w:val="0"/>
              <w:snapToGrid w:val="0"/>
              <w:spacing w:line="360" w:lineRule="auto"/>
              <w:ind w:firstLine="480" w:firstLineChars="200"/>
              <w:rPr>
                <w:sz w:val="24"/>
              </w:rPr>
            </w:pPr>
            <w:r>
              <w:rPr>
                <w:sz w:val="24"/>
              </w:rPr>
              <w:t>Lp</w:t>
            </w:r>
            <w:r>
              <w:rPr>
                <w:sz w:val="24"/>
                <w:vertAlign w:val="subscript"/>
              </w:rPr>
              <w:t>0</w:t>
            </w:r>
            <w:r>
              <w:rPr>
                <w:sz w:val="24"/>
              </w:rPr>
              <w:t>—距离声源r0处测得的声压级，dB（A）；</w:t>
            </w:r>
          </w:p>
          <w:p w14:paraId="10679FF2">
            <w:pPr>
              <w:keepNext/>
              <w:keepLines/>
              <w:adjustRightInd w:val="0"/>
              <w:snapToGrid w:val="0"/>
              <w:spacing w:line="360" w:lineRule="auto"/>
              <w:ind w:firstLine="480" w:firstLineChars="200"/>
              <w:rPr>
                <w:sz w:val="24"/>
              </w:rPr>
            </w:pPr>
            <w:r>
              <w:rPr>
                <w:sz w:val="24"/>
              </w:rPr>
              <w:t>TL—墙壁隔声量，取15dB（A）；</w:t>
            </w:r>
          </w:p>
          <w:p w14:paraId="7752F786">
            <w:pPr>
              <w:keepNext/>
              <w:keepLines/>
              <w:adjustRightInd w:val="0"/>
              <w:snapToGrid w:val="0"/>
              <w:spacing w:line="360" w:lineRule="auto"/>
              <w:ind w:firstLine="480" w:firstLineChars="200"/>
              <w:rPr>
                <w:sz w:val="24"/>
              </w:rPr>
            </w:pPr>
            <w:r>
              <w:rPr>
                <w:i/>
                <w:sz w:val="24"/>
              </w:rPr>
              <w:t>a</w:t>
            </w:r>
            <w:r>
              <w:rPr>
                <w:sz w:val="24"/>
              </w:rPr>
              <w:t>—平均吸声系数，本项目取0.20；</w:t>
            </w:r>
          </w:p>
          <w:p w14:paraId="084C9A53">
            <w:pPr>
              <w:keepNext/>
              <w:keepLines/>
              <w:adjustRightInd w:val="0"/>
              <w:snapToGrid w:val="0"/>
              <w:spacing w:line="360" w:lineRule="auto"/>
              <w:ind w:firstLine="480" w:firstLineChars="200"/>
              <w:rPr>
                <w:sz w:val="24"/>
              </w:rPr>
            </w:pPr>
            <w:r>
              <w:rPr>
                <w:sz w:val="24"/>
              </w:rPr>
              <w:t>r—墙外1m处至预测点的距离，参数距离为1m；</w:t>
            </w:r>
          </w:p>
          <w:p w14:paraId="5503985A">
            <w:pPr>
              <w:keepNext/>
              <w:keepLines/>
              <w:adjustRightInd w:val="0"/>
              <w:snapToGrid w:val="0"/>
              <w:spacing w:line="360" w:lineRule="auto"/>
              <w:ind w:firstLine="480" w:firstLineChars="200"/>
              <w:rPr>
                <w:sz w:val="24"/>
              </w:rPr>
            </w:pPr>
            <w:r>
              <w:rPr>
                <w:sz w:val="24"/>
              </w:rPr>
              <w:t>r</w:t>
            </w:r>
            <w:r>
              <w:rPr>
                <w:sz w:val="24"/>
                <w:vertAlign w:val="subscript"/>
              </w:rPr>
              <w:t>0</w:t>
            </w:r>
            <w:r>
              <w:rPr>
                <w:sz w:val="24"/>
              </w:rPr>
              <w:t>—参考位置距噪声源的距离，m；</w:t>
            </w:r>
          </w:p>
          <w:p w14:paraId="2DB0F0B6">
            <w:pPr>
              <w:keepNext/>
              <w:keepLines/>
              <w:adjustRightInd w:val="0"/>
              <w:snapToGrid w:val="0"/>
              <w:spacing w:line="360" w:lineRule="auto"/>
              <w:ind w:firstLine="480" w:firstLineChars="200"/>
              <w:rPr>
                <w:sz w:val="24"/>
              </w:rPr>
            </w:pPr>
            <w:r>
              <w:rPr>
                <w:sz w:val="24"/>
              </w:rPr>
              <w:t>②合成声压级</w:t>
            </w:r>
          </w:p>
          <w:p w14:paraId="1E4C947D">
            <w:pPr>
              <w:keepNext/>
              <w:keepLines/>
              <w:adjustRightInd w:val="0"/>
              <w:snapToGrid w:val="0"/>
              <w:spacing w:line="360" w:lineRule="auto"/>
              <w:ind w:firstLine="480" w:firstLineChars="200"/>
              <w:jc w:val="center"/>
              <w:rPr>
                <w:sz w:val="24"/>
              </w:rPr>
            </w:pPr>
            <w:r>
              <w:rPr>
                <w:sz w:val="24"/>
              </w:rPr>
              <w:drawing>
                <wp:inline distT="0" distB="0" distL="114300" distR="114300">
                  <wp:extent cx="1553210" cy="453390"/>
                  <wp:effectExtent l="0" t="0" r="8890" b="38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23"/>
                          <a:stretch>
                            <a:fillRect/>
                          </a:stretch>
                        </pic:blipFill>
                        <pic:spPr>
                          <a:xfrm>
                            <a:off x="0" y="0"/>
                            <a:ext cx="1553210" cy="453390"/>
                          </a:xfrm>
                          <a:prstGeom prst="rect">
                            <a:avLst/>
                          </a:prstGeom>
                          <a:noFill/>
                          <a:ln>
                            <a:noFill/>
                          </a:ln>
                        </pic:spPr>
                      </pic:pic>
                    </a:graphicData>
                  </a:graphic>
                </wp:inline>
              </w:drawing>
            </w:r>
          </w:p>
          <w:p w14:paraId="748D20FD">
            <w:pPr>
              <w:adjustRightInd w:val="0"/>
              <w:snapToGrid w:val="0"/>
              <w:spacing w:line="360" w:lineRule="auto"/>
              <w:ind w:firstLine="480" w:firstLineChars="200"/>
              <w:rPr>
                <w:sz w:val="24"/>
              </w:rPr>
            </w:pPr>
            <w:r>
              <w:rPr>
                <w:sz w:val="24"/>
              </w:rPr>
              <w:t>式中：</w:t>
            </w:r>
            <w:r>
              <w:rPr>
                <w:position w:val="-14"/>
                <w:sz w:val="24"/>
              </w:rPr>
              <w:drawing>
                <wp:inline distT="0" distB="0" distL="114300" distR="114300">
                  <wp:extent cx="278130" cy="278130"/>
                  <wp:effectExtent l="0" t="0" r="6985" b="635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24"/>
                          <a:stretch>
                            <a:fillRect/>
                          </a:stretch>
                        </pic:blipFill>
                        <pic:spPr>
                          <a:xfrm>
                            <a:off x="0" y="0"/>
                            <a:ext cx="278130" cy="278130"/>
                          </a:xfrm>
                          <a:prstGeom prst="rect">
                            <a:avLst/>
                          </a:prstGeom>
                          <a:noFill/>
                          <a:ln>
                            <a:noFill/>
                          </a:ln>
                        </pic:spPr>
                      </pic:pic>
                    </a:graphicData>
                  </a:graphic>
                </wp:inline>
              </w:drawing>
            </w:r>
            <w:r>
              <w:rPr>
                <w:sz w:val="24"/>
              </w:rPr>
              <w:t>——预测点处的等效声级，dB(A)；</w:t>
            </w:r>
          </w:p>
          <w:p w14:paraId="3A8A4E32">
            <w:pPr>
              <w:keepNext/>
              <w:keepLines/>
              <w:adjustRightInd w:val="0"/>
              <w:snapToGrid w:val="0"/>
              <w:spacing w:line="360" w:lineRule="auto"/>
              <w:ind w:firstLine="480" w:firstLineChars="200"/>
              <w:rPr>
                <w:sz w:val="24"/>
              </w:rPr>
            </w:pPr>
            <w:r>
              <w:rPr>
                <w:sz w:val="24"/>
              </w:rPr>
              <w:t xml:space="preserve">      </w:t>
            </w:r>
            <w:r>
              <w:rPr>
                <w:position w:val="-14"/>
                <w:sz w:val="24"/>
              </w:rPr>
              <w:drawing>
                <wp:inline distT="0" distB="0" distL="114300" distR="114300">
                  <wp:extent cx="278130" cy="278130"/>
                  <wp:effectExtent l="0" t="0" r="6985" b="635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25"/>
                          <a:stretch>
                            <a:fillRect/>
                          </a:stretch>
                        </pic:blipFill>
                        <pic:spPr>
                          <a:xfrm>
                            <a:off x="0" y="0"/>
                            <a:ext cx="278130" cy="278130"/>
                          </a:xfrm>
                          <a:prstGeom prst="rect">
                            <a:avLst/>
                          </a:prstGeom>
                          <a:noFill/>
                          <a:ln>
                            <a:noFill/>
                          </a:ln>
                        </pic:spPr>
                      </pic:pic>
                    </a:graphicData>
                  </a:graphic>
                </wp:inline>
              </w:drawing>
            </w:r>
            <w:r>
              <w:rPr>
                <w:sz w:val="24"/>
              </w:rPr>
              <w:t>——第</w:t>
            </w:r>
            <w:r>
              <w:rPr>
                <w:position w:val="-6"/>
                <w:sz w:val="24"/>
              </w:rPr>
              <w:drawing>
                <wp:inline distT="0" distB="0" distL="114300" distR="114300">
                  <wp:extent cx="95250" cy="191135"/>
                  <wp:effectExtent l="0" t="0" r="0" b="1841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26"/>
                          <a:stretch>
                            <a:fillRect/>
                          </a:stretch>
                        </pic:blipFill>
                        <pic:spPr>
                          <a:xfrm>
                            <a:off x="0" y="0"/>
                            <a:ext cx="95250" cy="191135"/>
                          </a:xfrm>
                          <a:prstGeom prst="rect">
                            <a:avLst/>
                          </a:prstGeom>
                          <a:noFill/>
                          <a:ln>
                            <a:noFill/>
                          </a:ln>
                        </pic:spPr>
                      </pic:pic>
                    </a:graphicData>
                  </a:graphic>
                </wp:inline>
              </w:drawing>
            </w:r>
            <w:r>
              <w:rPr>
                <w:sz w:val="24"/>
              </w:rPr>
              <w:t>个点声源对预测点的等效声级，dB(A)。</w:t>
            </w:r>
          </w:p>
          <w:p w14:paraId="2406DE11">
            <w:pPr>
              <w:pStyle w:val="41"/>
              <w:ind w:firstLine="480"/>
              <w:rPr>
                <w:lang w:val="zh-CN"/>
              </w:rPr>
            </w:pPr>
            <w:r>
              <w:rPr>
                <w:lang w:val="zh-CN"/>
              </w:rPr>
              <w:t>（</w:t>
            </w:r>
            <w:r>
              <w:t>3</w:t>
            </w:r>
            <w:r>
              <w:rPr>
                <w:lang w:val="zh-CN"/>
              </w:rPr>
              <w:t>）达标判定</w:t>
            </w:r>
          </w:p>
          <w:p w14:paraId="779FE7FE">
            <w:pPr>
              <w:pStyle w:val="41"/>
              <w:rPr>
                <w:highlight w:val="none"/>
                <w:lang w:val="zh-CN"/>
              </w:rPr>
            </w:pPr>
            <w:r>
              <w:rPr>
                <w:lang w:val="zh-CN"/>
              </w:rPr>
              <w:t>本次厂界达标</w:t>
            </w:r>
            <w:r>
              <w:rPr>
                <w:highlight w:val="none"/>
                <w:lang w:val="zh-CN"/>
              </w:rPr>
              <w:t>判定结果见表4-</w:t>
            </w:r>
            <w:r>
              <w:rPr>
                <w:rFonts w:hint="eastAsia"/>
                <w:highlight w:val="none"/>
                <w:lang w:val="en-US" w:eastAsia="zh-CN"/>
              </w:rPr>
              <w:t>10</w:t>
            </w:r>
            <w:r>
              <w:rPr>
                <w:highlight w:val="none"/>
                <w:lang w:val="zh-CN"/>
              </w:rPr>
              <w:t>。</w:t>
            </w:r>
          </w:p>
          <w:p w14:paraId="3168CF30">
            <w:pPr>
              <w:pStyle w:val="41"/>
              <w:spacing w:before="120"/>
              <w:jc w:val="center"/>
              <w:rPr>
                <w:b/>
                <w:bCs w:val="0"/>
                <w:lang w:val="zh-CN"/>
              </w:rPr>
            </w:pPr>
            <w:r>
              <w:rPr>
                <w:b/>
                <w:bCs w:val="0"/>
                <w:highlight w:val="none"/>
                <w:lang w:val="zh-CN"/>
              </w:rPr>
              <w:t>表</w:t>
            </w:r>
            <w:r>
              <w:rPr>
                <w:b/>
                <w:bCs w:val="0"/>
                <w:highlight w:val="none"/>
              </w:rPr>
              <w:t>4-</w:t>
            </w:r>
            <w:r>
              <w:rPr>
                <w:rFonts w:hint="eastAsia"/>
                <w:b/>
                <w:bCs w:val="0"/>
                <w:highlight w:val="none"/>
                <w:lang w:val="en-US" w:eastAsia="zh-CN"/>
              </w:rPr>
              <w:t>10</w:t>
            </w:r>
            <w:r>
              <w:rPr>
                <w:b/>
                <w:bCs w:val="0"/>
                <w:highlight w:val="none"/>
                <w:lang w:val="zh-CN"/>
              </w:rPr>
              <w:t xml:space="preserve"> 厂界噪声预</w:t>
            </w:r>
            <w:r>
              <w:rPr>
                <w:b/>
                <w:bCs w:val="0"/>
                <w:lang w:val="zh-CN"/>
              </w:rPr>
              <w:t>测结果表  单位：dB(A)</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7"/>
              <w:gridCol w:w="1935"/>
              <w:gridCol w:w="1935"/>
              <w:gridCol w:w="1935"/>
              <w:gridCol w:w="1388"/>
            </w:tblGrid>
            <w:tr w14:paraId="6769C1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935" w:type="pct"/>
                  <w:gridSpan w:val="2"/>
                  <w:vMerge w:val="restart"/>
                  <w:tcBorders>
                    <w:tl2br w:val="nil"/>
                    <w:tr2bl w:val="nil"/>
                  </w:tcBorders>
                  <w:tcMar>
                    <w:top w:w="0" w:type="dxa"/>
                    <w:left w:w="57" w:type="dxa"/>
                    <w:bottom w:w="0" w:type="dxa"/>
                    <w:right w:w="57" w:type="dxa"/>
                  </w:tcMar>
                  <w:vAlign w:val="center"/>
                </w:tcPr>
                <w:p w14:paraId="7BC92C9F">
                  <w:pPr>
                    <w:pStyle w:val="40"/>
                    <w:spacing w:line="240" w:lineRule="auto"/>
                    <w:ind w:firstLine="0" w:firstLineChars="0"/>
                    <w:jc w:val="both"/>
                    <w:rPr>
                      <w:b/>
                      <w:bCs w:val="0"/>
                      <w:sz w:val="21"/>
                      <w:szCs w:val="21"/>
                      <w:highlight w:val="none"/>
                    </w:rPr>
                  </w:pPr>
                  <w:r>
                    <w:rPr>
                      <w:b/>
                      <w:bCs w:val="0"/>
                      <w:sz w:val="21"/>
                      <w:szCs w:val="21"/>
                      <w:highlight w:val="none"/>
                    </w:rPr>
                    <w:t>分类</w:t>
                  </w:r>
                </w:p>
              </w:tc>
              <w:tc>
                <w:tcPr>
                  <w:tcW w:w="1127" w:type="pct"/>
                  <w:tcBorders>
                    <w:tl2br w:val="nil"/>
                    <w:tr2bl w:val="nil"/>
                  </w:tcBorders>
                  <w:tcMar>
                    <w:top w:w="0" w:type="dxa"/>
                    <w:left w:w="57" w:type="dxa"/>
                    <w:bottom w:w="0" w:type="dxa"/>
                    <w:right w:w="57" w:type="dxa"/>
                  </w:tcMar>
                  <w:vAlign w:val="center"/>
                </w:tcPr>
                <w:p w14:paraId="0A4029B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val="0"/>
                      <w:sz w:val="21"/>
                      <w:szCs w:val="21"/>
                      <w:highlight w:val="none"/>
                    </w:rPr>
                  </w:pPr>
                  <w:r>
                    <w:rPr>
                      <w:b/>
                      <w:bCs w:val="0"/>
                      <w:sz w:val="21"/>
                      <w:szCs w:val="21"/>
                      <w:highlight w:val="none"/>
                    </w:rPr>
                    <w:t>贡献值</w:t>
                  </w:r>
                </w:p>
              </w:tc>
              <w:tc>
                <w:tcPr>
                  <w:tcW w:w="1127" w:type="pct"/>
                  <w:tcBorders>
                    <w:tl2br w:val="nil"/>
                    <w:tr2bl w:val="nil"/>
                  </w:tcBorders>
                  <w:tcMar>
                    <w:top w:w="0" w:type="dxa"/>
                    <w:left w:w="57" w:type="dxa"/>
                    <w:bottom w:w="0" w:type="dxa"/>
                    <w:right w:w="57" w:type="dxa"/>
                  </w:tcMar>
                  <w:vAlign w:val="center"/>
                </w:tcPr>
                <w:p w14:paraId="6BE1B9D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val="0"/>
                      <w:sz w:val="21"/>
                      <w:szCs w:val="21"/>
                      <w:highlight w:val="none"/>
                    </w:rPr>
                  </w:pPr>
                  <w:r>
                    <w:rPr>
                      <w:b/>
                      <w:bCs w:val="0"/>
                      <w:sz w:val="21"/>
                      <w:szCs w:val="21"/>
                      <w:highlight w:val="none"/>
                    </w:rPr>
                    <w:t>标准值</w:t>
                  </w:r>
                </w:p>
              </w:tc>
              <w:tc>
                <w:tcPr>
                  <w:tcW w:w="809" w:type="pct"/>
                  <w:vMerge w:val="restart"/>
                  <w:tcBorders>
                    <w:tl2br w:val="nil"/>
                    <w:tr2bl w:val="nil"/>
                  </w:tcBorders>
                  <w:tcMar>
                    <w:top w:w="0" w:type="dxa"/>
                    <w:left w:w="57" w:type="dxa"/>
                    <w:bottom w:w="0" w:type="dxa"/>
                    <w:right w:w="57" w:type="dxa"/>
                  </w:tcMar>
                  <w:vAlign w:val="center"/>
                </w:tcPr>
                <w:p w14:paraId="5BD2D7E4">
                  <w:pPr>
                    <w:pStyle w:val="40"/>
                    <w:spacing w:line="240" w:lineRule="auto"/>
                    <w:ind w:firstLine="0" w:firstLineChars="0"/>
                    <w:jc w:val="center"/>
                    <w:rPr>
                      <w:b/>
                      <w:bCs w:val="0"/>
                      <w:sz w:val="21"/>
                      <w:szCs w:val="21"/>
                      <w:highlight w:val="none"/>
                    </w:rPr>
                  </w:pPr>
                  <w:r>
                    <w:rPr>
                      <w:b/>
                      <w:bCs w:val="0"/>
                      <w:sz w:val="21"/>
                      <w:szCs w:val="21"/>
                      <w:highlight w:val="none"/>
                    </w:rPr>
                    <w:t>达标情况</w:t>
                  </w:r>
                </w:p>
              </w:tc>
            </w:tr>
            <w:tr w14:paraId="7B833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3" w:hRule="atLeast"/>
                <w:jc w:val="center"/>
              </w:trPr>
              <w:tc>
                <w:tcPr>
                  <w:tcW w:w="1935" w:type="pct"/>
                  <w:gridSpan w:val="2"/>
                  <w:vMerge w:val="continue"/>
                  <w:tcBorders>
                    <w:tl2br w:val="nil"/>
                    <w:tr2bl w:val="nil"/>
                  </w:tcBorders>
                  <w:tcMar>
                    <w:top w:w="0" w:type="dxa"/>
                    <w:left w:w="57" w:type="dxa"/>
                    <w:bottom w:w="0" w:type="dxa"/>
                    <w:right w:w="57" w:type="dxa"/>
                  </w:tcMar>
                  <w:vAlign w:val="center"/>
                </w:tcPr>
                <w:p w14:paraId="165B39B1">
                  <w:pPr>
                    <w:pStyle w:val="40"/>
                    <w:spacing w:line="240" w:lineRule="auto"/>
                    <w:ind w:firstLine="0" w:firstLineChars="0"/>
                    <w:jc w:val="both"/>
                    <w:rPr>
                      <w:sz w:val="21"/>
                      <w:szCs w:val="21"/>
                      <w:highlight w:val="none"/>
                    </w:rPr>
                  </w:pPr>
                </w:p>
              </w:tc>
              <w:tc>
                <w:tcPr>
                  <w:tcW w:w="1127" w:type="pct"/>
                  <w:tcBorders>
                    <w:tl2br w:val="nil"/>
                    <w:tr2bl w:val="nil"/>
                  </w:tcBorders>
                  <w:tcMar>
                    <w:top w:w="0" w:type="dxa"/>
                    <w:left w:w="57" w:type="dxa"/>
                    <w:bottom w:w="0" w:type="dxa"/>
                    <w:right w:w="57" w:type="dxa"/>
                  </w:tcMar>
                  <w:vAlign w:val="center"/>
                </w:tcPr>
                <w:p w14:paraId="3653E2C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val="0"/>
                      <w:sz w:val="21"/>
                      <w:szCs w:val="21"/>
                      <w:highlight w:val="none"/>
                    </w:rPr>
                  </w:pPr>
                  <w:r>
                    <w:rPr>
                      <w:b/>
                      <w:bCs w:val="0"/>
                      <w:sz w:val="21"/>
                      <w:szCs w:val="21"/>
                      <w:highlight w:val="none"/>
                    </w:rPr>
                    <w:t>昼间</w:t>
                  </w:r>
                </w:p>
              </w:tc>
              <w:tc>
                <w:tcPr>
                  <w:tcW w:w="1127" w:type="pct"/>
                  <w:tcBorders>
                    <w:tl2br w:val="nil"/>
                    <w:tr2bl w:val="nil"/>
                  </w:tcBorders>
                  <w:tcMar>
                    <w:top w:w="0" w:type="dxa"/>
                    <w:left w:w="57" w:type="dxa"/>
                    <w:bottom w:w="0" w:type="dxa"/>
                    <w:right w:w="57" w:type="dxa"/>
                  </w:tcMar>
                  <w:vAlign w:val="center"/>
                </w:tcPr>
                <w:p w14:paraId="104A5E8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val="0"/>
                      <w:sz w:val="21"/>
                      <w:szCs w:val="21"/>
                      <w:highlight w:val="none"/>
                    </w:rPr>
                  </w:pPr>
                  <w:r>
                    <w:rPr>
                      <w:b/>
                      <w:bCs w:val="0"/>
                      <w:sz w:val="21"/>
                      <w:szCs w:val="21"/>
                      <w:highlight w:val="none"/>
                    </w:rPr>
                    <w:t>昼间</w:t>
                  </w:r>
                </w:p>
              </w:tc>
              <w:tc>
                <w:tcPr>
                  <w:tcW w:w="809" w:type="pct"/>
                  <w:vMerge w:val="continue"/>
                  <w:tcBorders>
                    <w:tl2br w:val="nil"/>
                    <w:tr2bl w:val="nil"/>
                  </w:tcBorders>
                  <w:tcMar>
                    <w:top w:w="0" w:type="dxa"/>
                    <w:left w:w="57" w:type="dxa"/>
                    <w:bottom w:w="0" w:type="dxa"/>
                    <w:right w:w="57" w:type="dxa"/>
                  </w:tcMar>
                  <w:vAlign w:val="center"/>
                </w:tcPr>
                <w:p w14:paraId="613F736F">
                  <w:pPr>
                    <w:pStyle w:val="40"/>
                    <w:spacing w:line="240" w:lineRule="auto"/>
                    <w:ind w:firstLine="0" w:firstLineChars="0"/>
                    <w:jc w:val="center"/>
                    <w:rPr>
                      <w:sz w:val="21"/>
                      <w:szCs w:val="21"/>
                      <w:highlight w:val="none"/>
                    </w:rPr>
                  </w:pPr>
                </w:p>
              </w:tc>
            </w:tr>
            <w:tr w14:paraId="7D8365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08" w:type="pct"/>
                  <w:vMerge w:val="restart"/>
                  <w:tcBorders>
                    <w:tl2br w:val="nil"/>
                    <w:tr2bl w:val="nil"/>
                  </w:tcBorders>
                  <w:tcMar>
                    <w:top w:w="0" w:type="dxa"/>
                    <w:left w:w="57" w:type="dxa"/>
                    <w:bottom w:w="0" w:type="dxa"/>
                    <w:right w:w="57" w:type="dxa"/>
                  </w:tcMar>
                  <w:vAlign w:val="center"/>
                </w:tcPr>
                <w:p w14:paraId="53130C7E">
                  <w:pPr>
                    <w:pStyle w:val="40"/>
                    <w:spacing w:line="240" w:lineRule="auto"/>
                    <w:ind w:firstLine="0" w:firstLineChars="0"/>
                    <w:jc w:val="both"/>
                    <w:rPr>
                      <w:sz w:val="21"/>
                      <w:szCs w:val="21"/>
                      <w:highlight w:val="none"/>
                    </w:rPr>
                  </w:pPr>
                  <w:r>
                    <w:rPr>
                      <w:sz w:val="21"/>
                      <w:szCs w:val="21"/>
                      <w:highlight w:val="none"/>
                    </w:rPr>
                    <w:t>厂界</w:t>
                  </w:r>
                </w:p>
              </w:tc>
              <w:tc>
                <w:tcPr>
                  <w:tcW w:w="1127" w:type="pct"/>
                  <w:tcBorders>
                    <w:tl2br w:val="nil"/>
                    <w:tr2bl w:val="nil"/>
                  </w:tcBorders>
                  <w:tcMar>
                    <w:top w:w="0" w:type="dxa"/>
                    <w:left w:w="57" w:type="dxa"/>
                    <w:bottom w:w="0" w:type="dxa"/>
                    <w:right w:w="57" w:type="dxa"/>
                  </w:tcMar>
                  <w:vAlign w:val="center"/>
                </w:tcPr>
                <w:p w14:paraId="764F6CDB">
                  <w:pPr>
                    <w:pStyle w:val="40"/>
                    <w:spacing w:line="240" w:lineRule="auto"/>
                    <w:ind w:firstLine="0" w:firstLineChars="0"/>
                    <w:jc w:val="center"/>
                    <w:rPr>
                      <w:sz w:val="21"/>
                      <w:szCs w:val="21"/>
                      <w:highlight w:val="none"/>
                    </w:rPr>
                  </w:pPr>
                  <w:r>
                    <w:rPr>
                      <w:sz w:val="21"/>
                      <w:szCs w:val="21"/>
                      <w:highlight w:val="none"/>
                    </w:rPr>
                    <w:t>东厂界</w:t>
                  </w:r>
                </w:p>
              </w:tc>
              <w:tc>
                <w:tcPr>
                  <w:tcW w:w="1127" w:type="pct"/>
                  <w:tcBorders>
                    <w:tl2br w:val="nil"/>
                    <w:tr2bl w:val="nil"/>
                  </w:tcBorders>
                  <w:tcMar>
                    <w:top w:w="0" w:type="dxa"/>
                    <w:left w:w="57" w:type="dxa"/>
                    <w:bottom w:w="0" w:type="dxa"/>
                    <w:right w:w="57" w:type="dxa"/>
                  </w:tcMar>
                  <w:vAlign w:val="center"/>
                </w:tcPr>
                <w:p w14:paraId="45E593D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45</w:t>
                  </w:r>
                </w:p>
              </w:tc>
              <w:tc>
                <w:tcPr>
                  <w:tcW w:w="1127" w:type="pct"/>
                  <w:tcBorders>
                    <w:tl2br w:val="nil"/>
                    <w:tr2bl w:val="nil"/>
                  </w:tcBorders>
                  <w:tcMar>
                    <w:top w:w="0" w:type="dxa"/>
                    <w:left w:w="57" w:type="dxa"/>
                    <w:bottom w:w="0" w:type="dxa"/>
                    <w:right w:w="57" w:type="dxa"/>
                  </w:tcMar>
                  <w:vAlign w:val="center"/>
                </w:tcPr>
                <w:p w14:paraId="5B35B24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60</w:t>
                  </w:r>
                </w:p>
              </w:tc>
              <w:tc>
                <w:tcPr>
                  <w:tcW w:w="809" w:type="pct"/>
                  <w:tcBorders>
                    <w:tl2br w:val="nil"/>
                    <w:tr2bl w:val="nil"/>
                  </w:tcBorders>
                  <w:tcMar>
                    <w:top w:w="0" w:type="dxa"/>
                    <w:left w:w="57" w:type="dxa"/>
                    <w:bottom w:w="0" w:type="dxa"/>
                    <w:right w:w="57" w:type="dxa"/>
                  </w:tcMar>
                  <w:vAlign w:val="center"/>
                </w:tcPr>
                <w:p w14:paraId="1B707C64">
                  <w:pPr>
                    <w:pStyle w:val="40"/>
                    <w:spacing w:line="240" w:lineRule="auto"/>
                    <w:ind w:firstLine="0" w:firstLineChars="0"/>
                    <w:jc w:val="center"/>
                    <w:rPr>
                      <w:sz w:val="21"/>
                      <w:szCs w:val="21"/>
                      <w:highlight w:val="none"/>
                    </w:rPr>
                  </w:pPr>
                  <w:r>
                    <w:rPr>
                      <w:sz w:val="21"/>
                      <w:szCs w:val="21"/>
                      <w:highlight w:val="none"/>
                    </w:rPr>
                    <w:t>达标</w:t>
                  </w:r>
                </w:p>
              </w:tc>
            </w:tr>
            <w:tr w14:paraId="624873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08" w:type="pct"/>
                  <w:vMerge w:val="continue"/>
                  <w:tcBorders>
                    <w:tl2br w:val="nil"/>
                    <w:tr2bl w:val="nil"/>
                  </w:tcBorders>
                  <w:tcMar>
                    <w:top w:w="0" w:type="dxa"/>
                    <w:left w:w="57" w:type="dxa"/>
                    <w:bottom w:w="0" w:type="dxa"/>
                    <w:right w:w="57" w:type="dxa"/>
                  </w:tcMar>
                  <w:vAlign w:val="center"/>
                </w:tcPr>
                <w:p w14:paraId="709E30E3">
                  <w:pPr>
                    <w:pStyle w:val="40"/>
                    <w:spacing w:line="240" w:lineRule="auto"/>
                    <w:ind w:firstLine="0" w:firstLineChars="0"/>
                    <w:jc w:val="both"/>
                    <w:rPr>
                      <w:sz w:val="21"/>
                      <w:szCs w:val="21"/>
                      <w:highlight w:val="none"/>
                    </w:rPr>
                  </w:pPr>
                </w:p>
              </w:tc>
              <w:tc>
                <w:tcPr>
                  <w:tcW w:w="1127" w:type="pct"/>
                  <w:tcBorders>
                    <w:tl2br w:val="nil"/>
                    <w:tr2bl w:val="nil"/>
                  </w:tcBorders>
                  <w:tcMar>
                    <w:top w:w="0" w:type="dxa"/>
                    <w:left w:w="57" w:type="dxa"/>
                    <w:bottom w:w="0" w:type="dxa"/>
                    <w:right w:w="57" w:type="dxa"/>
                  </w:tcMar>
                  <w:vAlign w:val="center"/>
                </w:tcPr>
                <w:p w14:paraId="3D19E29C">
                  <w:pPr>
                    <w:pStyle w:val="40"/>
                    <w:spacing w:line="240" w:lineRule="auto"/>
                    <w:ind w:firstLine="0" w:firstLineChars="0"/>
                    <w:jc w:val="center"/>
                    <w:rPr>
                      <w:sz w:val="21"/>
                      <w:szCs w:val="21"/>
                      <w:highlight w:val="none"/>
                    </w:rPr>
                  </w:pPr>
                  <w:r>
                    <w:rPr>
                      <w:sz w:val="21"/>
                      <w:szCs w:val="21"/>
                      <w:highlight w:val="none"/>
                    </w:rPr>
                    <w:t>南厂界</w:t>
                  </w:r>
                </w:p>
              </w:tc>
              <w:tc>
                <w:tcPr>
                  <w:tcW w:w="1127" w:type="pct"/>
                  <w:tcBorders>
                    <w:tl2br w:val="nil"/>
                    <w:tr2bl w:val="nil"/>
                  </w:tcBorders>
                  <w:tcMar>
                    <w:top w:w="0" w:type="dxa"/>
                    <w:left w:w="57" w:type="dxa"/>
                    <w:bottom w:w="0" w:type="dxa"/>
                    <w:right w:w="57" w:type="dxa"/>
                  </w:tcMar>
                  <w:vAlign w:val="center"/>
                </w:tcPr>
                <w:p w14:paraId="41E53CB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47</w:t>
                  </w:r>
                </w:p>
              </w:tc>
              <w:tc>
                <w:tcPr>
                  <w:tcW w:w="1127" w:type="pct"/>
                  <w:tcBorders>
                    <w:tl2br w:val="nil"/>
                    <w:tr2bl w:val="nil"/>
                  </w:tcBorders>
                  <w:tcMar>
                    <w:top w:w="0" w:type="dxa"/>
                    <w:left w:w="57" w:type="dxa"/>
                    <w:bottom w:w="0" w:type="dxa"/>
                    <w:right w:w="57" w:type="dxa"/>
                  </w:tcMar>
                  <w:vAlign w:val="center"/>
                </w:tcPr>
                <w:p w14:paraId="1AD389BC">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highlight w:val="none"/>
                    </w:rPr>
                  </w:pPr>
                  <w:r>
                    <w:rPr>
                      <w:rFonts w:hint="eastAsia"/>
                      <w:sz w:val="21"/>
                      <w:szCs w:val="21"/>
                      <w:highlight w:val="none"/>
                    </w:rPr>
                    <w:t>70</w:t>
                  </w:r>
                </w:p>
              </w:tc>
              <w:tc>
                <w:tcPr>
                  <w:tcW w:w="809" w:type="pct"/>
                  <w:tcBorders>
                    <w:tl2br w:val="nil"/>
                    <w:tr2bl w:val="nil"/>
                  </w:tcBorders>
                  <w:tcMar>
                    <w:top w:w="0" w:type="dxa"/>
                    <w:left w:w="57" w:type="dxa"/>
                    <w:bottom w:w="0" w:type="dxa"/>
                    <w:right w:w="57" w:type="dxa"/>
                  </w:tcMar>
                  <w:vAlign w:val="center"/>
                </w:tcPr>
                <w:p w14:paraId="4153DB60">
                  <w:pPr>
                    <w:pStyle w:val="40"/>
                    <w:spacing w:line="240" w:lineRule="auto"/>
                    <w:ind w:firstLine="0" w:firstLineChars="0"/>
                    <w:jc w:val="center"/>
                    <w:rPr>
                      <w:sz w:val="21"/>
                      <w:szCs w:val="21"/>
                      <w:highlight w:val="none"/>
                    </w:rPr>
                  </w:pPr>
                  <w:r>
                    <w:rPr>
                      <w:sz w:val="21"/>
                      <w:szCs w:val="21"/>
                      <w:highlight w:val="none"/>
                    </w:rPr>
                    <w:t>达标</w:t>
                  </w:r>
                </w:p>
              </w:tc>
            </w:tr>
            <w:tr w14:paraId="48375B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08" w:type="pct"/>
                  <w:vMerge w:val="continue"/>
                  <w:tcBorders>
                    <w:tl2br w:val="nil"/>
                    <w:tr2bl w:val="nil"/>
                  </w:tcBorders>
                  <w:tcMar>
                    <w:top w:w="0" w:type="dxa"/>
                    <w:left w:w="57" w:type="dxa"/>
                    <w:bottom w:w="0" w:type="dxa"/>
                    <w:right w:w="57" w:type="dxa"/>
                  </w:tcMar>
                  <w:vAlign w:val="center"/>
                </w:tcPr>
                <w:p w14:paraId="36D80514">
                  <w:pPr>
                    <w:pStyle w:val="40"/>
                    <w:spacing w:line="240" w:lineRule="auto"/>
                    <w:ind w:firstLine="0" w:firstLineChars="0"/>
                    <w:jc w:val="both"/>
                    <w:rPr>
                      <w:sz w:val="21"/>
                      <w:szCs w:val="21"/>
                      <w:highlight w:val="none"/>
                    </w:rPr>
                  </w:pPr>
                </w:p>
              </w:tc>
              <w:tc>
                <w:tcPr>
                  <w:tcW w:w="1127" w:type="pct"/>
                  <w:tcBorders>
                    <w:tl2br w:val="nil"/>
                    <w:tr2bl w:val="nil"/>
                  </w:tcBorders>
                  <w:tcMar>
                    <w:top w:w="0" w:type="dxa"/>
                    <w:left w:w="57" w:type="dxa"/>
                    <w:bottom w:w="0" w:type="dxa"/>
                    <w:right w:w="57" w:type="dxa"/>
                  </w:tcMar>
                  <w:vAlign w:val="center"/>
                </w:tcPr>
                <w:p w14:paraId="373C5065">
                  <w:pPr>
                    <w:pStyle w:val="40"/>
                    <w:spacing w:line="240" w:lineRule="auto"/>
                    <w:ind w:firstLine="0" w:firstLineChars="0"/>
                    <w:jc w:val="center"/>
                    <w:rPr>
                      <w:sz w:val="21"/>
                      <w:szCs w:val="21"/>
                      <w:highlight w:val="none"/>
                    </w:rPr>
                  </w:pPr>
                  <w:r>
                    <w:rPr>
                      <w:sz w:val="21"/>
                      <w:szCs w:val="21"/>
                      <w:highlight w:val="none"/>
                    </w:rPr>
                    <w:t>西厂界</w:t>
                  </w:r>
                </w:p>
              </w:tc>
              <w:tc>
                <w:tcPr>
                  <w:tcW w:w="1127" w:type="pct"/>
                  <w:tcBorders>
                    <w:tl2br w:val="nil"/>
                    <w:tr2bl w:val="nil"/>
                  </w:tcBorders>
                  <w:tcMar>
                    <w:top w:w="0" w:type="dxa"/>
                    <w:left w:w="57" w:type="dxa"/>
                    <w:bottom w:w="0" w:type="dxa"/>
                    <w:right w:w="57" w:type="dxa"/>
                  </w:tcMar>
                  <w:vAlign w:val="center"/>
                </w:tcPr>
                <w:p w14:paraId="3C10A78B">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30</w:t>
                  </w:r>
                </w:p>
              </w:tc>
              <w:tc>
                <w:tcPr>
                  <w:tcW w:w="1127" w:type="pct"/>
                  <w:tcBorders>
                    <w:tl2br w:val="nil"/>
                    <w:tr2bl w:val="nil"/>
                  </w:tcBorders>
                  <w:tcMar>
                    <w:top w:w="0" w:type="dxa"/>
                    <w:left w:w="57" w:type="dxa"/>
                    <w:bottom w:w="0" w:type="dxa"/>
                    <w:right w:w="57" w:type="dxa"/>
                  </w:tcMar>
                  <w:vAlign w:val="center"/>
                </w:tcPr>
                <w:p w14:paraId="69FC9BF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highlight w:val="none"/>
                    </w:rPr>
                  </w:pPr>
                  <w:r>
                    <w:rPr>
                      <w:rFonts w:hint="eastAsia"/>
                      <w:sz w:val="21"/>
                      <w:szCs w:val="21"/>
                      <w:highlight w:val="none"/>
                    </w:rPr>
                    <w:t>60</w:t>
                  </w:r>
                </w:p>
              </w:tc>
              <w:tc>
                <w:tcPr>
                  <w:tcW w:w="809" w:type="pct"/>
                  <w:tcBorders>
                    <w:tl2br w:val="nil"/>
                    <w:tr2bl w:val="nil"/>
                  </w:tcBorders>
                  <w:tcMar>
                    <w:top w:w="0" w:type="dxa"/>
                    <w:left w:w="57" w:type="dxa"/>
                    <w:bottom w:w="0" w:type="dxa"/>
                    <w:right w:w="57" w:type="dxa"/>
                  </w:tcMar>
                  <w:vAlign w:val="center"/>
                </w:tcPr>
                <w:p w14:paraId="416627F8">
                  <w:pPr>
                    <w:pStyle w:val="40"/>
                    <w:spacing w:line="240" w:lineRule="auto"/>
                    <w:ind w:firstLine="0" w:firstLineChars="0"/>
                    <w:jc w:val="center"/>
                    <w:rPr>
                      <w:sz w:val="21"/>
                      <w:szCs w:val="21"/>
                      <w:highlight w:val="none"/>
                    </w:rPr>
                  </w:pPr>
                  <w:r>
                    <w:rPr>
                      <w:sz w:val="21"/>
                      <w:szCs w:val="21"/>
                      <w:highlight w:val="none"/>
                    </w:rPr>
                    <w:t>达标</w:t>
                  </w:r>
                </w:p>
              </w:tc>
            </w:tr>
            <w:tr w14:paraId="3DD5AA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08" w:type="pct"/>
                  <w:vMerge w:val="continue"/>
                  <w:tcBorders>
                    <w:tl2br w:val="nil"/>
                    <w:tr2bl w:val="nil"/>
                  </w:tcBorders>
                  <w:tcMar>
                    <w:top w:w="0" w:type="dxa"/>
                    <w:left w:w="57" w:type="dxa"/>
                    <w:bottom w:w="0" w:type="dxa"/>
                    <w:right w:w="57" w:type="dxa"/>
                  </w:tcMar>
                  <w:vAlign w:val="center"/>
                </w:tcPr>
                <w:p w14:paraId="527A0F80">
                  <w:pPr>
                    <w:pStyle w:val="40"/>
                    <w:spacing w:line="240" w:lineRule="auto"/>
                    <w:ind w:firstLine="0" w:firstLineChars="0"/>
                    <w:jc w:val="both"/>
                    <w:rPr>
                      <w:sz w:val="21"/>
                      <w:szCs w:val="21"/>
                      <w:highlight w:val="none"/>
                    </w:rPr>
                  </w:pPr>
                </w:p>
              </w:tc>
              <w:tc>
                <w:tcPr>
                  <w:tcW w:w="1127" w:type="pct"/>
                  <w:tcBorders>
                    <w:tl2br w:val="nil"/>
                    <w:tr2bl w:val="nil"/>
                  </w:tcBorders>
                  <w:tcMar>
                    <w:top w:w="0" w:type="dxa"/>
                    <w:left w:w="57" w:type="dxa"/>
                    <w:bottom w:w="0" w:type="dxa"/>
                    <w:right w:w="57" w:type="dxa"/>
                  </w:tcMar>
                  <w:vAlign w:val="center"/>
                </w:tcPr>
                <w:p w14:paraId="7B89E625">
                  <w:pPr>
                    <w:pStyle w:val="40"/>
                    <w:spacing w:line="240" w:lineRule="auto"/>
                    <w:ind w:firstLine="0" w:firstLineChars="0"/>
                    <w:jc w:val="center"/>
                    <w:rPr>
                      <w:sz w:val="21"/>
                      <w:szCs w:val="21"/>
                      <w:highlight w:val="none"/>
                    </w:rPr>
                  </w:pPr>
                  <w:r>
                    <w:rPr>
                      <w:sz w:val="21"/>
                      <w:szCs w:val="21"/>
                      <w:highlight w:val="none"/>
                    </w:rPr>
                    <w:t>北厂界</w:t>
                  </w:r>
                </w:p>
              </w:tc>
              <w:tc>
                <w:tcPr>
                  <w:tcW w:w="1127" w:type="pct"/>
                  <w:tcBorders>
                    <w:tl2br w:val="nil"/>
                    <w:tr2bl w:val="nil"/>
                  </w:tcBorders>
                  <w:tcMar>
                    <w:top w:w="0" w:type="dxa"/>
                    <w:left w:w="57" w:type="dxa"/>
                    <w:bottom w:w="0" w:type="dxa"/>
                    <w:right w:w="57" w:type="dxa"/>
                  </w:tcMar>
                  <w:vAlign w:val="center"/>
                </w:tcPr>
                <w:p w14:paraId="35BC9CE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highlight w:val="none"/>
                    </w:rPr>
                  </w:pPr>
                  <w:r>
                    <w:rPr>
                      <w:rFonts w:hint="eastAsia"/>
                      <w:sz w:val="21"/>
                      <w:szCs w:val="21"/>
                      <w:highlight w:val="none"/>
                    </w:rPr>
                    <w:t>31</w:t>
                  </w:r>
                </w:p>
              </w:tc>
              <w:tc>
                <w:tcPr>
                  <w:tcW w:w="1127" w:type="pct"/>
                  <w:tcBorders>
                    <w:tl2br w:val="nil"/>
                    <w:tr2bl w:val="nil"/>
                  </w:tcBorders>
                  <w:tcMar>
                    <w:top w:w="0" w:type="dxa"/>
                    <w:left w:w="57" w:type="dxa"/>
                    <w:bottom w:w="0" w:type="dxa"/>
                    <w:right w:w="57" w:type="dxa"/>
                  </w:tcMar>
                  <w:vAlign w:val="center"/>
                </w:tcPr>
                <w:p w14:paraId="79B1035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highlight w:val="none"/>
                    </w:rPr>
                  </w:pPr>
                  <w:r>
                    <w:rPr>
                      <w:rFonts w:hint="eastAsia"/>
                      <w:sz w:val="21"/>
                      <w:szCs w:val="21"/>
                      <w:highlight w:val="none"/>
                    </w:rPr>
                    <w:t>60</w:t>
                  </w:r>
                </w:p>
              </w:tc>
              <w:tc>
                <w:tcPr>
                  <w:tcW w:w="809" w:type="pct"/>
                  <w:tcBorders>
                    <w:tl2br w:val="nil"/>
                    <w:tr2bl w:val="nil"/>
                  </w:tcBorders>
                  <w:tcMar>
                    <w:top w:w="0" w:type="dxa"/>
                    <w:left w:w="57" w:type="dxa"/>
                    <w:bottom w:w="0" w:type="dxa"/>
                    <w:right w:w="57" w:type="dxa"/>
                  </w:tcMar>
                  <w:vAlign w:val="center"/>
                </w:tcPr>
                <w:p w14:paraId="748C8AA8">
                  <w:pPr>
                    <w:pStyle w:val="40"/>
                    <w:spacing w:line="240" w:lineRule="auto"/>
                    <w:ind w:firstLine="0" w:firstLineChars="0"/>
                    <w:jc w:val="center"/>
                    <w:rPr>
                      <w:sz w:val="21"/>
                      <w:szCs w:val="21"/>
                      <w:highlight w:val="none"/>
                    </w:rPr>
                  </w:pPr>
                  <w:r>
                    <w:rPr>
                      <w:sz w:val="21"/>
                      <w:szCs w:val="21"/>
                      <w:highlight w:val="none"/>
                    </w:rPr>
                    <w:t>达标</w:t>
                  </w:r>
                </w:p>
              </w:tc>
            </w:tr>
          </w:tbl>
          <w:p w14:paraId="21BD1655">
            <w:pPr>
              <w:pStyle w:val="41"/>
              <w:spacing w:before="120" w:beforeLines="50"/>
              <w:ind w:firstLine="480"/>
              <w:rPr>
                <w:rFonts w:ascii="Times New Roman" w:hAnsi="Times New Roman" w:eastAsia="宋体" w:cs="Times New Roman"/>
                <w:lang w:val="zh-CN"/>
              </w:rPr>
            </w:pPr>
            <w:r>
              <w:rPr>
                <w:lang w:val="zh-CN"/>
              </w:rPr>
              <w:t>由</w:t>
            </w:r>
            <w:r>
              <w:rPr>
                <w:rFonts w:hint="eastAsia"/>
              </w:rPr>
              <w:t>预测结果可知，</w:t>
            </w:r>
            <w:r>
              <w:rPr>
                <w:lang w:val="zh-CN"/>
              </w:rPr>
              <w:t>项目营运期设备噪声经基础减振、厂房隔声、距离衰减后，项目</w:t>
            </w:r>
            <w:r>
              <w:rPr>
                <w:rFonts w:hint="eastAsia" w:ascii="Times New Roman" w:hAnsi="Times New Roman" w:eastAsia="宋体" w:cs="Times New Roman"/>
                <w:lang w:val="zh-CN"/>
              </w:rPr>
              <w:t>东、西、北</w:t>
            </w:r>
            <w:r>
              <w:t>厂界</w:t>
            </w:r>
            <w:r>
              <w:rPr>
                <w:lang w:val="zh-CN"/>
              </w:rPr>
              <w:t>噪声贡献值满足《工业企业厂界环境噪声排放标准》（GB1</w:t>
            </w:r>
            <w:r>
              <w:rPr>
                <w:rFonts w:ascii="Times New Roman" w:hAnsi="Times New Roman" w:eastAsia="宋体" w:cs="Times New Roman"/>
                <w:lang w:val="zh-CN"/>
              </w:rPr>
              <w:t>2348-2008）</w:t>
            </w:r>
            <w:r>
              <w:rPr>
                <w:rFonts w:hint="eastAsia" w:ascii="Times New Roman" w:hAnsi="Times New Roman" w:eastAsia="宋体" w:cs="Times New Roman"/>
                <w:lang w:val="en-US" w:eastAsia="zh-CN"/>
              </w:rPr>
              <w:t>2类标准，南侧</w:t>
            </w:r>
            <w:r>
              <w:rPr>
                <w:rFonts w:hint="eastAsia" w:cs="Times New Roman"/>
                <w:lang w:val="en-US" w:eastAsia="zh-CN"/>
              </w:rPr>
              <w:t>场界贡献值满足</w:t>
            </w:r>
            <w:r>
              <w:rPr>
                <w:rFonts w:hint="eastAsia" w:ascii="Times New Roman" w:hAnsi="Times New Roman" w:eastAsia="宋体" w:cs="Times New Roman"/>
                <w:lang w:val="en-US" w:eastAsia="zh-CN"/>
              </w:rPr>
              <w:t>4类标准</w:t>
            </w:r>
            <w:r>
              <w:rPr>
                <w:rFonts w:ascii="Times New Roman" w:hAnsi="Times New Roman" w:eastAsia="宋体" w:cs="Times New Roman"/>
                <w:lang w:val="zh-CN"/>
              </w:rPr>
              <w:t>。</w:t>
            </w:r>
          </w:p>
          <w:p w14:paraId="5019B926">
            <w:pPr>
              <w:pStyle w:val="41"/>
              <w:ind w:firstLine="480"/>
            </w:pPr>
            <w:r>
              <w:t>（4）噪声治理措施</w:t>
            </w:r>
          </w:p>
          <w:p w14:paraId="439BB8CF">
            <w:pPr>
              <w:pStyle w:val="41"/>
              <w:ind w:firstLine="480"/>
            </w:pPr>
            <w:r>
              <w:rPr>
                <w:rFonts w:ascii="Cambria Math" w:hAnsi="Cambria Math" w:cs="Cambria Math"/>
              </w:rPr>
              <w:t>①</w:t>
            </w:r>
            <w:r>
              <w:t>将空调机组设置在房间内，利用墙壁进行隔声；加设减振垫，以减小其振动影响。</w:t>
            </w:r>
          </w:p>
          <w:p w14:paraId="4F594318">
            <w:pPr>
              <w:pStyle w:val="41"/>
              <w:ind w:firstLine="480"/>
            </w:pPr>
            <w:r>
              <w:rPr>
                <w:rFonts w:ascii="Cambria Math" w:hAnsi="Cambria Math" w:cs="Cambria Math"/>
              </w:rPr>
              <w:t>②</w:t>
            </w:r>
            <w:r>
              <w:t>定期检查设备减震垫的安装效果，确保</w:t>
            </w:r>
            <w:r>
              <w:rPr>
                <w:rFonts w:hint="eastAsia"/>
              </w:rPr>
              <w:t>其正常运行</w:t>
            </w:r>
            <w:r>
              <w:t>。</w:t>
            </w:r>
          </w:p>
          <w:p w14:paraId="4B74CAAC">
            <w:pPr>
              <w:pStyle w:val="41"/>
              <w:ind w:firstLine="480"/>
            </w:pPr>
            <w:r>
              <w:t>（5）监测计划</w:t>
            </w:r>
          </w:p>
          <w:p w14:paraId="2C68AF35">
            <w:pPr>
              <w:pStyle w:val="41"/>
              <w:ind w:firstLine="480"/>
            </w:pPr>
            <w:r>
              <w:t xml:space="preserve">根据《排污单位自行监测技术指南 </w:t>
            </w:r>
            <w:r>
              <w:rPr>
                <w:rFonts w:hint="eastAsia"/>
              </w:rPr>
              <w:t>总则</w:t>
            </w:r>
            <w:r>
              <w:t>》（HJ</w:t>
            </w:r>
            <w:r>
              <w:rPr>
                <w:rFonts w:hint="eastAsia"/>
              </w:rPr>
              <w:t>819</w:t>
            </w:r>
            <w:r>
              <w:t>-20</w:t>
            </w:r>
            <w:r>
              <w:rPr>
                <w:rFonts w:hint="eastAsia"/>
              </w:rPr>
              <w:t>17</w:t>
            </w:r>
            <w:r>
              <w:t>），确定本项目噪声监测计划，见下表。</w:t>
            </w:r>
          </w:p>
          <w:p w14:paraId="54ADAAEB">
            <w:pPr>
              <w:pStyle w:val="43"/>
              <w:spacing w:before="120"/>
              <w:rPr>
                <w:lang w:val="zh-CN"/>
              </w:rPr>
            </w:pPr>
            <w:r>
              <w:rPr>
                <w:lang w:val="zh-CN"/>
              </w:rPr>
              <w:t>表</w:t>
            </w:r>
            <w:r>
              <w:t>4-</w:t>
            </w:r>
            <w:r>
              <w:rPr>
                <w:rFonts w:hint="eastAsia"/>
                <w:lang w:val="en-US" w:eastAsia="zh-CN"/>
              </w:rPr>
              <w:t>11</w:t>
            </w:r>
            <w:r>
              <w:rPr>
                <w:lang w:val="zh-CN"/>
              </w:rPr>
              <w:t xml:space="preserve">  噪声监测计划</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1148"/>
              <w:gridCol w:w="1703"/>
              <w:gridCol w:w="1247"/>
              <w:gridCol w:w="3010"/>
            </w:tblGrid>
            <w:tr w14:paraId="5C1B3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55" w:type="pct"/>
                  <w:tcBorders>
                    <w:tl2br w:val="nil"/>
                    <w:tr2bl w:val="nil"/>
                  </w:tcBorders>
                  <w:vAlign w:val="center"/>
                </w:tcPr>
                <w:p w14:paraId="31B0E62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rPr>
                  </w:pPr>
                  <w:r>
                    <w:rPr>
                      <w:b/>
                      <w:bCs w:val="0"/>
                      <w:sz w:val="21"/>
                      <w:szCs w:val="21"/>
                    </w:rPr>
                    <w:t>污染源名称</w:t>
                  </w:r>
                </w:p>
              </w:tc>
              <w:tc>
                <w:tcPr>
                  <w:tcW w:w="669" w:type="pct"/>
                  <w:tcBorders>
                    <w:tl2br w:val="nil"/>
                    <w:tr2bl w:val="nil"/>
                  </w:tcBorders>
                  <w:vAlign w:val="center"/>
                </w:tcPr>
                <w:p w14:paraId="34FFDC6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rPr>
                  </w:pPr>
                  <w:r>
                    <w:rPr>
                      <w:b/>
                      <w:bCs w:val="0"/>
                      <w:sz w:val="21"/>
                      <w:szCs w:val="21"/>
                    </w:rPr>
                    <w:t>监测项目</w:t>
                  </w:r>
                </w:p>
              </w:tc>
              <w:tc>
                <w:tcPr>
                  <w:tcW w:w="992" w:type="pct"/>
                  <w:tcBorders>
                    <w:tl2br w:val="nil"/>
                    <w:tr2bl w:val="nil"/>
                  </w:tcBorders>
                  <w:vAlign w:val="center"/>
                </w:tcPr>
                <w:p w14:paraId="65736BB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rPr>
                  </w:pPr>
                  <w:r>
                    <w:rPr>
                      <w:b/>
                      <w:bCs w:val="0"/>
                      <w:sz w:val="21"/>
                      <w:szCs w:val="21"/>
                    </w:rPr>
                    <w:t>监测位置</w:t>
                  </w:r>
                </w:p>
              </w:tc>
              <w:tc>
                <w:tcPr>
                  <w:tcW w:w="727" w:type="pct"/>
                  <w:tcBorders>
                    <w:tl2br w:val="nil"/>
                    <w:tr2bl w:val="nil"/>
                  </w:tcBorders>
                  <w:vAlign w:val="center"/>
                </w:tcPr>
                <w:p w14:paraId="792CC9C1">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rPr>
                  </w:pPr>
                  <w:r>
                    <w:rPr>
                      <w:b/>
                      <w:bCs w:val="0"/>
                      <w:sz w:val="21"/>
                      <w:szCs w:val="21"/>
                    </w:rPr>
                    <w:t>监测频率</w:t>
                  </w:r>
                </w:p>
              </w:tc>
              <w:tc>
                <w:tcPr>
                  <w:tcW w:w="1754" w:type="pct"/>
                  <w:tcBorders>
                    <w:tl2br w:val="nil"/>
                    <w:tr2bl w:val="nil"/>
                  </w:tcBorders>
                  <w:vAlign w:val="center"/>
                </w:tcPr>
                <w:p w14:paraId="6A9DA7A0">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b/>
                      <w:bCs w:val="0"/>
                      <w:sz w:val="21"/>
                      <w:szCs w:val="21"/>
                    </w:rPr>
                  </w:pPr>
                  <w:r>
                    <w:rPr>
                      <w:b/>
                      <w:bCs w:val="0"/>
                      <w:sz w:val="21"/>
                      <w:szCs w:val="21"/>
                    </w:rPr>
                    <w:t>控制指标</w:t>
                  </w:r>
                </w:p>
              </w:tc>
            </w:tr>
            <w:tr w14:paraId="45CE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55" w:type="pct"/>
                  <w:vMerge w:val="restart"/>
                  <w:tcBorders>
                    <w:tl2br w:val="nil"/>
                    <w:tr2bl w:val="nil"/>
                  </w:tcBorders>
                  <w:vAlign w:val="center"/>
                </w:tcPr>
                <w:p w14:paraId="740274B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sz w:val="21"/>
                      <w:szCs w:val="21"/>
                    </w:rPr>
                    <w:t>噪声</w:t>
                  </w:r>
                </w:p>
              </w:tc>
              <w:tc>
                <w:tcPr>
                  <w:tcW w:w="669" w:type="pct"/>
                  <w:vMerge w:val="restart"/>
                  <w:tcBorders>
                    <w:tl2br w:val="nil"/>
                    <w:tr2bl w:val="nil"/>
                  </w:tcBorders>
                  <w:vAlign w:val="center"/>
                </w:tcPr>
                <w:p w14:paraId="78E2546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sz w:val="21"/>
                      <w:szCs w:val="21"/>
                    </w:rPr>
                    <w:t>等效连续A声级</w:t>
                  </w:r>
                </w:p>
              </w:tc>
              <w:tc>
                <w:tcPr>
                  <w:tcW w:w="992" w:type="pct"/>
                  <w:tcBorders>
                    <w:tl2br w:val="nil"/>
                    <w:tr2bl w:val="nil"/>
                  </w:tcBorders>
                  <w:vAlign w:val="center"/>
                </w:tcPr>
                <w:p w14:paraId="2C1D6352">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rFonts w:hint="eastAsia"/>
                      <w:sz w:val="21"/>
                      <w:szCs w:val="21"/>
                    </w:rPr>
                    <w:t>东、西、北厂界</w:t>
                  </w:r>
                </w:p>
              </w:tc>
              <w:tc>
                <w:tcPr>
                  <w:tcW w:w="727" w:type="pct"/>
                  <w:tcBorders>
                    <w:tl2br w:val="nil"/>
                    <w:tr2bl w:val="nil"/>
                  </w:tcBorders>
                  <w:vAlign w:val="center"/>
                </w:tcPr>
                <w:p w14:paraId="70A38A6C">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sz w:val="21"/>
                      <w:szCs w:val="21"/>
                    </w:rPr>
                    <w:t>1次/季度</w:t>
                  </w:r>
                </w:p>
              </w:tc>
              <w:tc>
                <w:tcPr>
                  <w:tcW w:w="1754" w:type="pct"/>
                  <w:tcBorders>
                    <w:tl2br w:val="nil"/>
                    <w:tr2bl w:val="nil"/>
                  </w:tcBorders>
                  <w:vAlign w:val="center"/>
                </w:tcPr>
                <w:p w14:paraId="200D20A3">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sz w:val="21"/>
                      <w:szCs w:val="21"/>
                    </w:rPr>
                    <w:t>《工业企业厂界环境噪声排放标准》（GB12348-2008</w:t>
                  </w:r>
                  <w:r>
                    <w:rPr>
                      <w:rFonts w:hint="eastAsia"/>
                      <w:sz w:val="21"/>
                      <w:szCs w:val="21"/>
                    </w:rPr>
                    <w:t>）2类标准</w:t>
                  </w:r>
                </w:p>
              </w:tc>
            </w:tr>
            <w:tr w14:paraId="438DD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55" w:type="pct"/>
                  <w:vMerge w:val="continue"/>
                  <w:tcBorders>
                    <w:tl2br w:val="nil"/>
                    <w:tr2bl w:val="nil"/>
                  </w:tcBorders>
                  <w:vAlign w:val="center"/>
                </w:tcPr>
                <w:p w14:paraId="5E00A9CD">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p>
              </w:tc>
              <w:tc>
                <w:tcPr>
                  <w:tcW w:w="669" w:type="pct"/>
                  <w:vMerge w:val="continue"/>
                  <w:tcBorders>
                    <w:tl2br w:val="nil"/>
                    <w:tr2bl w:val="nil"/>
                  </w:tcBorders>
                  <w:vAlign w:val="center"/>
                </w:tcPr>
                <w:p w14:paraId="141DD4F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p>
              </w:tc>
              <w:tc>
                <w:tcPr>
                  <w:tcW w:w="992" w:type="pct"/>
                  <w:tcBorders>
                    <w:tl2br w:val="nil"/>
                    <w:tr2bl w:val="nil"/>
                  </w:tcBorders>
                  <w:vAlign w:val="center"/>
                </w:tcPr>
                <w:p w14:paraId="241EA8D5">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rFonts w:hint="eastAsia"/>
                      <w:sz w:val="21"/>
                      <w:szCs w:val="21"/>
                    </w:rPr>
                    <w:t>南厂界</w:t>
                  </w:r>
                </w:p>
              </w:tc>
              <w:tc>
                <w:tcPr>
                  <w:tcW w:w="727" w:type="pct"/>
                  <w:tcBorders>
                    <w:tl2br w:val="nil"/>
                    <w:tr2bl w:val="nil"/>
                  </w:tcBorders>
                  <w:vAlign w:val="center"/>
                </w:tcPr>
                <w:p w14:paraId="74EAA3DC">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sz w:val="21"/>
                      <w:szCs w:val="21"/>
                    </w:rPr>
                    <w:t>1次/季度</w:t>
                  </w:r>
                </w:p>
              </w:tc>
              <w:tc>
                <w:tcPr>
                  <w:tcW w:w="1754" w:type="pct"/>
                  <w:tcBorders>
                    <w:tl2br w:val="nil"/>
                    <w:tr2bl w:val="nil"/>
                  </w:tcBorders>
                  <w:vAlign w:val="center"/>
                </w:tcPr>
                <w:p w14:paraId="35B9277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sz w:val="21"/>
                      <w:szCs w:val="21"/>
                    </w:rPr>
                  </w:pPr>
                  <w:r>
                    <w:rPr>
                      <w:sz w:val="21"/>
                      <w:szCs w:val="21"/>
                    </w:rPr>
                    <w:t>《工业企业厂界环境噪声排放标准》（GB12348-2008</w:t>
                  </w:r>
                  <w:r>
                    <w:rPr>
                      <w:rFonts w:hint="eastAsia"/>
                      <w:sz w:val="21"/>
                      <w:szCs w:val="21"/>
                    </w:rPr>
                    <w:t>）4类标准</w:t>
                  </w:r>
                </w:p>
              </w:tc>
            </w:tr>
          </w:tbl>
          <w:p w14:paraId="4B18E016">
            <w:pPr>
              <w:ind w:firstLine="482"/>
              <w:rPr>
                <w:b/>
                <w:bCs/>
                <w:color w:val="auto"/>
              </w:rPr>
            </w:pPr>
            <w:r>
              <w:rPr>
                <w:rFonts w:hint="eastAsia" w:ascii="Times New Roman" w:hAnsi="Times New Roman" w:eastAsia="宋体" w:cs="Times New Roman"/>
                <w:color w:val="auto"/>
                <w:sz w:val="24"/>
                <w:szCs w:val="24"/>
                <w:highlight w:val="none"/>
                <w:lang w:val="en-US" w:eastAsia="zh-CN"/>
              </w:rPr>
              <w:t>4</w:t>
            </w:r>
            <w:r>
              <w:rPr>
                <w:b/>
                <w:bCs/>
                <w:color w:val="auto"/>
              </w:rPr>
              <w:t>、固体废物</w:t>
            </w:r>
          </w:p>
          <w:p w14:paraId="0581DE62">
            <w:pPr>
              <w:ind w:firstLine="482"/>
              <w:rPr>
                <w:b/>
                <w:bCs/>
                <w:color w:val="auto"/>
              </w:rPr>
            </w:pPr>
            <w:r>
              <w:rPr>
                <w:rFonts w:hint="eastAsia"/>
                <w:b/>
                <w:bCs/>
                <w:color w:val="auto"/>
                <w:lang w:eastAsia="zh-CN"/>
              </w:rPr>
              <w:t>（</w:t>
            </w:r>
            <w:r>
              <w:rPr>
                <w:rFonts w:hint="eastAsia"/>
                <w:b/>
                <w:bCs/>
                <w:color w:val="auto"/>
                <w:lang w:val="en-US" w:eastAsia="zh-CN"/>
              </w:rPr>
              <w:t>1）</w:t>
            </w:r>
            <w:r>
              <w:rPr>
                <w:b/>
                <w:bCs/>
                <w:color w:val="auto"/>
              </w:rPr>
              <w:t>固体废物产生及处置情况</w:t>
            </w:r>
          </w:p>
          <w:p w14:paraId="47AFFB02">
            <w:pPr>
              <w:spacing w:line="353" w:lineRule="auto"/>
              <w:ind w:firstLine="482"/>
              <w:rPr>
                <w:rFonts w:hint="eastAsia" w:eastAsia="宋体"/>
                <w:bCs/>
                <w:color w:val="auto"/>
                <w:sz w:val="24"/>
                <w:highlight w:val="none"/>
                <w:lang w:eastAsia="zh-CN"/>
              </w:rPr>
            </w:pPr>
            <w:r>
              <w:rPr>
                <w:rFonts w:hint="eastAsia"/>
                <w:bCs/>
                <w:color w:val="auto"/>
                <w:sz w:val="24"/>
                <w:highlight w:val="none"/>
              </w:rPr>
              <w:t>项目建成运行后预计全厂职工共</w:t>
            </w:r>
            <w:r>
              <w:rPr>
                <w:rFonts w:hint="eastAsia"/>
                <w:bCs/>
                <w:color w:val="auto"/>
                <w:sz w:val="24"/>
                <w:highlight w:val="none"/>
                <w:lang w:val="en-US" w:eastAsia="zh-CN"/>
              </w:rPr>
              <w:t>2400</w:t>
            </w:r>
            <w:r>
              <w:rPr>
                <w:rFonts w:hint="eastAsia"/>
                <w:bCs/>
                <w:color w:val="auto"/>
                <w:sz w:val="24"/>
                <w:highlight w:val="none"/>
              </w:rPr>
              <w:t>人，</w:t>
            </w:r>
            <w:r>
              <w:rPr>
                <w:rFonts w:hint="eastAsia"/>
                <w:bCs/>
                <w:color w:val="auto"/>
                <w:sz w:val="24"/>
                <w:highlight w:val="none"/>
                <w:lang w:val="en-US" w:eastAsia="zh-CN"/>
              </w:rPr>
              <w:t>职工</w:t>
            </w:r>
            <w:r>
              <w:rPr>
                <w:rFonts w:hint="eastAsia"/>
                <w:bCs/>
                <w:color w:val="auto"/>
                <w:sz w:val="24"/>
                <w:highlight w:val="none"/>
              </w:rPr>
              <w:t>生活垃圾产生量按</w:t>
            </w:r>
            <w:r>
              <w:rPr>
                <w:rFonts w:hint="eastAsia"/>
                <w:bCs/>
                <w:color w:val="auto"/>
                <w:sz w:val="24"/>
                <w:highlight w:val="none"/>
                <w:lang w:val="en-US" w:eastAsia="zh-CN"/>
              </w:rPr>
              <w:t>0.5</w:t>
            </w:r>
            <w:r>
              <w:rPr>
                <w:rFonts w:hint="eastAsia"/>
                <w:bCs/>
                <w:color w:val="auto"/>
                <w:sz w:val="24"/>
                <w:highlight w:val="none"/>
              </w:rPr>
              <w:t>kg/人•d计，全年工作</w:t>
            </w:r>
            <w:r>
              <w:rPr>
                <w:rFonts w:hint="eastAsia"/>
                <w:bCs/>
                <w:color w:val="auto"/>
                <w:sz w:val="24"/>
                <w:highlight w:val="none"/>
                <w:lang w:val="en-US" w:eastAsia="zh-CN"/>
              </w:rPr>
              <w:t>251</w:t>
            </w:r>
            <w:r>
              <w:rPr>
                <w:rFonts w:hint="eastAsia"/>
                <w:bCs/>
                <w:color w:val="auto"/>
                <w:sz w:val="24"/>
                <w:highlight w:val="none"/>
              </w:rPr>
              <w:t>d，则职工生活垃圾产生量为</w:t>
            </w:r>
            <w:r>
              <w:rPr>
                <w:rFonts w:hint="eastAsia"/>
                <w:bCs/>
                <w:color w:val="auto"/>
                <w:sz w:val="24"/>
                <w:highlight w:val="none"/>
                <w:lang w:val="en-US" w:eastAsia="zh-CN"/>
              </w:rPr>
              <w:t>1200</w:t>
            </w:r>
            <w:r>
              <w:rPr>
                <w:rFonts w:hint="eastAsia"/>
                <w:bCs/>
                <w:color w:val="auto"/>
                <w:sz w:val="24"/>
                <w:highlight w:val="none"/>
              </w:rPr>
              <w:t>kg/d（</w:t>
            </w:r>
            <w:r>
              <w:rPr>
                <w:rFonts w:hint="eastAsia"/>
                <w:bCs/>
                <w:color w:val="auto"/>
                <w:sz w:val="24"/>
                <w:highlight w:val="none"/>
                <w:lang w:val="en-US" w:eastAsia="zh-CN"/>
              </w:rPr>
              <w:t>301.2</w:t>
            </w:r>
            <w:r>
              <w:rPr>
                <w:rFonts w:hint="eastAsia"/>
                <w:bCs/>
                <w:color w:val="auto"/>
                <w:sz w:val="24"/>
                <w:highlight w:val="none"/>
              </w:rPr>
              <w:t>t/a），</w:t>
            </w:r>
            <w:r>
              <w:rPr>
                <w:rFonts w:hint="eastAsia"/>
                <w:bCs/>
                <w:color w:val="auto"/>
                <w:sz w:val="24"/>
                <w:highlight w:val="none"/>
                <w:lang w:val="en-US" w:eastAsia="zh-CN"/>
              </w:rPr>
              <w:t>分类</w:t>
            </w:r>
            <w:r>
              <w:rPr>
                <w:rFonts w:hint="eastAsia"/>
                <w:bCs/>
                <w:color w:val="auto"/>
                <w:sz w:val="24"/>
                <w:highlight w:val="none"/>
              </w:rPr>
              <w:t>收集后由环卫部门及时清运。项目</w:t>
            </w:r>
            <w:r>
              <w:rPr>
                <w:rFonts w:hint="eastAsia"/>
                <w:bCs/>
                <w:color w:val="auto"/>
                <w:sz w:val="24"/>
                <w:highlight w:val="none"/>
                <w:lang w:eastAsia="zh-CN"/>
              </w:rPr>
              <w:t>餐厅</w:t>
            </w:r>
            <w:r>
              <w:rPr>
                <w:rFonts w:hint="eastAsia"/>
                <w:bCs/>
                <w:color w:val="auto"/>
                <w:sz w:val="24"/>
                <w:highlight w:val="none"/>
              </w:rPr>
              <w:t>废水经过油水分离器处理后会有废油脂产生，油烟净化器会有废油脂产生，废油脂产生量为</w:t>
            </w:r>
            <w:r>
              <w:rPr>
                <w:rFonts w:hint="eastAsia"/>
                <w:bCs/>
                <w:color w:val="auto"/>
                <w:sz w:val="24"/>
                <w:highlight w:val="none"/>
                <w:lang w:val="en-US" w:eastAsia="zh-CN"/>
              </w:rPr>
              <w:t>0.8</w:t>
            </w:r>
            <w:r>
              <w:rPr>
                <w:rFonts w:hint="eastAsia"/>
                <w:bCs/>
                <w:color w:val="auto"/>
                <w:sz w:val="24"/>
                <w:highlight w:val="none"/>
              </w:rPr>
              <w:t>t/a，定点收集委托有资质单位转运处置</w:t>
            </w:r>
            <w:r>
              <w:rPr>
                <w:rFonts w:hint="eastAsia"/>
                <w:bCs/>
                <w:color w:val="auto"/>
                <w:sz w:val="24"/>
                <w:highlight w:val="none"/>
                <w:lang w:eastAsia="zh-CN"/>
              </w:rPr>
              <w:t>。</w:t>
            </w:r>
          </w:p>
          <w:p w14:paraId="3E1027E1">
            <w:pPr>
              <w:rPr>
                <w:color w:val="auto"/>
                <w:highlight w:val="none"/>
              </w:rPr>
            </w:pPr>
            <w:r>
              <w:rPr>
                <w:rFonts w:hint="eastAsia"/>
                <w:color w:val="auto"/>
                <w:highlight w:val="none"/>
              </w:rPr>
              <w:t>项目固体废物主要为</w:t>
            </w:r>
            <w:r>
              <w:rPr>
                <w:rFonts w:hint="eastAsia"/>
                <w:color w:val="auto"/>
                <w:highlight w:val="none"/>
                <w:lang w:val="en-US" w:eastAsia="zh-CN"/>
              </w:rPr>
              <w:t>研发废料、</w:t>
            </w:r>
            <w:r>
              <w:rPr>
                <w:rFonts w:hint="eastAsia"/>
                <w:color w:val="auto"/>
                <w:highlight w:val="none"/>
                <w:lang w:eastAsia="zh-CN"/>
              </w:rPr>
              <w:t>废包装</w:t>
            </w:r>
            <w:r>
              <w:rPr>
                <w:rFonts w:hint="eastAsia"/>
                <w:color w:val="auto"/>
                <w:highlight w:val="none"/>
                <w:lang w:val="en-US" w:eastAsia="zh-CN"/>
              </w:rPr>
              <w:t>物、废气处理废料、餐厅废料</w:t>
            </w:r>
            <w:r>
              <w:rPr>
                <w:rFonts w:hint="eastAsia"/>
                <w:color w:val="auto"/>
                <w:highlight w:val="none"/>
              </w:rPr>
              <w:t>等。</w:t>
            </w:r>
            <w:r>
              <w:rPr>
                <w:color w:val="auto"/>
                <w:highlight w:val="none"/>
              </w:rPr>
              <w:t>项目固废具体产生情况见下表</w:t>
            </w:r>
            <w:r>
              <w:rPr>
                <w:rFonts w:hint="eastAsia"/>
                <w:color w:val="auto"/>
                <w:highlight w:val="none"/>
              </w:rPr>
              <w:t>4</w:t>
            </w:r>
            <w:r>
              <w:rPr>
                <w:rFonts w:hint="eastAsia"/>
                <w:color w:val="auto"/>
                <w:highlight w:val="none"/>
                <w:lang w:val="en-US" w:eastAsia="zh-CN"/>
              </w:rPr>
              <w:t>-12</w:t>
            </w:r>
            <w:r>
              <w:rPr>
                <w:rFonts w:hint="eastAsia"/>
                <w:color w:val="auto"/>
                <w:highlight w:val="none"/>
              </w:rPr>
              <w:t>。</w:t>
            </w:r>
          </w:p>
          <w:p w14:paraId="2B1553CC">
            <w:pPr>
              <w:pStyle w:val="43"/>
              <w:spacing w:before="120"/>
              <w:rPr>
                <w:lang w:val="zh-CN"/>
              </w:rPr>
            </w:pPr>
          </w:p>
          <w:p w14:paraId="3EEC1CD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lang w:val="en-US" w:eastAsia="zh-CN"/>
              </w:rPr>
            </w:pPr>
          </w:p>
        </w:tc>
      </w:tr>
      <w:tr w14:paraId="750048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01" w:hRule="atLeast"/>
          <w:jc w:val="center"/>
        </w:trPr>
        <w:tc>
          <w:tcPr>
            <w:tcW w:w="164" w:type="pct"/>
            <w:gridSpan w:val="2"/>
            <w:noWrap w:val="0"/>
            <w:tcMar>
              <w:left w:w="28" w:type="dxa"/>
              <w:right w:w="28" w:type="dxa"/>
            </w:tcMar>
            <w:vAlign w:val="center"/>
          </w:tcPr>
          <w:p w14:paraId="6BEC078A">
            <w:pPr>
              <w:pStyle w:val="14"/>
              <w:spacing w:before="0" w:beforeAutospacing="0" w:after="0" w:afterAutospacing="0"/>
              <w:ind w:firstLine="0" w:firstLineChars="0"/>
              <w:jc w:val="center"/>
              <w:rPr>
                <w:color w:val="auto"/>
                <w:kern w:val="2"/>
              </w:rPr>
            </w:pPr>
            <w:r>
              <w:rPr>
                <w:color w:val="auto"/>
                <w:kern w:val="2"/>
              </w:rPr>
              <w:t>运营期环境影响和保护措施</w:t>
            </w:r>
          </w:p>
        </w:tc>
        <w:tc>
          <w:tcPr>
            <w:tcW w:w="4835" w:type="pct"/>
            <w:noWrap w:val="0"/>
            <w:vAlign w:val="center"/>
          </w:tcPr>
          <w:p w14:paraId="34D84144">
            <w:pPr>
              <w:pStyle w:val="24"/>
              <w:bidi w:val="0"/>
              <w:rPr>
                <w:rFonts w:hint="eastAsia"/>
                <w:color w:val="auto"/>
                <w:sz w:val="24"/>
                <w:szCs w:val="24"/>
              </w:rPr>
            </w:pPr>
            <w:r>
              <w:rPr>
                <w:rFonts w:hint="eastAsia"/>
                <w:color w:val="auto"/>
                <w:sz w:val="24"/>
                <w:szCs w:val="24"/>
              </w:rPr>
              <w:t>表4-</w:t>
            </w:r>
            <w:r>
              <w:rPr>
                <w:rFonts w:hint="eastAsia"/>
                <w:color w:val="auto"/>
                <w:sz w:val="24"/>
                <w:szCs w:val="24"/>
                <w:lang w:val="en-US" w:eastAsia="zh-CN"/>
              </w:rPr>
              <w:t>12</w:t>
            </w:r>
            <w:r>
              <w:rPr>
                <w:rFonts w:hint="eastAsia"/>
                <w:color w:val="auto"/>
                <w:sz w:val="24"/>
                <w:szCs w:val="24"/>
              </w:rPr>
              <w:t xml:space="preserve">  项目固体废物产生情况一览表</w:t>
            </w:r>
          </w:p>
          <w:tbl>
            <w:tblPr>
              <w:tblStyle w:val="16"/>
              <w:tblW w:w="499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72"/>
              <w:gridCol w:w="628"/>
              <w:gridCol w:w="954"/>
              <w:gridCol w:w="750"/>
              <w:gridCol w:w="1311"/>
              <w:gridCol w:w="821"/>
              <w:gridCol w:w="903"/>
              <w:gridCol w:w="1028"/>
              <w:gridCol w:w="1662"/>
            </w:tblGrid>
            <w:tr w14:paraId="25998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276" w:type="pct"/>
                  <w:noWrap w:val="0"/>
                  <w:vAlign w:val="center"/>
                </w:tcPr>
                <w:p w14:paraId="725187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rPr>
                  </w:pPr>
                  <w:r>
                    <w:rPr>
                      <w:b/>
                      <w:bCs/>
                      <w:color w:val="auto"/>
                      <w:sz w:val="21"/>
                      <w:szCs w:val="21"/>
                    </w:rPr>
                    <w:t>序号</w:t>
                  </w:r>
                </w:p>
              </w:tc>
              <w:tc>
                <w:tcPr>
                  <w:tcW w:w="368" w:type="pct"/>
                  <w:noWrap w:val="0"/>
                  <w:vAlign w:val="center"/>
                </w:tcPr>
                <w:p w14:paraId="278781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z w:val="21"/>
                      <w:szCs w:val="21"/>
                    </w:rPr>
                  </w:pPr>
                  <w:r>
                    <w:rPr>
                      <w:rFonts w:hint="eastAsia"/>
                      <w:b/>
                      <w:bCs/>
                      <w:color w:val="auto"/>
                      <w:sz w:val="21"/>
                      <w:szCs w:val="21"/>
                    </w:rPr>
                    <w:t>产生</w:t>
                  </w:r>
                </w:p>
                <w:p w14:paraId="661E4A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rPr>
                  </w:pPr>
                  <w:r>
                    <w:rPr>
                      <w:rFonts w:hint="eastAsia"/>
                      <w:b/>
                      <w:bCs/>
                      <w:color w:val="auto"/>
                      <w:sz w:val="21"/>
                      <w:szCs w:val="21"/>
                    </w:rPr>
                    <w:t>环节</w:t>
                  </w:r>
                </w:p>
              </w:tc>
              <w:tc>
                <w:tcPr>
                  <w:tcW w:w="559" w:type="pct"/>
                  <w:noWrap w:val="0"/>
                  <w:vAlign w:val="center"/>
                </w:tcPr>
                <w:p w14:paraId="0D8A55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rPr>
                  </w:pPr>
                  <w:r>
                    <w:rPr>
                      <w:b/>
                      <w:bCs/>
                      <w:color w:val="auto"/>
                      <w:sz w:val="21"/>
                      <w:szCs w:val="21"/>
                    </w:rPr>
                    <w:t>名称</w:t>
                  </w:r>
                </w:p>
              </w:tc>
              <w:tc>
                <w:tcPr>
                  <w:tcW w:w="439" w:type="pct"/>
                  <w:noWrap w:val="0"/>
                  <w:vAlign w:val="center"/>
                </w:tcPr>
                <w:p w14:paraId="51F2CE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rPr>
                  </w:pPr>
                  <w:r>
                    <w:rPr>
                      <w:rFonts w:hint="eastAsia"/>
                      <w:b/>
                      <w:bCs/>
                      <w:color w:val="auto"/>
                      <w:sz w:val="21"/>
                      <w:szCs w:val="21"/>
                    </w:rPr>
                    <w:t>属性</w:t>
                  </w:r>
                </w:p>
              </w:tc>
              <w:tc>
                <w:tcPr>
                  <w:tcW w:w="768" w:type="pct"/>
                  <w:noWrap w:val="0"/>
                  <w:vAlign w:val="center"/>
                </w:tcPr>
                <w:p w14:paraId="6050FC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rPr>
                  </w:pPr>
                  <w:r>
                    <w:rPr>
                      <w:rFonts w:hint="eastAsia"/>
                      <w:b/>
                      <w:bCs/>
                      <w:color w:val="auto"/>
                      <w:sz w:val="21"/>
                      <w:szCs w:val="21"/>
                    </w:rPr>
                    <w:t>编码</w:t>
                  </w:r>
                </w:p>
              </w:tc>
              <w:tc>
                <w:tcPr>
                  <w:tcW w:w="481" w:type="pct"/>
                  <w:noWrap w:val="0"/>
                  <w:vAlign w:val="center"/>
                </w:tcPr>
                <w:p w14:paraId="6D8C88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rPr>
                  </w:pPr>
                  <w:r>
                    <w:rPr>
                      <w:rFonts w:hint="eastAsia"/>
                      <w:b/>
                      <w:bCs/>
                      <w:color w:val="auto"/>
                      <w:sz w:val="21"/>
                      <w:szCs w:val="21"/>
                    </w:rPr>
                    <w:t>物理性状</w:t>
                  </w:r>
                </w:p>
              </w:tc>
              <w:tc>
                <w:tcPr>
                  <w:tcW w:w="529" w:type="pct"/>
                  <w:noWrap w:val="0"/>
                  <w:vAlign w:val="center"/>
                </w:tcPr>
                <w:p w14:paraId="0896CD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auto"/>
                      <w:sz w:val="21"/>
                      <w:szCs w:val="21"/>
                    </w:rPr>
                  </w:pPr>
                  <w:r>
                    <w:rPr>
                      <w:rFonts w:hint="eastAsia"/>
                      <w:b/>
                      <w:bCs/>
                      <w:color w:val="auto"/>
                      <w:sz w:val="21"/>
                      <w:szCs w:val="21"/>
                    </w:rPr>
                    <w:t>环境危险特性</w:t>
                  </w:r>
                </w:p>
              </w:tc>
              <w:tc>
                <w:tcPr>
                  <w:tcW w:w="602" w:type="pct"/>
                  <w:noWrap w:val="0"/>
                  <w:vAlign w:val="center"/>
                </w:tcPr>
                <w:p w14:paraId="7CAE8C1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z w:val="21"/>
                      <w:szCs w:val="21"/>
                    </w:rPr>
                  </w:pPr>
                  <w:r>
                    <w:rPr>
                      <w:b/>
                      <w:bCs/>
                      <w:color w:val="auto"/>
                      <w:sz w:val="21"/>
                      <w:szCs w:val="21"/>
                    </w:rPr>
                    <w:t>产生量</w:t>
                  </w:r>
                  <w:r>
                    <w:rPr>
                      <w:rFonts w:hint="eastAsia"/>
                      <w:b/>
                      <w:bCs/>
                      <w:color w:val="auto"/>
                      <w:sz w:val="21"/>
                      <w:szCs w:val="21"/>
                    </w:rPr>
                    <w:t>（</w:t>
                  </w:r>
                  <w:r>
                    <w:rPr>
                      <w:b/>
                      <w:bCs/>
                      <w:color w:val="auto"/>
                      <w:sz w:val="21"/>
                      <w:szCs w:val="21"/>
                    </w:rPr>
                    <w:t>t/a</w:t>
                  </w:r>
                  <w:r>
                    <w:rPr>
                      <w:rFonts w:hint="eastAsia"/>
                      <w:b/>
                      <w:bCs/>
                      <w:color w:val="auto"/>
                      <w:sz w:val="21"/>
                      <w:szCs w:val="21"/>
                    </w:rPr>
                    <w:t>）</w:t>
                  </w:r>
                </w:p>
              </w:tc>
              <w:tc>
                <w:tcPr>
                  <w:tcW w:w="974" w:type="pct"/>
                  <w:noWrap w:val="0"/>
                  <w:vAlign w:val="center"/>
                </w:tcPr>
                <w:p w14:paraId="409E0A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贮存方式</w:t>
                  </w:r>
                </w:p>
              </w:tc>
            </w:tr>
            <w:tr w14:paraId="3FBFF2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1" w:hRule="atLeast"/>
              </w:trPr>
              <w:tc>
                <w:tcPr>
                  <w:tcW w:w="276" w:type="pct"/>
                  <w:noWrap w:val="0"/>
                  <w:vAlign w:val="center"/>
                </w:tcPr>
                <w:p w14:paraId="41858A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kern w:val="2"/>
                      <w:sz w:val="21"/>
                      <w:szCs w:val="21"/>
                      <w:lang w:val="en-US" w:eastAsia="zh-CN" w:bidi="ar-SA"/>
                    </w:rPr>
                  </w:pPr>
                  <w:r>
                    <w:rPr>
                      <w:rFonts w:hint="eastAsia"/>
                      <w:color w:val="auto"/>
                      <w:sz w:val="21"/>
                      <w:szCs w:val="21"/>
                    </w:rPr>
                    <w:t>1</w:t>
                  </w:r>
                </w:p>
              </w:tc>
              <w:tc>
                <w:tcPr>
                  <w:tcW w:w="368" w:type="pct"/>
                  <w:vMerge w:val="restart"/>
                  <w:noWrap w:val="0"/>
                  <w:vAlign w:val="center"/>
                </w:tcPr>
                <w:p w14:paraId="3860A0AC">
                  <w:pPr>
                    <w:adjustRightInd w:val="0"/>
                    <w:spacing w:line="360" w:lineRule="atLeast"/>
                    <w:ind w:firstLine="0" w:firstLineChars="0"/>
                    <w:jc w:val="center"/>
                    <w:rPr>
                      <w:rFonts w:hint="eastAsia" w:eastAsia="宋体"/>
                      <w:color w:val="auto"/>
                      <w:sz w:val="21"/>
                      <w:szCs w:val="21"/>
                      <w:lang w:val="en-US" w:eastAsia="zh-CN"/>
                    </w:rPr>
                  </w:pPr>
                  <w:r>
                    <w:rPr>
                      <w:rFonts w:hint="eastAsia"/>
                      <w:bCs/>
                      <w:color w:val="auto"/>
                      <w:sz w:val="21"/>
                      <w:lang w:val="en-US" w:eastAsia="zh-CN"/>
                    </w:rPr>
                    <w:t>研发</w:t>
                  </w:r>
                  <w:r>
                    <w:rPr>
                      <w:rFonts w:hint="eastAsia"/>
                      <w:bCs/>
                      <w:color w:val="auto"/>
                      <w:sz w:val="21"/>
                    </w:rPr>
                    <w:t>过程</w:t>
                  </w:r>
                </w:p>
              </w:tc>
              <w:tc>
                <w:tcPr>
                  <w:tcW w:w="559" w:type="pct"/>
                  <w:shd w:val="clear" w:color="auto" w:fill="auto"/>
                  <w:noWrap w:val="0"/>
                  <w:vAlign w:val="center"/>
                </w:tcPr>
                <w:p w14:paraId="161A597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废</w:t>
                  </w:r>
                  <w:r>
                    <w:rPr>
                      <w:rFonts w:hint="eastAsia" w:cs="Times New Roman"/>
                      <w:color w:val="auto"/>
                      <w:sz w:val="21"/>
                      <w:szCs w:val="21"/>
                      <w:highlight w:val="none"/>
                      <w:lang w:val="en-US" w:eastAsia="zh-CN"/>
                    </w:rPr>
                    <w:t>洗板水</w:t>
                  </w:r>
                  <w:r>
                    <w:rPr>
                      <w:rFonts w:hint="default" w:ascii="Times New Roman" w:hAnsi="Times New Roman" w:eastAsia="宋体" w:cs="Times New Roman"/>
                      <w:color w:val="auto"/>
                      <w:sz w:val="21"/>
                      <w:szCs w:val="21"/>
                      <w:highlight w:val="none"/>
                      <w:lang w:val="en-US" w:eastAsia="zh-CN"/>
                    </w:rPr>
                    <w:t>桶</w:t>
                  </w:r>
                </w:p>
              </w:tc>
              <w:tc>
                <w:tcPr>
                  <w:tcW w:w="439" w:type="pct"/>
                  <w:shd w:val="clear" w:color="auto" w:fill="auto"/>
                  <w:noWrap w:val="0"/>
                  <w:vAlign w:val="center"/>
                </w:tcPr>
                <w:p w14:paraId="73D3AC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highlight w:val="none"/>
                    </w:rPr>
                    <w:t>危险废物</w:t>
                  </w:r>
                </w:p>
              </w:tc>
              <w:tc>
                <w:tcPr>
                  <w:tcW w:w="768" w:type="pct"/>
                  <w:shd w:val="clear" w:color="auto" w:fill="auto"/>
                  <w:noWrap w:val="0"/>
                  <w:vAlign w:val="center"/>
                </w:tcPr>
                <w:p w14:paraId="5C733A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Cs/>
                      <w:color w:val="auto"/>
                      <w:sz w:val="21"/>
                      <w:szCs w:val="21"/>
                      <w:highlight w:val="none"/>
                      <w:lang w:val="en-US" w:eastAsia="zh-CN"/>
                    </w:rPr>
                  </w:pPr>
                  <w:r>
                    <w:rPr>
                      <w:rFonts w:hint="eastAsia"/>
                      <w:bCs/>
                      <w:color w:val="auto"/>
                      <w:sz w:val="21"/>
                      <w:szCs w:val="21"/>
                      <w:highlight w:val="none"/>
                      <w:lang w:val="en-US" w:eastAsia="zh-CN"/>
                    </w:rPr>
                    <w:t>HW49</w:t>
                  </w:r>
                </w:p>
                <w:p w14:paraId="4E2965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bCs/>
                      <w:color w:val="auto"/>
                      <w:sz w:val="21"/>
                      <w:szCs w:val="21"/>
                      <w:highlight w:val="none"/>
                    </w:rPr>
                    <w:t>900-041-49</w:t>
                  </w:r>
                </w:p>
              </w:tc>
              <w:tc>
                <w:tcPr>
                  <w:tcW w:w="481" w:type="pct"/>
                  <w:shd w:val="clear" w:color="auto" w:fill="auto"/>
                  <w:noWrap w:val="0"/>
                  <w:vAlign w:val="center"/>
                </w:tcPr>
                <w:p w14:paraId="799C60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highlight w:val="none"/>
                    </w:rPr>
                    <w:t>固态</w:t>
                  </w:r>
                </w:p>
              </w:tc>
              <w:tc>
                <w:tcPr>
                  <w:tcW w:w="529" w:type="pct"/>
                  <w:shd w:val="clear" w:color="auto" w:fill="auto"/>
                  <w:noWrap w:val="0"/>
                  <w:vAlign w:val="center"/>
                </w:tcPr>
                <w:p w14:paraId="68F2B8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color w:val="auto"/>
                      <w:sz w:val="21"/>
                      <w:szCs w:val="21"/>
                      <w:highlight w:val="none"/>
                    </w:rPr>
                    <w:t>T</w:t>
                  </w:r>
                </w:p>
              </w:tc>
              <w:tc>
                <w:tcPr>
                  <w:tcW w:w="602" w:type="pct"/>
                  <w:shd w:val="clear" w:color="auto" w:fill="auto"/>
                  <w:noWrap w:val="0"/>
                  <w:vAlign w:val="center"/>
                </w:tcPr>
                <w:p w14:paraId="5F2BEE8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0.4</w:t>
                  </w:r>
                </w:p>
              </w:tc>
              <w:tc>
                <w:tcPr>
                  <w:tcW w:w="974" w:type="pct"/>
                  <w:noWrap w:val="0"/>
                  <w:vAlign w:val="center"/>
                </w:tcPr>
                <w:p w14:paraId="260AA4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危险废物贮存库暂存，定期交有资质单位处置</w:t>
                  </w:r>
                </w:p>
              </w:tc>
            </w:tr>
            <w:tr w14:paraId="21C095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3" w:hRule="atLeast"/>
              </w:trPr>
              <w:tc>
                <w:tcPr>
                  <w:tcW w:w="276" w:type="pct"/>
                  <w:noWrap w:val="0"/>
                  <w:vAlign w:val="center"/>
                </w:tcPr>
                <w:p w14:paraId="7A4666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2</w:t>
                  </w:r>
                </w:p>
              </w:tc>
              <w:tc>
                <w:tcPr>
                  <w:tcW w:w="368" w:type="pct"/>
                  <w:vMerge w:val="continue"/>
                  <w:noWrap w:val="0"/>
                  <w:vAlign w:val="center"/>
                </w:tcPr>
                <w:p w14:paraId="137EBF11">
                  <w:pPr>
                    <w:adjustRightInd w:val="0"/>
                    <w:spacing w:line="360" w:lineRule="atLeast"/>
                    <w:ind w:firstLine="0" w:firstLineChars="0"/>
                    <w:jc w:val="center"/>
                    <w:rPr>
                      <w:rFonts w:hint="eastAsia"/>
                      <w:color w:val="auto"/>
                      <w:sz w:val="21"/>
                      <w:szCs w:val="21"/>
                    </w:rPr>
                  </w:pPr>
                </w:p>
              </w:tc>
              <w:tc>
                <w:tcPr>
                  <w:tcW w:w="559" w:type="pct"/>
                  <w:shd w:val="clear" w:color="auto" w:fill="auto"/>
                  <w:noWrap w:val="0"/>
                  <w:vAlign w:val="center"/>
                </w:tcPr>
                <w:p w14:paraId="1D0D806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highlight w:val="none"/>
                      <w:lang w:val="en-US" w:eastAsia="zh-CN"/>
                    </w:rPr>
                    <w:t>研发废料（塑料、废弃零件</w:t>
                  </w:r>
                  <w:r>
                    <w:rPr>
                      <w:rFonts w:hint="eastAsia" w:cs="Times New Roman"/>
                      <w:color w:val="auto"/>
                      <w:sz w:val="21"/>
                      <w:szCs w:val="21"/>
                      <w:highlight w:val="none"/>
                      <w:lang w:val="en-US" w:eastAsia="zh-CN"/>
                    </w:rPr>
                    <w:t>、废电子产品</w:t>
                  </w:r>
                  <w:r>
                    <w:rPr>
                      <w:rFonts w:hint="eastAsia" w:ascii="Times New Roman" w:hAnsi="Times New Roman" w:eastAsia="宋体" w:cs="Times New Roman"/>
                      <w:color w:val="auto"/>
                      <w:sz w:val="21"/>
                      <w:szCs w:val="21"/>
                      <w:highlight w:val="none"/>
                      <w:lang w:val="en-US" w:eastAsia="zh-CN"/>
                    </w:rPr>
                    <w:t>）</w:t>
                  </w:r>
                </w:p>
              </w:tc>
              <w:tc>
                <w:tcPr>
                  <w:tcW w:w="439" w:type="pct"/>
                  <w:shd w:val="clear" w:color="auto" w:fill="auto"/>
                  <w:noWrap w:val="0"/>
                  <w:vAlign w:val="center"/>
                </w:tcPr>
                <w:p w14:paraId="1C5782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一般固废</w:t>
                  </w:r>
                </w:p>
              </w:tc>
              <w:tc>
                <w:tcPr>
                  <w:tcW w:w="768" w:type="pct"/>
                  <w:shd w:val="clear" w:color="auto" w:fill="auto"/>
                  <w:noWrap w:val="0"/>
                  <w:vAlign w:val="center"/>
                </w:tcPr>
                <w:p w14:paraId="4A5071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highlight w:val="none"/>
                    </w:rPr>
                  </w:pPr>
                  <w:r>
                    <w:rPr>
                      <w:rFonts w:hint="eastAsia" w:ascii="Times New Roman" w:hAnsi="Times New Roman" w:eastAsia="宋体" w:cs="Times New Roman"/>
                      <w:bCs/>
                      <w:color w:val="auto"/>
                      <w:sz w:val="21"/>
                      <w:szCs w:val="21"/>
                      <w:highlight w:val="none"/>
                    </w:rPr>
                    <w:t>900-003-S17</w:t>
                  </w:r>
                </w:p>
                <w:p w14:paraId="15D96C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highlight w:val="none"/>
                    </w:rPr>
                  </w:pPr>
                  <w:r>
                    <w:rPr>
                      <w:rFonts w:hint="eastAsia" w:ascii="Times New Roman" w:hAnsi="Times New Roman" w:eastAsia="宋体" w:cs="Times New Roman"/>
                      <w:bCs/>
                      <w:color w:val="auto"/>
                      <w:sz w:val="21"/>
                      <w:szCs w:val="21"/>
                      <w:highlight w:val="none"/>
                      <w:lang w:val="en-US" w:eastAsia="zh-CN"/>
                    </w:rPr>
                    <w:t>9</w:t>
                  </w:r>
                  <w:r>
                    <w:rPr>
                      <w:rFonts w:hint="eastAsia" w:ascii="Times New Roman" w:hAnsi="Times New Roman" w:eastAsia="宋体" w:cs="Times New Roman"/>
                      <w:bCs/>
                      <w:color w:val="auto"/>
                      <w:sz w:val="21"/>
                      <w:szCs w:val="21"/>
                      <w:highlight w:val="none"/>
                    </w:rPr>
                    <w:t>00-008-S17</w:t>
                  </w:r>
                </w:p>
                <w:p w14:paraId="70BC1E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sz w:val="21"/>
                      <w:szCs w:val="21"/>
                      <w:highlight w:val="none"/>
                    </w:rPr>
                    <w:t>900-013-S17</w:t>
                  </w:r>
                </w:p>
              </w:tc>
              <w:tc>
                <w:tcPr>
                  <w:tcW w:w="481" w:type="pct"/>
                  <w:shd w:val="clear" w:color="auto" w:fill="auto"/>
                  <w:noWrap w:val="0"/>
                  <w:vAlign w:val="center"/>
                </w:tcPr>
                <w:p w14:paraId="4870A2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固态</w:t>
                  </w:r>
                </w:p>
              </w:tc>
              <w:tc>
                <w:tcPr>
                  <w:tcW w:w="529" w:type="pct"/>
                  <w:shd w:val="clear" w:color="auto" w:fill="auto"/>
                  <w:noWrap w:val="0"/>
                  <w:vAlign w:val="center"/>
                </w:tcPr>
                <w:p w14:paraId="35353B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602" w:type="pct"/>
                  <w:shd w:val="clear" w:color="auto" w:fill="auto"/>
                  <w:noWrap w:val="0"/>
                  <w:vAlign w:val="center"/>
                </w:tcPr>
                <w:p w14:paraId="2C1D3A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974" w:type="pct"/>
                  <w:shd w:val="clear" w:color="auto" w:fill="auto"/>
                  <w:noWrap w:val="0"/>
                  <w:vAlign w:val="center"/>
                </w:tcPr>
                <w:p w14:paraId="2EB0F3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外售</w:t>
                  </w:r>
                </w:p>
              </w:tc>
            </w:tr>
            <w:tr w14:paraId="12EF88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276" w:type="pct"/>
                  <w:noWrap w:val="0"/>
                  <w:vAlign w:val="center"/>
                </w:tcPr>
                <w:p w14:paraId="6308B8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3</w:t>
                  </w:r>
                </w:p>
              </w:tc>
              <w:tc>
                <w:tcPr>
                  <w:tcW w:w="368" w:type="pct"/>
                  <w:vMerge w:val="continue"/>
                  <w:noWrap w:val="0"/>
                  <w:vAlign w:val="center"/>
                </w:tcPr>
                <w:p w14:paraId="44466DF4">
                  <w:pPr>
                    <w:adjustRightInd w:val="0"/>
                    <w:spacing w:line="360" w:lineRule="atLeast"/>
                    <w:ind w:firstLine="0" w:firstLineChars="0"/>
                    <w:jc w:val="center"/>
                    <w:rPr>
                      <w:rFonts w:hint="eastAsia"/>
                      <w:color w:val="auto"/>
                      <w:sz w:val="21"/>
                      <w:szCs w:val="21"/>
                      <w:lang w:eastAsia="zh-CN"/>
                    </w:rPr>
                  </w:pPr>
                </w:p>
              </w:tc>
              <w:tc>
                <w:tcPr>
                  <w:tcW w:w="559" w:type="pct"/>
                  <w:noWrap w:val="0"/>
                  <w:vAlign w:val="center"/>
                </w:tcPr>
                <w:p w14:paraId="6FF8916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eastAsia="宋体" w:cs="Times New Roman"/>
                      <w:color w:val="auto"/>
                      <w:sz w:val="21"/>
                      <w:szCs w:val="21"/>
                      <w:highlight w:val="none"/>
                      <w:lang w:val="en-US" w:eastAsia="zh-CN"/>
                    </w:rPr>
                    <w:t>废胶</w:t>
                  </w:r>
                  <w:r>
                    <w:rPr>
                      <w:rFonts w:hint="eastAsia" w:cs="Times New Roman"/>
                      <w:color w:val="auto"/>
                      <w:sz w:val="21"/>
                      <w:szCs w:val="21"/>
                      <w:highlight w:val="none"/>
                      <w:lang w:val="en-US" w:eastAsia="zh-CN"/>
                    </w:rPr>
                    <w:t>瓶</w:t>
                  </w:r>
                </w:p>
              </w:tc>
              <w:tc>
                <w:tcPr>
                  <w:tcW w:w="439" w:type="pct"/>
                  <w:shd w:val="clear" w:color="auto" w:fill="auto"/>
                  <w:noWrap w:val="0"/>
                  <w:vAlign w:val="center"/>
                </w:tcPr>
                <w:p w14:paraId="2EADC26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olor w:val="auto"/>
                      <w:sz w:val="21"/>
                      <w:szCs w:val="21"/>
                      <w:highlight w:val="none"/>
                    </w:rPr>
                    <w:t>危险废物</w:t>
                  </w:r>
                </w:p>
              </w:tc>
              <w:tc>
                <w:tcPr>
                  <w:tcW w:w="768" w:type="pct"/>
                  <w:noWrap w:val="0"/>
                  <w:vAlign w:val="center"/>
                </w:tcPr>
                <w:p w14:paraId="4C72CD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Cs/>
                      <w:color w:val="auto"/>
                      <w:sz w:val="21"/>
                      <w:szCs w:val="21"/>
                      <w:highlight w:val="none"/>
                      <w:lang w:val="en-US" w:eastAsia="zh-CN"/>
                    </w:rPr>
                  </w:pPr>
                  <w:r>
                    <w:rPr>
                      <w:rFonts w:hint="eastAsia"/>
                      <w:bCs/>
                      <w:color w:val="auto"/>
                      <w:sz w:val="21"/>
                      <w:szCs w:val="21"/>
                      <w:highlight w:val="none"/>
                      <w:lang w:val="en-US" w:eastAsia="zh-CN"/>
                    </w:rPr>
                    <w:t>HW49</w:t>
                  </w:r>
                </w:p>
                <w:p w14:paraId="508BD9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bCs/>
                      <w:color w:val="auto"/>
                      <w:sz w:val="21"/>
                      <w:szCs w:val="21"/>
                      <w:highlight w:val="none"/>
                    </w:rPr>
                    <w:t>900-041-49</w:t>
                  </w:r>
                </w:p>
              </w:tc>
              <w:tc>
                <w:tcPr>
                  <w:tcW w:w="481" w:type="pct"/>
                  <w:noWrap w:val="0"/>
                  <w:vAlign w:val="center"/>
                </w:tcPr>
                <w:p w14:paraId="4841D9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highlight w:val="none"/>
                    </w:rPr>
                    <w:t>固态</w:t>
                  </w:r>
                </w:p>
              </w:tc>
              <w:tc>
                <w:tcPr>
                  <w:tcW w:w="529" w:type="pct"/>
                  <w:noWrap w:val="0"/>
                  <w:vAlign w:val="center"/>
                </w:tcPr>
                <w:p w14:paraId="709662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color w:val="auto"/>
                      <w:sz w:val="21"/>
                      <w:szCs w:val="21"/>
                      <w:highlight w:val="none"/>
                    </w:rPr>
                    <w:t>T</w:t>
                  </w:r>
                </w:p>
              </w:tc>
              <w:tc>
                <w:tcPr>
                  <w:tcW w:w="602" w:type="pct"/>
                  <w:noWrap w:val="0"/>
                  <w:vAlign w:val="center"/>
                </w:tcPr>
                <w:p w14:paraId="48E1F3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0.8</w:t>
                  </w:r>
                </w:p>
              </w:tc>
              <w:tc>
                <w:tcPr>
                  <w:tcW w:w="974" w:type="pct"/>
                  <w:vMerge w:val="restart"/>
                  <w:noWrap w:val="0"/>
                  <w:vAlign w:val="center"/>
                </w:tcPr>
                <w:p w14:paraId="01633C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危险废物贮存库暂存，定期交有资质单位处置</w:t>
                  </w:r>
                </w:p>
              </w:tc>
            </w:tr>
            <w:tr w14:paraId="43B5BA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276" w:type="pct"/>
                  <w:noWrap w:val="0"/>
                  <w:vAlign w:val="center"/>
                </w:tcPr>
                <w:p w14:paraId="695465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4</w:t>
                  </w:r>
                </w:p>
              </w:tc>
              <w:tc>
                <w:tcPr>
                  <w:tcW w:w="368" w:type="pct"/>
                  <w:vMerge w:val="continue"/>
                  <w:noWrap w:val="0"/>
                  <w:vAlign w:val="center"/>
                </w:tcPr>
                <w:p w14:paraId="066E15F2">
                  <w:pPr>
                    <w:adjustRightInd w:val="0"/>
                    <w:spacing w:line="360" w:lineRule="atLeast"/>
                    <w:ind w:firstLine="0" w:firstLineChars="0"/>
                    <w:jc w:val="center"/>
                    <w:rPr>
                      <w:rFonts w:hint="eastAsia"/>
                      <w:color w:val="auto"/>
                      <w:sz w:val="21"/>
                      <w:szCs w:val="21"/>
                      <w:lang w:val="en-US" w:eastAsia="zh-CN"/>
                    </w:rPr>
                  </w:pPr>
                </w:p>
              </w:tc>
              <w:tc>
                <w:tcPr>
                  <w:tcW w:w="559" w:type="pct"/>
                  <w:noWrap w:val="0"/>
                  <w:vAlign w:val="center"/>
                </w:tcPr>
                <w:p w14:paraId="20986F5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eastAsia="宋体" w:cs="Times New Roman"/>
                      <w:color w:val="auto"/>
                      <w:sz w:val="21"/>
                      <w:szCs w:val="21"/>
                      <w:highlight w:val="none"/>
                      <w:lang w:val="en-US" w:eastAsia="zh-CN"/>
                    </w:rPr>
                    <w:t>废酒精桶</w:t>
                  </w:r>
                </w:p>
              </w:tc>
              <w:tc>
                <w:tcPr>
                  <w:tcW w:w="439" w:type="pct"/>
                  <w:shd w:val="clear" w:color="auto" w:fill="auto"/>
                  <w:noWrap w:val="0"/>
                  <w:vAlign w:val="center"/>
                </w:tcPr>
                <w:p w14:paraId="094A77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olor w:val="auto"/>
                      <w:sz w:val="21"/>
                      <w:szCs w:val="21"/>
                      <w:highlight w:val="none"/>
                    </w:rPr>
                    <w:t>危险废物</w:t>
                  </w:r>
                </w:p>
              </w:tc>
              <w:tc>
                <w:tcPr>
                  <w:tcW w:w="768" w:type="pct"/>
                  <w:noWrap w:val="0"/>
                  <w:vAlign w:val="center"/>
                </w:tcPr>
                <w:p w14:paraId="6FB2C3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Cs/>
                      <w:color w:val="auto"/>
                      <w:sz w:val="21"/>
                      <w:szCs w:val="21"/>
                      <w:highlight w:val="none"/>
                      <w:lang w:val="en-US" w:eastAsia="zh-CN"/>
                    </w:rPr>
                  </w:pPr>
                  <w:r>
                    <w:rPr>
                      <w:rFonts w:hint="eastAsia"/>
                      <w:bCs/>
                      <w:color w:val="auto"/>
                      <w:sz w:val="21"/>
                      <w:szCs w:val="21"/>
                      <w:highlight w:val="none"/>
                      <w:lang w:val="en-US" w:eastAsia="zh-CN"/>
                    </w:rPr>
                    <w:t>HW49</w:t>
                  </w:r>
                </w:p>
                <w:p w14:paraId="41C631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bCs/>
                      <w:color w:val="auto"/>
                      <w:sz w:val="21"/>
                      <w:szCs w:val="21"/>
                      <w:highlight w:val="none"/>
                    </w:rPr>
                    <w:t>900-041-49</w:t>
                  </w:r>
                </w:p>
              </w:tc>
              <w:tc>
                <w:tcPr>
                  <w:tcW w:w="481" w:type="pct"/>
                  <w:noWrap w:val="0"/>
                  <w:vAlign w:val="center"/>
                </w:tcPr>
                <w:p w14:paraId="74E8E9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highlight w:val="none"/>
                    </w:rPr>
                    <w:t>固态</w:t>
                  </w:r>
                </w:p>
              </w:tc>
              <w:tc>
                <w:tcPr>
                  <w:tcW w:w="529" w:type="pct"/>
                  <w:noWrap w:val="0"/>
                  <w:vAlign w:val="center"/>
                </w:tcPr>
                <w:p w14:paraId="651F6C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color w:val="auto"/>
                      <w:sz w:val="21"/>
                      <w:szCs w:val="21"/>
                      <w:highlight w:val="none"/>
                    </w:rPr>
                    <w:t>T</w:t>
                  </w:r>
                </w:p>
              </w:tc>
              <w:tc>
                <w:tcPr>
                  <w:tcW w:w="602" w:type="pct"/>
                  <w:noWrap w:val="0"/>
                  <w:vAlign w:val="center"/>
                </w:tcPr>
                <w:p w14:paraId="3F45FB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0.5</w:t>
                  </w:r>
                </w:p>
              </w:tc>
              <w:tc>
                <w:tcPr>
                  <w:tcW w:w="974" w:type="pct"/>
                  <w:vMerge w:val="continue"/>
                  <w:noWrap w:val="0"/>
                  <w:vAlign w:val="center"/>
                </w:tcPr>
                <w:p w14:paraId="6D93E5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p>
              </w:tc>
            </w:tr>
            <w:tr w14:paraId="5D87D9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57" w:hRule="atLeast"/>
              </w:trPr>
              <w:tc>
                <w:tcPr>
                  <w:tcW w:w="276" w:type="pct"/>
                  <w:noWrap w:val="0"/>
                  <w:vAlign w:val="center"/>
                </w:tcPr>
                <w:p w14:paraId="770DEC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5</w:t>
                  </w:r>
                </w:p>
              </w:tc>
              <w:tc>
                <w:tcPr>
                  <w:tcW w:w="368" w:type="pct"/>
                  <w:vMerge w:val="continue"/>
                  <w:noWrap w:val="0"/>
                  <w:vAlign w:val="center"/>
                </w:tcPr>
                <w:p w14:paraId="1CAD4BD2">
                  <w:pPr>
                    <w:adjustRightInd w:val="0"/>
                    <w:spacing w:line="360" w:lineRule="atLeast"/>
                    <w:ind w:firstLine="0" w:firstLineChars="0"/>
                    <w:jc w:val="center"/>
                    <w:rPr>
                      <w:rFonts w:hint="eastAsia"/>
                      <w:color w:val="auto"/>
                      <w:sz w:val="21"/>
                      <w:szCs w:val="21"/>
                      <w:lang w:val="en-US" w:eastAsia="zh-CN"/>
                    </w:rPr>
                  </w:pPr>
                </w:p>
              </w:tc>
              <w:tc>
                <w:tcPr>
                  <w:tcW w:w="559" w:type="pct"/>
                  <w:noWrap w:val="0"/>
                  <w:vAlign w:val="center"/>
                </w:tcPr>
                <w:p w14:paraId="2AA4287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s="Times New Roman"/>
                      <w:color w:val="auto"/>
                      <w:sz w:val="21"/>
                      <w:szCs w:val="21"/>
                      <w:highlight w:val="none"/>
                      <w:lang w:val="en-US" w:eastAsia="zh-CN"/>
                    </w:rPr>
                    <w:t>废化学品瓶</w:t>
                  </w:r>
                </w:p>
              </w:tc>
              <w:tc>
                <w:tcPr>
                  <w:tcW w:w="439" w:type="pct"/>
                  <w:shd w:val="clear" w:color="auto" w:fill="auto"/>
                  <w:noWrap w:val="0"/>
                  <w:vAlign w:val="center"/>
                </w:tcPr>
                <w:p w14:paraId="7AF5E9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olor w:val="auto"/>
                      <w:sz w:val="21"/>
                      <w:szCs w:val="21"/>
                      <w:highlight w:val="none"/>
                    </w:rPr>
                    <w:t>危险废物</w:t>
                  </w:r>
                </w:p>
              </w:tc>
              <w:tc>
                <w:tcPr>
                  <w:tcW w:w="768" w:type="pct"/>
                  <w:noWrap w:val="0"/>
                  <w:vAlign w:val="center"/>
                </w:tcPr>
                <w:p w14:paraId="58481A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Cs/>
                      <w:color w:val="auto"/>
                      <w:sz w:val="21"/>
                      <w:szCs w:val="21"/>
                      <w:highlight w:val="none"/>
                      <w:lang w:val="en-US" w:eastAsia="zh-CN"/>
                    </w:rPr>
                  </w:pPr>
                  <w:r>
                    <w:rPr>
                      <w:rFonts w:hint="eastAsia"/>
                      <w:bCs/>
                      <w:color w:val="auto"/>
                      <w:sz w:val="21"/>
                      <w:szCs w:val="21"/>
                      <w:highlight w:val="none"/>
                      <w:lang w:val="en-US" w:eastAsia="zh-CN"/>
                    </w:rPr>
                    <w:t>HW49</w:t>
                  </w:r>
                </w:p>
                <w:p w14:paraId="53A683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bCs/>
                      <w:color w:val="auto"/>
                      <w:sz w:val="21"/>
                      <w:szCs w:val="21"/>
                      <w:highlight w:val="none"/>
                    </w:rPr>
                    <w:t>900-041-49</w:t>
                  </w:r>
                </w:p>
              </w:tc>
              <w:tc>
                <w:tcPr>
                  <w:tcW w:w="481" w:type="pct"/>
                  <w:noWrap w:val="0"/>
                  <w:vAlign w:val="center"/>
                </w:tcPr>
                <w:p w14:paraId="3790DD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highlight w:val="none"/>
                    </w:rPr>
                    <w:t>固态</w:t>
                  </w:r>
                </w:p>
              </w:tc>
              <w:tc>
                <w:tcPr>
                  <w:tcW w:w="529" w:type="pct"/>
                  <w:noWrap w:val="0"/>
                  <w:vAlign w:val="center"/>
                </w:tcPr>
                <w:p w14:paraId="28FD82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color w:val="auto"/>
                      <w:sz w:val="21"/>
                      <w:szCs w:val="21"/>
                      <w:highlight w:val="none"/>
                    </w:rPr>
                    <w:t>T</w:t>
                  </w:r>
                </w:p>
              </w:tc>
              <w:tc>
                <w:tcPr>
                  <w:tcW w:w="602" w:type="pct"/>
                  <w:noWrap w:val="0"/>
                  <w:vAlign w:val="center"/>
                </w:tcPr>
                <w:p w14:paraId="6D8738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0.1</w:t>
                  </w:r>
                </w:p>
              </w:tc>
              <w:tc>
                <w:tcPr>
                  <w:tcW w:w="974" w:type="pct"/>
                  <w:vMerge w:val="continue"/>
                  <w:noWrap w:val="0"/>
                  <w:vAlign w:val="center"/>
                </w:tcPr>
                <w:p w14:paraId="5DE802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p>
              </w:tc>
            </w:tr>
            <w:tr w14:paraId="555823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7" w:hRule="atLeast"/>
              </w:trPr>
              <w:tc>
                <w:tcPr>
                  <w:tcW w:w="276" w:type="pct"/>
                  <w:noWrap w:val="0"/>
                  <w:vAlign w:val="center"/>
                </w:tcPr>
                <w:p w14:paraId="63BD60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6</w:t>
                  </w:r>
                </w:p>
              </w:tc>
              <w:tc>
                <w:tcPr>
                  <w:tcW w:w="368" w:type="pct"/>
                  <w:vMerge w:val="continue"/>
                  <w:noWrap w:val="0"/>
                  <w:vAlign w:val="center"/>
                </w:tcPr>
                <w:p w14:paraId="1979B9BE">
                  <w:pPr>
                    <w:adjustRightInd w:val="0"/>
                    <w:spacing w:line="360" w:lineRule="atLeast"/>
                    <w:ind w:firstLine="0" w:firstLineChars="0"/>
                    <w:jc w:val="center"/>
                    <w:rPr>
                      <w:rFonts w:hint="eastAsia"/>
                      <w:color w:val="auto"/>
                      <w:sz w:val="21"/>
                      <w:szCs w:val="21"/>
                      <w:lang w:val="en-US" w:eastAsia="zh-CN"/>
                    </w:rPr>
                  </w:pPr>
                </w:p>
              </w:tc>
              <w:tc>
                <w:tcPr>
                  <w:tcW w:w="559" w:type="pct"/>
                  <w:noWrap w:val="0"/>
                  <w:vAlign w:val="center"/>
                </w:tcPr>
                <w:p w14:paraId="1933BDC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废毛刷</w:t>
                  </w:r>
                </w:p>
              </w:tc>
              <w:tc>
                <w:tcPr>
                  <w:tcW w:w="439" w:type="pct"/>
                  <w:shd w:val="clear" w:color="auto" w:fill="auto"/>
                  <w:noWrap w:val="0"/>
                  <w:vAlign w:val="center"/>
                </w:tcPr>
                <w:p w14:paraId="2DF345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危险废物</w:t>
                  </w:r>
                </w:p>
              </w:tc>
              <w:tc>
                <w:tcPr>
                  <w:tcW w:w="768" w:type="pct"/>
                  <w:noWrap w:val="0"/>
                  <w:vAlign w:val="center"/>
                </w:tcPr>
                <w:p w14:paraId="411D09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Cs/>
                      <w:color w:val="auto"/>
                      <w:sz w:val="21"/>
                      <w:szCs w:val="21"/>
                      <w:highlight w:val="none"/>
                      <w:lang w:val="en-US" w:eastAsia="zh-CN"/>
                    </w:rPr>
                  </w:pPr>
                  <w:r>
                    <w:rPr>
                      <w:rFonts w:hint="eastAsia"/>
                      <w:bCs/>
                      <w:color w:val="auto"/>
                      <w:sz w:val="21"/>
                      <w:szCs w:val="21"/>
                      <w:highlight w:val="none"/>
                      <w:lang w:val="en-US" w:eastAsia="zh-CN"/>
                    </w:rPr>
                    <w:t>HW49</w:t>
                  </w:r>
                </w:p>
                <w:p w14:paraId="38BCC4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Cs/>
                      <w:color w:val="auto"/>
                      <w:sz w:val="21"/>
                      <w:szCs w:val="21"/>
                      <w:highlight w:val="none"/>
                    </w:rPr>
                  </w:pPr>
                  <w:r>
                    <w:rPr>
                      <w:rFonts w:hint="eastAsia"/>
                      <w:bCs/>
                      <w:color w:val="auto"/>
                      <w:sz w:val="21"/>
                      <w:szCs w:val="21"/>
                      <w:highlight w:val="none"/>
                    </w:rPr>
                    <w:t>900-041-49</w:t>
                  </w:r>
                </w:p>
              </w:tc>
              <w:tc>
                <w:tcPr>
                  <w:tcW w:w="481" w:type="pct"/>
                  <w:noWrap w:val="0"/>
                  <w:vAlign w:val="center"/>
                </w:tcPr>
                <w:p w14:paraId="339296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固态</w:t>
                  </w:r>
                </w:p>
              </w:tc>
              <w:tc>
                <w:tcPr>
                  <w:tcW w:w="529" w:type="pct"/>
                  <w:noWrap w:val="0"/>
                  <w:vAlign w:val="center"/>
                </w:tcPr>
                <w:p w14:paraId="7A750D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highlight w:val="none"/>
                    </w:rPr>
                  </w:pPr>
                  <w:r>
                    <w:rPr>
                      <w:color w:val="auto"/>
                      <w:sz w:val="21"/>
                      <w:szCs w:val="21"/>
                      <w:highlight w:val="none"/>
                    </w:rPr>
                    <w:t>T</w:t>
                  </w:r>
                </w:p>
              </w:tc>
              <w:tc>
                <w:tcPr>
                  <w:tcW w:w="602" w:type="pct"/>
                  <w:noWrap w:val="0"/>
                  <w:vAlign w:val="center"/>
                </w:tcPr>
                <w:p w14:paraId="4A3461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0.2</w:t>
                  </w:r>
                </w:p>
              </w:tc>
              <w:tc>
                <w:tcPr>
                  <w:tcW w:w="974" w:type="pct"/>
                  <w:vMerge w:val="continue"/>
                  <w:noWrap w:val="0"/>
                  <w:vAlign w:val="center"/>
                </w:tcPr>
                <w:p w14:paraId="2667AB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p>
              </w:tc>
            </w:tr>
            <w:tr w14:paraId="27FB0E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5" w:hRule="atLeast"/>
              </w:trPr>
              <w:tc>
                <w:tcPr>
                  <w:tcW w:w="276" w:type="pct"/>
                  <w:noWrap w:val="0"/>
                  <w:vAlign w:val="center"/>
                </w:tcPr>
                <w:p w14:paraId="155195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7</w:t>
                  </w:r>
                </w:p>
              </w:tc>
              <w:tc>
                <w:tcPr>
                  <w:tcW w:w="368" w:type="pct"/>
                  <w:vMerge w:val="continue"/>
                  <w:noWrap w:val="0"/>
                  <w:vAlign w:val="center"/>
                </w:tcPr>
                <w:p w14:paraId="0FD0882A">
                  <w:pPr>
                    <w:adjustRightInd w:val="0"/>
                    <w:spacing w:line="360" w:lineRule="atLeast"/>
                    <w:ind w:firstLine="0" w:firstLineChars="0"/>
                    <w:jc w:val="center"/>
                    <w:rPr>
                      <w:rFonts w:hint="eastAsia"/>
                      <w:color w:val="auto"/>
                      <w:sz w:val="21"/>
                      <w:szCs w:val="21"/>
                      <w:lang w:val="en-US" w:eastAsia="zh-CN"/>
                    </w:rPr>
                  </w:pPr>
                </w:p>
              </w:tc>
              <w:tc>
                <w:tcPr>
                  <w:tcW w:w="559" w:type="pct"/>
                  <w:noWrap w:val="0"/>
                  <w:vAlign w:val="center"/>
                </w:tcPr>
                <w:p w14:paraId="38E5CA9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s="Times New Roman"/>
                      <w:color w:val="auto"/>
                      <w:sz w:val="21"/>
                      <w:szCs w:val="21"/>
                      <w:highlight w:val="none"/>
                      <w:lang w:val="en-US" w:eastAsia="zh-CN"/>
                    </w:rPr>
                    <w:t>废润滑油桶</w:t>
                  </w:r>
                </w:p>
              </w:tc>
              <w:tc>
                <w:tcPr>
                  <w:tcW w:w="439" w:type="pct"/>
                  <w:shd w:val="clear" w:color="auto" w:fill="auto"/>
                  <w:noWrap w:val="0"/>
                  <w:vAlign w:val="center"/>
                </w:tcPr>
                <w:p w14:paraId="360A1F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olor w:val="auto"/>
                      <w:sz w:val="21"/>
                      <w:szCs w:val="21"/>
                      <w:highlight w:val="none"/>
                    </w:rPr>
                    <w:t>危险废物</w:t>
                  </w:r>
                </w:p>
              </w:tc>
              <w:tc>
                <w:tcPr>
                  <w:tcW w:w="768" w:type="pct"/>
                  <w:noWrap w:val="0"/>
                  <w:vAlign w:val="center"/>
                </w:tcPr>
                <w:p w14:paraId="5140D4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Cs/>
                      <w:color w:val="auto"/>
                      <w:sz w:val="21"/>
                      <w:szCs w:val="21"/>
                      <w:highlight w:val="none"/>
                      <w:lang w:val="en-US" w:eastAsia="zh-CN"/>
                    </w:rPr>
                  </w:pPr>
                  <w:r>
                    <w:rPr>
                      <w:rFonts w:hint="eastAsia"/>
                      <w:bCs/>
                      <w:color w:val="auto"/>
                      <w:sz w:val="21"/>
                      <w:szCs w:val="21"/>
                      <w:highlight w:val="none"/>
                      <w:lang w:val="en-US" w:eastAsia="zh-CN"/>
                    </w:rPr>
                    <w:t>HW08</w:t>
                  </w:r>
                </w:p>
                <w:p w14:paraId="558CDE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bCs/>
                      <w:color w:val="auto"/>
                      <w:sz w:val="21"/>
                      <w:szCs w:val="21"/>
                      <w:highlight w:val="none"/>
                    </w:rPr>
                    <w:t>900-</w:t>
                  </w:r>
                  <w:r>
                    <w:rPr>
                      <w:rFonts w:hint="eastAsia"/>
                      <w:bCs/>
                      <w:color w:val="auto"/>
                      <w:sz w:val="21"/>
                      <w:szCs w:val="21"/>
                      <w:highlight w:val="none"/>
                      <w:lang w:val="en-US" w:eastAsia="zh-CN"/>
                    </w:rPr>
                    <w:t>249</w:t>
                  </w:r>
                  <w:r>
                    <w:rPr>
                      <w:rFonts w:hint="eastAsia"/>
                      <w:bCs/>
                      <w:color w:val="auto"/>
                      <w:sz w:val="21"/>
                      <w:szCs w:val="21"/>
                      <w:highlight w:val="none"/>
                    </w:rPr>
                    <w:t>-</w:t>
                  </w:r>
                  <w:r>
                    <w:rPr>
                      <w:rFonts w:hint="eastAsia"/>
                      <w:bCs/>
                      <w:color w:val="auto"/>
                      <w:sz w:val="21"/>
                      <w:szCs w:val="21"/>
                      <w:highlight w:val="none"/>
                      <w:lang w:val="en-US" w:eastAsia="zh-CN"/>
                    </w:rPr>
                    <w:t>08</w:t>
                  </w:r>
                </w:p>
              </w:tc>
              <w:tc>
                <w:tcPr>
                  <w:tcW w:w="481" w:type="pct"/>
                  <w:noWrap w:val="0"/>
                  <w:vAlign w:val="center"/>
                </w:tcPr>
                <w:p w14:paraId="1B59F7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highlight w:val="none"/>
                    </w:rPr>
                    <w:t>固态</w:t>
                  </w:r>
                </w:p>
              </w:tc>
              <w:tc>
                <w:tcPr>
                  <w:tcW w:w="529" w:type="pct"/>
                  <w:noWrap w:val="0"/>
                  <w:vAlign w:val="center"/>
                </w:tcPr>
                <w:p w14:paraId="01D295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color w:val="auto"/>
                      <w:sz w:val="21"/>
                      <w:szCs w:val="21"/>
                      <w:highlight w:val="none"/>
                    </w:rPr>
                    <w:t>T</w:t>
                  </w:r>
                </w:p>
              </w:tc>
              <w:tc>
                <w:tcPr>
                  <w:tcW w:w="602" w:type="pct"/>
                  <w:noWrap w:val="0"/>
                  <w:vAlign w:val="center"/>
                </w:tcPr>
                <w:p w14:paraId="13D1DB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0.2</w:t>
                  </w:r>
                </w:p>
              </w:tc>
              <w:tc>
                <w:tcPr>
                  <w:tcW w:w="974" w:type="pct"/>
                  <w:vMerge w:val="continue"/>
                  <w:noWrap w:val="0"/>
                  <w:vAlign w:val="center"/>
                </w:tcPr>
                <w:p w14:paraId="13E19D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p>
              </w:tc>
            </w:tr>
            <w:tr w14:paraId="06562B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276" w:type="pct"/>
                  <w:noWrap w:val="0"/>
                  <w:vAlign w:val="center"/>
                </w:tcPr>
                <w:p w14:paraId="4B1DCA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8</w:t>
                  </w:r>
                </w:p>
              </w:tc>
              <w:tc>
                <w:tcPr>
                  <w:tcW w:w="368" w:type="pct"/>
                  <w:noWrap w:val="0"/>
                  <w:vAlign w:val="center"/>
                </w:tcPr>
                <w:p w14:paraId="5BF363B1">
                  <w:pPr>
                    <w:adjustRightInd w:val="0"/>
                    <w:spacing w:line="360" w:lineRule="atLeast"/>
                    <w:ind w:firstLine="0" w:firstLineChars="0"/>
                    <w:jc w:val="center"/>
                    <w:rPr>
                      <w:rFonts w:hint="eastAsia"/>
                      <w:color w:val="auto"/>
                      <w:sz w:val="21"/>
                      <w:szCs w:val="21"/>
                      <w:lang w:val="en-US" w:eastAsia="zh-CN"/>
                    </w:rPr>
                  </w:pPr>
                  <w:r>
                    <w:rPr>
                      <w:rFonts w:hint="eastAsia"/>
                      <w:bCs/>
                      <w:color w:val="auto"/>
                      <w:sz w:val="21"/>
                      <w:lang w:val="en-US" w:eastAsia="zh-CN"/>
                    </w:rPr>
                    <w:t>包装</w:t>
                  </w:r>
                </w:p>
              </w:tc>
              <w:tc>
                <w:tcPr>
                  <w:tcW w:w="559" w:type="pct"/>
                  <w:noWrap w:val="0"/>
                  <w:vAlign w:val="center"/>
                </w:tcPr>
                <w:p w14:paraId="0BB544F1">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eastAsia="zh-CN"/>
                    </w:rPr>
                    <w:t>废</w:t>
                  </w:r>
                  <w:r>
                    <w:rPr>
                      <w:rFonts w:hint="eastAsia"/>
                      <w:color w:val="auto"/>
                      <w:sz w:val="21"/>
                      <w:szCs w:val="21"/>
                      <w:lang w:val="en-US" w:eastAsia="zh-CN"/>
                    </w:rPr>
                    <w:t>外包材</w:t>
                  </w:r>
                </w:p>
              </w:tc>
              <w:tc>
                <w:tcPr>
                  <w:tcW w:w="439" w:type="pct"/>
                  <w:shd w:val="clear" w:color="auto" w:fill="auto"/>
                  <w:noWrap w:val="0"/>
                  <w:vAlign w:val="center"/>
                </w:tcPr>
                <w:p w14:paraId="7835A1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一般固废</w:t>
                  </w:r>
                </w:p>
              </w:tc>
              <w:tc>
                <w:tcPr>
                  <w:tcW w:w="768" w:type="pct"/>
                  <w:noWrap w:val="0"/>
                  <w:vAlign w:val="center"/>
                </w:tcPr>
                <w:p w14:paraId="5B731A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highlight w:val="none"/>
                    </w:rPr>
                  </w:pPr>
                  <w:r>
                    <w:rPr>
                      <w:rFonts w:hint="eastAsia" w:ascii="Times New Roman" w:hAnsi="Times New Roman" w:eastAsia="宋体" w:cs="Times New Roman"/>
                      <w:bCs/>
                      <w:color w:val="auto"/>
                      <w:sz w:val="21"/>
                      <w:szCs w:val="21"/>
                      <w:highlight w:val="none"/>
                    </w:rPr>
                    <w:t xml:space="preserve">900-003-S17 </w:t>
                  </w:r>
                </w:p>
                <w:p w14:paraId="225998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ascii="Times New Roman" w:hAnsi="Times New Roman" w:eastAsia="宋体" w:cs="Times New Roman"/>
                      <w:bCs/>
                      <w:color w:val="auto"/>
                      <w:sz w:val="21"/>
                      <w:szCs w:val="21"/>
                      <w:highlight w:val="none"/>
                    </w:rPr>
                    <w:t>900-005-S17</w:t>
                  </w:r>
                </w:p>
              </w:tc>
              <w:tc>
                <w:tcPr>
                  <w:tcW w:w="481" w:type="pct"/>
                  <w:noWrap w:val="0"/>
                  <w:vAlign w:val="center"/>
                </w:tcPr>
                <w:p w14:paraId="4030D8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val="en-US" w:eastAsia="zh-CN"/>
                    </w:rPr>
                    <w:t>固态</w:t>
                  </w:r>
                </w:p>
              </w:tc>
              <w:tc>
                <w:tcPr>
                  <w:tcW w:w="529" w:type="pct"/>
                  <w:noWrap w:val="0"/>
                  <w:vAlign w:val="center"/>
                </w:tcPr>
                <w:p w14:paraId="3B84A6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w:t>
                  </w:r>
                </w:p>
              </w:tc>
              <w:tc>
                <w:tcPr>
                  <w:tcW w:w="602" w:type="pct"/>
                  <w:noWrap w:val="0"/>
                  <w:vAlign w:val="center"/>
                </w:tcPr>
                <w:p w14:paraId="7A92C4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2</w:t>
                  </w:r>
                </w:p>
              </w:tc>
              <w:tc>
                <w:tcPr>
                  <w:tcW w:w="974" w:type="pct"/>
                  <w:noWrap w:val="0"/>
                  <w:vAlign w:val="center"/>
                </w:tcPr>
                <w:p w14:paraId="3AA40E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外售</w:t>
                  </w:r>
                </w:p>
              </w:tc>
            </w:tr>
            <w:tr w14:paraId="673F0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276" w:type="pct"/>
                  <w:noWrap w:val="0"/>
                  <w:vAlign w:val="center"/>
                </w:tcPr>
                <w:p w14:paraId="6437DF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9</w:t>
                  </w:r>
                </w:p>
              </w:tc>
              <w:tc>
                <w:tcPr>
                  <w:tcW w:w="368" w:type="pct"/>
                  <w:vMerge w:val="restart"/>
                  <w:noWrap w:val="0"/>
                  <w:vAlign w:val="center"/>
                </w:tcPr>
                <w:p w14:paraId="1A3BF2B2">
                  <w:pPr>
                    <w:adjustRightInd w:val="0"/>
                    <w:spacing w:line="360" w:lineRule="atLeast"/>
                    <w:ind w:firstLine="0" w:firstLineChars="0"/>
                    <w:jc w:val="center"/>
                    <w:rPr>
                      <w:rFonts w:hint="eastAsia"/>
                      <w:color w:val="auto"/>
                      <w:sz w:val="21"/>
                      <w:szCs w:val="21"/>
                      <w:lang w:val="en-US" w:eastAsia="zh-CN"/>
                    </w:rPr>
                  </w:pPr>
                  <w:r>
                    <w:rPr>
                      <w:rFonts w:hint="eastAsia"/>
                      <w:bCs/>
                      <w:color w:val="auto"/>
                      <w:sz w:val="21"/>
                      <w:lang w:val="en-US" w:eastAsia="zh-CN"/>
                    </w:rPr>
                    <w:t>废气处理</w:t>
                  </w:r>
                </w:p>
              </w:tc>
              <w:tc>
                <w:tcPr>
                  <w:tcW w:w="559" w:type="pct"/>
                  <w:noWrap w:val="0"/>
                  <w:vAlign w:val="center"/>
                </w:tcPr>
                <w:p w14:paraId="3FC5D1F6">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废活性炭</w:t>
                  </w:r>
                </w:p>
              </w:tc>
              <w:tc>
                <w:tcPr>
                  <w:tcW w:w="439" w:type="pct"/>
                  <w:shd w:val="clear" w:color="auto" w:fill="auto"/>
                  <w:noWrap w:val="0"/>
                  <w:vAlign w:val="center"/>
                </w:tcPr>
                <w:p w14:paraId="27ECD7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olor w:val="auto"/>
                      <w:sz w:val="21"/>
                      <w:szCs w:val="21"/>
                      <w:highlight w:val="none"/>
                    </w:rPr>
                    <w:t>危险废物</w:t>
                  </w:r>
                </w:p>
              </w:tc>
              <w:tc>
                <w:tcPr>
                  <w:tcW w:w="768" w:type="pct"/>
                  <w:noWrap w:val="0"/>
                  <w:vAlign w:val="center"/>
                </w:tcPr>
                <w:p w14:paraId="3A6DE2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Cs/>
                      <w:color w:val="auto"/>
                      <w:sz w:val="21"/>
                      <w:szCs w:val="21"/>
                      <w:highlight w:val="none"/>
                      <w:lang w:val="en-US" w:eastAsia="zh-CN"/>
                    </w:rPr>
                  </w:pPr>
                  <w:r>
                    <w:rPr>
                      <w:rFonts w:hint="eastAsia"/>
                      <w:bCs/>
                      <w:color w:val="auto"/>
                      <w:sz w:val="21"/>
                      <w:szCs w:val="21"/>
                      <w:highlight w:val="none"/>
                      <w:lang w:val="en-US" w:eastAsia="zh-CN"/>
                    </w:rPr>
                    <w:t>HW49</w:t>
                  </w:r>
                </w:p>
                <w:p w14:paraId="24971E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bCs/>
                      <w:color w:val="auto"/>
                      <w:sz w:val="21"/>
                      <w:szCs w:val="21"/>
                      <w:highlight w:val="none"/>
                    </w:rPr>
                    <w:t>900-039-49</w:t>
                  </w:r>
                </w:p>
              </w:tc>
              <w:tc>
                <w:tcPr>
                  <w:tcW w:w="481" w:type="pct"/>
                  <w:noWrap w:val="0"/>
                  <w:vAlign w:val="center"/>
                </w:tcPr>
                <w:p w14:paraId="442173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highlight w:val="none"/>
                    </w:rPr>
                    <w:t>固态</w:t>
                  </w:r>
                </w:p>
              </w:tc>
              <w:tc>
                <w:tcPr>
                  <w:tcW w:w="529" w:type="pct"/>
                  <w:noWrap w:val="0"/>
                  <w:vAlign w:val="center"/>
                </w:tcPr>
                <w:p w14:paraId="3A4740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color w:val="auto"/>
                      <w:sz w:val="21"/>
                      <w:szCs w:val="21"/>
                      <w:highlight w:val="none"/>
                    </w:rPr>
                    <w:t>T</w:t>
                  </w:r>
                </w:p>
              </w:tc>
              <w:tc>
                <w:tcPr>
                  <w:tcW w:w="602" w:type="pct"/>
                  <w:noWrap w:val="0"/>
                  <w:vAlign w:val="center"/>
                </w:tcPr>
                <w:p w14:paraId="6620BD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w:t>
                  </w:r>
                </w:p>
              </w:tc>
              <w:tc>
                <w:tcPr>
                  <w:tcW w:w="974" w:type="pct"/>
                  <w:vMerge w:val="restart"/>
                  <w:noWrap w:val="0"/>
                  <w:vAlign w:val="center"/>
                </w:tcPr>
                <w:p w14:paraId="54F907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危险废物贮存库暂存，定期交有资质单位处置</w:t>
                  </w:r>
                </w:p>
              </w:tc>
            </w:tr>
            <w:tr w14:paraId="34113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276" w:type="pct"/>
                  <w:noWrap w:val="0"/>
                  <w:vAlign w:val="center"/>
                </w:tcPr>
                <w:p w14:paraId="610834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10</w:t>
                  </w:r>
                </w:p>
              </w:tc>
              <w:tc>
                <w:tcPr>
                  <w:tcW w:w="368" w:type="pct"/>
                  <w:vMerge w:val="continue"/>
                  <w:noWrap w:val="0"/>
                  <w:vAlign w:val="center"/>
                </w:tcPr>
                <w:p w14:paraId="61358293">
                  <w:pPr>
                    <w:adjustRightInd w:val="0"/>
                    <w:spacing w:line="360" w:lineRule="atLeast"/>
                    <w:ind w:firstLine="0" w:firstLineChars="0"/>
                    <w:jc w:val="center"/>
                    <w:rPr>
                      <w:rFonts w:hint="eastAsia"/>
                      <w:color w:val="auto"/>
                      <w:sz w:val="21"/>
                      <w:szCs w:val="21"/>
                      <w:lang w:val="en-US" w:eastAsia="zh-CN"/>
                    </w:rPr>
                  </w:pPr>
                </w:p>
              </w:tc>
              <w:tc>
                <w:tcPr>
                  <w:tcW w:w="559" w:type="pct"/>
                  <w:noWrap w:val="0"/>
                  <w:vAlign w:val="center"/>
                </w:tcPr>
                <w:p w14:paraId="2C9C713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s="Times New Roman"/>
                      <w:color w:val="auto"/>
                      <w:sz w:val="21"/>
                      <w:szCs w:val="21"/>
                      <w:highlight w:val="none"/>
                      <w:lang w:val="en-US" w:eastAsia="zh-CN"/>
                    </w:rPr>
                    <w:t>废SDG吸附材料</w:t>
                  </w:r>
                </w:p>
              </w:tc>
              <w:tc>
                <w:tcPr>
                  <w:tcW w:w="439" w:type="pct"/>
                  <w:shd w:val="clear" w:color="auto" w:fill="auto"/>
                  <w:noWrap w:val="0"/>
                  <w:vAlign w:val="center"/>
                </w:tcPr>
                <w:p w14:paraId="5ADC0E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olor w:val="auto"/>
                      <w:sz w:val="21"/>
                      <w:szCs w:val="21"/>
                      <w:highlight w:val="none"/>
                    </w:rPr>
                    <w:t>危险废物</w:t>
                  </w:r>
                </w:p>
              </w:tc>
              <w:tc>
                <w:tcPr>
                  <w:tcW w:w="768" w:type="pct"/>
                  <w:noWrap w:val="0"/>
                  <w:vAlign w:val="center"/>
                </w:tcPr>
                <w:p w14:paraId="61D1E4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Cs/>
                      <w:color w:val="auto"/>
                      <w:sz w:val="21"/>
                      <w:szCs w:val="21"/>
                      <w:highlight w:val="none"/>
                      <w:lang w:val="en-US" w:eastAsia="zh-CN"/>
                    </w:rPr>
                  </w:pPr>
                  <w:r>
                    <w:rPr>
                      <w:rFonts w:hint="eastAsia"/>
                      <w:bCs/>
                      <w:color w:val="auto"/>
                      <w:sz w:val="21"/>
                      <w:szCs w:val="21"/>
                      <w:highlight w:val="none"/>
                      <w:lang w:val="en-US" w:eastAsia="zh-CN"/>
                    </w:rPr>
                    <w:t>HW49</w:t>
                  </w:r>
                </w:p>
                <w:p w14:paraId="0FC90C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bCs/>
                      <w:color w:val="auto"/>
                      <w:sz w:val="21"/>
                      <w:szCs w:val="21"/>
                      <w:highlight w:val="none"/>
                    </w:rPr>
                    <w:t>900-041-49</w:t>
                  </w:r>
                </w:p>
              </w:tc>
              <w:tc>
                <w:tcPr>
                  <w:tcW w:w="481" w:type="pct"/>
                  <w:noWrap w:val="0"/>
                  <w:vAlign w:val="center"/>
                </w:tcPr>
                <w:p w14:paraId="7C7EF5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highlight w:val="none"/>
                    </w:rPr>
                    <w:t>固态</w:t>
                  </w:r>
                </w:p>
              </w:tc>
              <w:tc>
                <w:tcPr>
                  <w:tcW w:w="529" w:type="pct"/>
                  <w:noWrap w:val="0"/>
                  <w:vAlign w:val="center"/>
                </w:tcPr>
                <w:p w14:paraId="1ABC42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color w:val="auto"/>
                      <w:sz w:val="21"/>
                      <w:szCs w:val="21"/>
                      <w:highlight w:val="none"/>
                    </w:rPr>
                    <w:t>T</w:t>
                  </w:r>
                </w:p>
              </w:tc>
              <w:tc>
                <w:tcPr>
                  <w:tcW w:w="602" w:type="pct"/>
                  <w:noWrap w:val="0"/>
                  <w:vAlign w:val="center"/>
                </w:tcPr>
                <w:p w14:paraId="2C4033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3</w:t>
                  </w:r>
                </w:p>
              </w:tc>
              <w:tc>
                <w:tcPr>
                  <w:tcW w:w="974" w:type="pct"/>
                  <w:vMerge w:val="continue"/>
                  <w:noWrap w:val="0"/>
                  <w:vAlign w:val="center"/>
                </w:tcPr>
                <w:p w14:paraId="265C58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p>
              </w:tc>
            </w:tr>
            <w:tr w14:paraId="5F58C7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0" w:hRule="atLeast"/>
              </w:trPr>
              <w:tc>
                <w:tcPr>
                  <w:tcW w:w="276" w:type="pct"/>
                  <w:noWrap w:val="0"/>
                  <w:vAlign w:val="center"/>
                </w:tcPr>
                <w:p w14:paraId="2B0363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11</w:t>
                  </w:r>
                </w:p>
              </w:tc>
              <w:tc>
                <w:tcPr>
                  <w:tcW w:w="368" w:type="pct"/>
                  <w:noWrap w:val="0"/>
                  <w:vAlign w:val="center"/>
                </w:tcPr>
                <w:p w14:paraId="0D576F2E">
                  <w:pPr>
                    <w:adjustRightInd w:val="0"/>
                    <w:spacing w:line="360" w:lineRule="atLeast"/>
                    <w:ind w:firstLine="0" w:firstLineChars="0"/>
                    <w:jc w:val="center"/>
                    <w:rPr>
                      <w:rFonts w:hint="eastAsia"/>
                      <w:color w:val="auto"/>
                      <w:sz w:val="21"/>
                      <w:szCs w:val="21"/>
                      <w:lang w:val="en-US" w:eastAsia="zh-CN"/>
                    </w:rPr>
                  </w:pPr>
                  <w:r>
                    <w:rPr>
                      <w:rFonts w:hint="eastAsia"/>
                      <w:bCs/>
                      <w:color w:val="auto"/>
                      <w:sz w:val="21"/>
                      <w:lang w:val="en-US" w:eastAsia="zh-CN"/>
                    </w:rPr>
                    <w:t>餐厅</w:t>
                  </w:r>
                </w:p>
              </w:tc>
              <w:tc>
                <w:tcPr>
                  <w:tcW w:w="559" w:type="pct"/>
                  <w:noWrap w:val="0"/>
                  <w:vAlign w:val="center"/>
                </w:tcPr>
                <w:p w14:paraId="1022D9F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废油脂</w:t>
                  </w:r>
                </w:p>
              </w:tc>
              <w:tc>
                <w:tcPr>
                  <w:tcW w:w="439" w:type="pct"/>
                  <w:shd w:val="clear" w:color="auto" w:fill="auto"/>
                  <w:noWrap w:val="0"/>
                  <w:vAlign w:val="center"/>
                </w:tcPr>
                <w:p w14:paraId="145C77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768" w:type="pct"/>
                  <w:noWrap w:val="0"/>
                  <w:vAlign w:val="center"/>
                </w:tcPr>
                <w:p w14:paraId="25EB88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w:t>
                  </w:r>
                </w:p>
              </w:tc>
              <w:tc>
                <w:tcPr>
                  <w:tcW w:w="481" w:type="pct"/>
                  <w:shd w:val="clear" w:color="auto" w:fill="auto"/>
                  <w:noWrap w:val="0"/>
                  <w:vAlign w:val="center"/>
                </w:tcPr>
                <w:p w14:paraId="7144AE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固态</w:t>
                  </w:r>
                </w:p>
              </w:tc>
              <w:tc>
                <w:tcPr>
                  <w:tcW w:w="529" w:type="pct"/>
                  <w:shd w:val="clear" w:color="auto" w:fill="auto"/>
                  <w:noWrap w:val="0"/>
                  <w:vAlign w:val="center"/>
                </w:tcPr>
                <w:p w14:paraId="0C659C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602" w:type="pct"/>
                  <w:noWrap w:val="0"/>
                  <w:vAlign w:val="center"/>
                </w:tcPr>
                <w:p w14:paraId="339A3C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0.8</w:t>
                  </w:r>
                </w:p>
              </w:tc>
              <w:tc>
                <w:tcPr>
                  <w:tcW w:w="974" w:type="pct"/>
                  <w:noWrap w:val="0"/>
                  <w:vAlign w:val="center"/>
                </w:tcPr>
                <w:p w14:paraId="0AE937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定点收集委托有资质单位转运处置</w:t>
                  </w:r>
                </w:p>
              </w:tc>
            </w:tr>
            <w:tr w14:paraId="00984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276" w:type="pct"/>
                  <w:noWrap w:val="0"/>
                  <w:vAlign w:val="center"/>
                </w:tcPr>
                <w:p w14:paraId="17C4B2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12</w:t>
                  </w:r>
                </w:p>
              </w:tc>
              <w:tc>
                <w:tcPr>
                  <w:tcW w:w="368" w:type="pct"/>
                  <w:noWrap w:val="0"/>
                  <w:vAlign w:val="center"/>
                </w:tcPr>
                <w:p w14:paraId="4B17C739">
                  <w:pPr>
                    <w:adjustRightInd w:val="0"/>
                    <w:spacing w:line="360" w:lineRule="atLeast"/>
                    <w:ind w:firstLine="0" w:firstLineChars="0"/>
                    <w:jc w:val="center"/>
                    <w:rPr>
                      <w:rFonts w:hint="default"/>
                      <w:bCs/>
                      <w:color w:val="auto"/>
                      <w:sz w:val="21"/>
                      <w:lang w:val="en-US" w:eastAsia="zh-CN"/>
                    </w:rPr>
                  </w:pPr>
                  <w:r>
                    <w:rPr>
                      <w:rFonts w:hint="eastAsia"/>
                      <w:bCs/>
                      <w:color w:val="auto"/>
                      <w:sz w:val="21"/>
                      <w:lang w:val="en-US" w:eastAsia="zh-CN"/>
                    </w:rPr>
                    <w:t>职工生活</w:t>
                  </w:r>
                </w:p>
              </w:tc>
              <w:tc>
                <w:tcPr>
                  <w:tcW w:w="559" w:type="pct"/>
                  <w:noWrap w:val="0"/>
                  <w:vAlign w:val="center"/>
                </w:tcPr>
                <w:p w14:paraId="62BD15D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生活垃圾</w:t>
                  </w:r>
                </w:p>
              </w:tc>
              <w:tc>
                <w:tcPr>
                  <w:tcW w:w="439" w:type="pct"/>
                  <w:shd w:val="clear" w:color="auto" w:fill="auto"/>
                  <w:noWrap w:val="0"/>
                  <w:vAlign w:val="center"/>
                </w:tcPr>
                <w:p w14:paraId="0C5BE3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768" w:type="pct"/>
                  <w:noWrap w:val="0"/>
                  <w:vAlign w:val="center"/>
                </w:tcPr>
                <w:p w14:paraId="7B5E86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w:t>
                  </w:r>
                </w:p>
              </w:tc>
              <w:tc>
                <w:tcPr>
                  <w:tcW w:w="481" w:type="pct"/>
                  <w:shd w:val="clear" w:color="auto" w:fill="auto"/>
                  <w:noWrap w:val="0"/>
                  <w:vAlign w:val="center"/>
                </w:tcPr>
                <w:p w14:paraId="3ED3B8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固态</w:t>
                  </w:r>
                </w:p>
              </w:tc>
              <w:tc>
                <w:tcPr>
                  <w:tcW w:w="529" w:type="pct"/>
                  <w:shd w:val="clear" w:color="auto" w:fill="auto"/>
                  <w:noWrap w:val="0"/>
                  <w:vAlign w:val="center"/>
                </w:tcPr>
                <w:p w14:paraId="720560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602" w:type="pct"/>
                  <w:noWrap w:val="0"/>
                  <w:vAlign w:val="center"/>
                </w:tcPr>
                <w:p w14:paraId="1D6C4D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301.2</w:t>
                  </w:r>
                </w:p>
              </w:tc>
              <w:tc>
                <w:tcPr>
                  <w:tcW w:w="974" w:type="pct"/>
                  <w:noWrap w:val="0"/>
                  <w:vAlign w:val="center"/>
                </w:tcPr>
                <w:p w14:paraId="755F84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分类收集后由环卫部门及时清运</w:t>
                  </w:r>
                </w:p>
              </w:tc>
            </w:tr>
          </w:tbl>
          <w:p w14:paraId="768A701C">
            <w:pPr>
              <w:ind w:firstLine="482"/>
              <w:rPr>
                <w:b/>
                <w:bCs/>
                <w:color w:val="auto"/>
              </w:rPr>
            </w:pPr>
            <w:r>
              <w:rPr>
                <w:rFonts w:hint="eastAsia"/>
                <w:b/>
                <w:bCs/>
                <w:color w:val="auto"/>
                <w:lang w:eastAsia="zh-CN"/>
              </w:rPr>
              <w:t>（</w:t>
            </w:r>
            <w:r>
              <w:rPr>
                <w:rFonts w:hint="eastAsia"/>
                <w:b/>
                <w:bCs/>
                <w:color w:val="auto"/>
                <w:lang w:val="en-US" w:eastAsia="zh-CN"/>
              </w:rPr>
              <w:t>2）</w:t>
            </w:r>
            <w:r>
              <w:rPr>
                <w:b/>
                <w:bCs/>
                <w:color w:val="auto"/>
              </w:rPr>
              <w:t>环境管理要求</w:t>
            </w:r>
          </w:p>
          <w:p w14:paraId="1785D188">
            <w:pPr>
              <w:spacing w:line="520" w:lineRule="exact"/>
              <w:ind w:firstLine="480" w:firstLineChars="200"/>
              <w:rPr>
                <w:rFonts w:hint="eastAsia"/>
                <w:color w:val="auto"/>
                <w:sz w:val="24"/>
              </w:rPr>
            </w:pPr>
            <w:r>
              <w:rPr>
                <w:rFonts w:hint="eastAsia"/>
                <w:color w:val="auto"/>
                <w:sz w:val="24"/>
              </w:rPr>
              <w:t>项目产生</w:t>
            </w:r>
            <w:r>
              <w:rPr>
                <w:rFonts w:hint="eastAsia"/>
                <w:snapToGrid w:val="0"/>
                <w:color w:val="auto"/>
                <w:sz w:val="24"/>
              </w:rPr>
              <w:t>的</w:t>
            </w:r>
            <w:r>
              <w:rPr>
                <w:color w:val="auto"/>
                <w:sz w:val="24"/>
              </w:rPr>
              <w:t>危险废物</w:t>
            </w:r>
            <w:r>
              <w:rPr>
                <w:rFonts w:hint="eastAsia"/>
                <w:color w:val="auto"/>
                <w:sz w:val="24"/>
                <w:lang w:val="en-US" w:eastAsia="zh-CN"/>
              </w:rPr>
              <w:t>主要为研发废料、废化学品包装物、废活性炭，均</w:t>
            </w:r>
            <w:r>
              <w:rPr>
                <w:color w:val="auto"/>
                <w:sz w:val="24"/>
              </w:rPr>
              <w:t>暂存于危险</w:t>
            </w:r>
            <w:r>
              <w:rPr>
                <w:snapToGrid w:val="0"/>
                <w:color w:val="auto"/>
                <w:sz w:val="24"/>
              </w:rPr>
              <w:t>废物</w:t>
            </w:r>
            <w:r>
              <w:rPr>
                <w:rFonts w:hint="eastAsia"/>
                <w:snapToGrid w:val="0"/>
                <w:color w:val="auto"/>
                <w:sz w:val="24"/>
                <w:lang w:eastAsia="zh-CN"/>
              </w:rPr>
              <w:t>贮</w:t>
            </w:r>
            <w:r>
              <w:rPr>
                <w:snapToGrid w:val="0"/>
                <w:color w:val="auto"/>
                <w:sz w:val="24"/>
              </w:rPr>
              <w:t>存</w:t>
            </w:r>
            <w:r>
              <w:rPr>
                <w:rFonts w:hint="eastAsia"/>
                <w:snapToGrid w:val="0"/>
                <w:color w:val="auto"/>
                <w:sz w:val="24"/>
                <w:lang w:eastAsia="zh-CN"/>
              </w:rPr>
              <w:t>库，</w:t>
            </w:r>
            <w:r>
              <w:rPr>
                <w:color w:val="auto"/>
                <w:sz w:val="24"/>
              </w:rPr>
              <w:t>定期交由有资质的单位处置</w:t>
            </w:r>
            <w:r>
              <w:rPr>
                <w:rFonts w:hint="eastAsia"/>
                <w:color w:val="auto"/>
                <w:sz w:val="24"/>
              </w:rPr>
              <w:t>。</w:t>
            </w:r>
          </w:p>
          <w:p w14:paraId="3545BEBD">
            <w:pPr>
              <w:spacing w:line="520" w:lineRule="exact"/>
              <w:ind w:firstLine="480" w:firstLineChars="200"/>
              <w:rPr>
                <w:rFonts w:hint="eastAsia"/>
                <w:color w:val="auto"/>
                <w:sz w:val="24"/>
                <w:lang w:val="en-US" w:eastAsia="zh-CN"/>
              </w:rPr>
            </w:pPr>
            <w:r>
              <w:rPr>
                <w:rFonts w:hint="eastAsia"/>
                <w:color w:val="auto"/>
                <w:sz w:val="24"/>
                <w:highlight w:val="none"/>
                <w:lang w:val="en-US" w:eastAsia="zh-CN"/>
              </w:rPr>
              <w:t>本次新建一座</w:t>
            </w:r>
            <w:r>
              <w:rPr>
                <w:color w:val="auto"/>
                <w:sz w:val="24"/>
                <w:highlight w:val="none"/>
              </w:rPr>
              <w:t>危险</w:t>
            </w:r>
            <w:r>
              <w:rPr>
                <w:snapToGrid w:val="0"/>
                <w:color w:val="auto"/>
                <w:sz w:val="24"/>
                <w:highlight w:val="none"/>
              </w:rPr>
              <w:t>废物</w:t>
            </w:r>
            <w:r>
              <w:rPr>
                <w:rFonts w:hint="eastAsia"/>
                <w:snapToGrid w:val="0"/>
                <w:color w:val="auto"/>
                <w:sz w:val="24"/>
                <w:highlight w:val="none"/>
                <w:lang w:eastAsia="zh-CN"/>
              </w:rPr>
              <w:t>贮</w:t>
            </w:r>
            <w:r>
              <w:rPr>
                <w:snapToGrid w:val="0"/>
                <w:color w:val="auto"/>
                <w:sz w:val="24"/>
                <w:highlight w:val="none"/>
              </w:rPr>
              <w:t>存</w:t>
            </w:r>
            <w:r>
              <w:rPr>
                <w:rFonts w:hint="eastAsia"/>
                <w:snapToGrid w:val="0"/>
                <w:color w:val="auto"/>
                <w:sz w:val="24"/>
                <w:highlight w:val="none"/>
                <w:lang w:eastAsia="zh-CN"/>
              </w:rPr>
              <w:t>库，</w:t>
            </w:r>
            <w:r>
              <w:rPr>
                <w:rFonts w:hint="eastAsia"/>
                <w:bCs/>
                <w:color w:val="auto"/>
                <w:sz w:val="24"/>
                <w:highlight w:val="none"/>
                <w:lang w:eastAsia="zh-CN"/>
              </w:rPr>
              <w:t>位于</w:t>
            </w:r>
            <w:r>
              <w:rPr>
                <w:rFonts w:hint="eastAsia"/>
                <w:bCs/>
                <w:color w:val="auto"/>
                <w:sz w:val="24"/>
                <w:highlight w:val="none"/>
                <w:lang w:val="en-US" w:eastAsia="zh-CN"/>
              </w:rPr>
              <w:t>1#楼一层西北处</w:t>
            </w:r>
            <w:r>
              <w:rPr>
                <w:rFonts w:hint="eastAsia"/>
                <w:bCs/>
                <w:color w:val="auto"/>
                <w:sz w:val="24"/>
                <w:highlight w:val="none"/>
                <w:lang w:eastAsia="zh-CN"/>
              </w:rPr>
              <w:t>，</w:t>
            </w:r>
            <w:r>
              <w:rPr>
                <w:rFonts w:hint="eastAsia"/>
                <w:bCs/>
                <w:color w:val="auto"/>
                <w:sz w:val="24"/>
                <w:highlight w:val="none"/>
              </w:rPr>
              <w:t>建筑</w:t>
            </w:r>
            <w:r>
              <w:rPr>
                <w:bCs/>
                <w:color w:val="auto"/>
                <w:sz w:val="24"/>
                <w:highlight w:val="none"/>
              </w:rPr>
              <w:t>面积</w:t>
            </w:r>
            <w:r>
              <w:rPr>
                <w:rFonts w:hint="eastAsia"/>
                <w:bCs/>
                <w:color w:val="auto"/>
                <w:sz w:val="24"/>
                <w:highlight w:val="none"/>
                <w:lang w:eastAsia="zh-CN"/>
              </w:rPr>
              <w:t>约</w:t>
            </w:r>
            <w:r>
              <w:rPr>
                <w:rFonts w:hint="eastAsia"/>
                <w:bCs/>
                <w:color w:val="auto"/>
                <w:sz w:val="24"/>
                <w:highlight w:val="none"/>
                <w:lang w:val="en-US" w:eastAsia="zh-CN"/>
              </w:rPr>
              <w:t>15</w:t>
            </w:r>
            <w:r>
              <w:rPr>
                <w:bCs/>
                <w:color w:val="auto"/>
                <w:sz w:val="24"/>
                <w:highlight w:val="none"/>
              </w:rPr>
              <w:t>m</w:t>
            </w:r>
            <w:r>
              <w:rPr>
                <w:bCs/>
                <w:color w:val="auto"/>
                <w:sz w:val="24"/>
                <w:highlight w:val="none"/>
                <w:vertAlign w:val="superscript"/>
              </w:rPr>
              <w:t>2</w:t>
            </w:r>
            <w:r>
              <w:rPr>
                <w:color w:val="auto"/>
                <w:sz w:val="24"/>
                <w:highlight w:val="none"/>
              </w:rPr>
              <w:t>，</w:t>
            </w:r>
            <w:r>
              <w:rPr>
                <w:rFonts w:hint="default"/>
                <w:color w:val="auto"/>
                <w:sz w:val="24"/>
                <w:highlight w:val="none"/>
              </w:rPr>
              <w:t>环评</w:t>
            </w:r>
            <w:r>
              <w:rPr>
                <w:rFonts w:hint="eastAsia"/>
                <w:color w:val="auto"/>
                <w:sz w:val="24"/>
                <w:highlight w:val="none"/>
                <w:lang w:val="en-US" w:eastAsia="zh-CN"/>
              </w:rPr>
              <w:t>要求</w:t>
            </w:r>
            <w:r>
              <w:rPr>
                <w:rFonts w:hint="eastAsia"/>
                <w:color w:val="auto"/>
                <w:sz w:val="24"/>
                <w:lang w:val="en-US" w:eastAsia="zh-CN"/>
              </w:rPr>
              <w:t>建设单位</w:t>
            </w:r>
            <w:r>
              <w:rPr>
                <w:rFonts w:hint="default"/>
                <w:color w:val="auto"/>
                <w:sz w:val="24"/>
              </w:rPr>
              <w:t>严格按照《危险废物贮存污染控制标准》（GB 18597-2023）、《陕西省固体废物污染环境防治条例》相关要求对其进行贮存及转移</w:t>
            </w:r>
            <w:r>
              <w:rPr>
                <w:rFonts w:hint="eastAsia"/>
                <w:color w:val="auto"/>
                <w:sz w:val="24"/>
                <w:lang w:eastAsia="zh-CN"/>
              </w:rPr>
              <w:t>，</w:t>
            </w:r>
            <w:r>
              <w:rPr>
                <w:rFonts w:hint="eastAsia"/>
                <w:color w:val="auto"/>
                <w:sz w:val="24"/>
                <w:lang w:val="en-US" w:eastAsia="zh-CN"/>
              </w:rPr>
              <w:t>具体如下：</w:t>
            </w:r>
          </w:p>
          <w:p w14:paraId="05DB81AC">
            <w:pPr>
              <w:spacing w:line="520" w:lineRule="exact"/>
              <w:ind w:firstLine="480" w:firstLineChars="200"/>
              <w:rPr>
                <w:rFonts w:hint="default"/>
                <w:color w:val="auto"/>
                <w:sz w:val="24"/>
                <w:lang w:eastAsia="zh-CN"/>
              </w:rPr>
            </w:pPr>
            <w:r>
              <w:rPr>
                <w:rFonts w:hint="default"/>
                <w:color w:val="auto"/>
                <w:sz w:val="24"/>
                <w:lang w:val="en-US" w:eastAsia="zh-CN"/>
              </w:rPr>
              <w:t>a</w:t>
            </w:r>
            <w:r>
              <w:rPr>
                <w:rFonts w:hint="default"/>
                <w:color w:val="auto"/>
                <w:sz w:val="24"/>
                <w:lang w:eastAsia="zh-CN"/>
              </w:rPr>
              <w:t>、贮存危险废物应根据危险废物的类别、形态、物理化学性质和污染防治要求进行分类贮存，且应避免危险废物与不相容的物质或材料接触。</w:t>
            </w:r>
          </w:p>
          <w:p w14:paraId="4CE73516">
            <w:pPr>
              <w:spacing w:line="520" w:lineRule="exact"/>
              <w:ind w:firstLine="480" w:firstLineChars="200"/>
              <w:rPr>
                <w:rFonts w:hint="default"/>
                <w:color w:val="auto"/>
                <w:sz w:val="24"/>
              </w:rPr>
            </w:pPr>
            <w:r>
              <w:rPr>
                <w:rFonts w:hint="default"/>
                <w:color w:val="auto"/>
                <w:sz w:val="24"/>
                <w:lang w:val="en-US" w:eastAsia="zh-CN"/>
              </w:rPr>
              <w:t>b</w:t>
            </w:r>
            <w:r>
              <w:rPr>
                <w:rFonts w:hint="default"/>
                <w:color w:val="auto"/>
                <w:sz w:val="24"/>
                <w:lang w:eastAsia="zh-CN"/>
              </w:rPr>
              <w:t>、</w:t>
            </w:r>
            <w:r>
              <w:rPr>
                <w:rFonts w:hint="default"/>
                <w:color w:val="auto"/>
                <w:sz w:val="24"/>
              </w:rPr>
              <w:t>贮存设施或场所、容器和包装物应按</w:t>
            </w:r>
            <w:r>
              <w:rPr>
                <w:rFonts w:hint="eastAsia"/>
                <w:color w:val="auto"/>
                <w:sz w:val="24"/>
                <w:lang w:eastAsia="zh-CN"/>
              </w:rPr>
              <w:t>《危险废物识别标志设置技术规范》（</w:t>
            </w:r>
            <w:r>
              <w:rPr>
                <w:rFonts w:hint="default"/>
                <w:color w:val="auto"/>
                <w:sz w:val="24"/>
              </w:rPr>
              <w:t>HJ1276</w:t>
            </w:r>
            <w:r>
              <w:rPr>
                <w:rFonts w:hint="eastAsia"/>
                <w:color w:val="auto"/>
                <w:sz w:val="24"/>
                <w:lang w:val="en-US" w:eastAsia="zh-CN"/>
              </w:rPr>
              <w:t>-2022</w:t>
            </w:r>
            <w:r>
              <w:rPr>
                <w:rFonts w:hint="eastAsia"/>
                <w:color w:val="auto"/>
                <w:sz w:val="24"/>
                <w:lang w:eastAsia="zh-CN"/>
              </w:rPr>
              <w:t>）</w:t>
            </w:r>
            <w:r>
              <w:rPr>
                <w:rFonts w:hint="default"/>
                <w:color w:val="auto"/>
                <w:sz w:val="24"/>
              </w:rPr>
              <w:t>要求设置危险废物贮存设施或场所标志、危险废物贮存分区标志和危险废物标签等危险废物识别标志。</w:t>
            </w:r>
          </w:p>
          <w:p w14:paraId="26C9E0C5">
            <w:pPr>
              <w:spacing w:line="520" w:lineRule="exact"/>
              <w:ind w:firstLine="480" w:firstLineChars="200"/>
              <w:rPr>
                <w:rFonts w:hint="default"/>
                <w:color w:val="auto"/>
                <w:sz w:val="24"/>
              </w:rPr>
            </w:pPr>
            <w:r>
              <w:rPr>
                <w:rFonts w:hint="default"/>
                <w:color w:val="auto"/>
                <w:sz w:val="24"/>
                <w:lang w:val="en-US" w:eastAsia="zh-CN"/>
              </w:rPr>
              <w:t>c</w:t>
            </w:r>
            <w:r>
              <w:rPr>
                <w:rFonts w:hint="default"/>
                <w:color w:val="auto"/>
                <w:sz w:val="24"/>
                <w:lang w:eastAsia="zh-CN"/>
              </w:rPr>
              <w:t>、</w:t>
            </w:r>
            <w:r>
              <w:rPr>
                <w:rFonts w:hint="default"/>
                <w:color w:val="auto"/>
                <w:sz w:val="24"/>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 m厚黏土层（渗透系数不大于10</w:t>
            </w:r>
            <w:r>
              <w:rPr>
                <w:rFonts w:hint="default"/>
                <w:color w:val="auto"/>
                <w:sz w:val="24"/>
                <w:vertAlign w:val="superscript"/>
              </w:rPr>
              <w:t>-7</w:t>
            </w:r>
            <w:r>
              <w:rPr>
                <w:rFonts w:hint="default"/>
                <w:color w:val="auto"/>
                <w:sz w:val="24"/>
              </w:rPr>
              <w:t>cm/s），或至少2mm厚高密度聚乙烯膜等人工防渗材料（渗透系数不大于10</w:t>
            </w:r>
            <w:r>
              <w:rPr>
                <w:rFonts w:hint="default"/>
                <w:color w:val="auto"/>
                <w:sz w:val="24"/>
                <w:vertAlign w:val="superscript"/>
              </w:rPr>
              <w:t>-10</w:t>
            </w:r>
            <w:r>
              <w:rPr>
                <w:rFonts w:hint="default"/>
                <w:color w:val="auto"/>
                <w:sz w:val="24"/>
              </w:rPr>
              <w:t>cm/s），或其他防渗性能等效的材料。</w:t>
            </w:r>
          </w:p>
          <w:p w14:paraId="6E695E5A">
            <w:pPr>
              <w:spacing w:line="520" w:lineRule="exact"/>
              <w:ind w:firstLine="480" w:firstLineChars="200"/>
              <w:rPr>
                <w:rFonts w:hint="default"/>
                <w:color w:val="auto"/>
                <w:sz w:val="24"/>
                <w:lang w:eastAsia="zh-CN"/>
              </w:rPr>
            </w:pPr>
            <w:r>
              <w:rPr>
                <w:rFonts w:hint="default"/>
                <w:color w:val="auto"/>
                <w:sz w:val="24"/>
                <w:lang w:val="en-US" w:eastAsia="zh-CN"/>
              </w:rPr>
              <w:t>d</w:t>
            </w:r>
            <w:r>
              <w:rPr>
                <w:rFonts w:hint="default"/>
                <w:color w:val="auto"/>
                <w:sz w:val="24"/>
                <w:lang w:eastAsia="zh-CN"/>
              </w:rPr>
              <w:t>、不同贮存分区之间应采取隔离措施</w:t>
            </w:r>
            <w:r>
              <w:rPr>
                <w:rFonts w:hint="eastAsia"/>
                <w:color w:val="auto"/>
                <w:sz w:val="24"/>
                <w:lang w:eastAsia="zh-CN"/>
              </w:rPr>
              <w:t>，</w:t>
            </w:r>
            <w:r>
              <w:rPr>
                <w:rFonts w:hint="default"/>
                <w:color w:val="auto"/>
                <w:sz w:val="24"/>
                <w:lang w:eastAsia="zh-CN"/>
              </w:rPr>
              <w:t>隔离措施可根据危险废物特性采用过道、隔板或隔墙等方式。</w:t>
            </w:r>
          </w:p>
          <w:p w14:paraId="0CAF96F3">
            <w:pPr>
              <w:spacing w:line="520" w:lineRule="exact"/>
              <w:ind w:firstLine="480" w:firstLineChars="200"/>
              <w:rPr>
                <w:rFonts w:hint="default"/>
                <w:color w:val="auto"/>
                <w:sz w:val="24"/>
                <w:lang w:eastAsia="zh-CN"/>
              </w:rPr>
            </w:pPr>
            <w:r>
              <w:rPr>
                <w:rFonts w:hint="default"/>
                <w:color w:val="auto"/>
                <w:sz w:val="24"/>
                <w:lang w:val="en-US" w:eastAsia="zh-CN"/>
              </w:rPr>
              <w:t>e</w:t>
            </w:r>
            <w:r>
              <w:rPr>
                <w:rFonts w:hint="default"/>
                <w:color w:val="auto"/>
                <w:sz w:val="24"/>
                <w:lang w:eastAsia="zh-CN"/>
              </w:rPr>
              <w:t>、使用容器盛装液态、半固态危险废物时，容器内部应留有适当的空间，以适应因温度变化等可能引发的收缩和膨胀，防止其导致容器渗漏或永久变形。</w:t>
            </w:r>
          </w:p>
          <w:p w14:paraId="5607A62B">
            <w:pPr>
              <w:spacing w:line="520" w:lineRule="exact"/>
              <w:ind w:firstLine="480" w:firstLineChars="200"/>
              <w:rPr>
                <w:rFonts w:hint="eastAsia"/>
                <w:color w:val="auto"/>
                <w:sz w:val="24"/>
                <w:lang w:eastAsia="zh-CN"/>
              </w:rPr>
            </w:pPr>
            <w:r>
              <w:rPr>
                <w:rFonts w:hint="eastAsia"/>
                <w:color w:val="auto"/>
                <w:sz w:val="24"/>
                <w:lang w:val="en-US" w:eastAsia="zh-CN"/>
              </w:rPr>
              <w:t>f、</w:t>
            </w:r>
            <w:r>
              <w:rPr>
                <w:rFonts w:hint="eastAsia"/>
                <w:color w:val="auto"/>
                <w:sz w:val="24"/>
              </w:rPr>
              <w:t>做好</w:t>
            </w:r>
            <w:r>
              <w:rPr>
                <w:rFonts w:hint="eastAsia"/>
                <w:color w:val="auto"/>
                <w:sz w:val="24"/>
                <w:lang w:val="en-US" w:eastAsia="zh-CN"/>
              </w:rPr>
              <w:t>危险废物管理</w:t>
            </w:r>
            <w:r>
              <w:rPr>
                <w:rFonts w:hint="eastAsia"/>
                <w:color w:val="auto"/>
                <w:sz w:val="24"/>
              </w:rPr>
              <w:t>台账记录，记录上需注明危险废物的名称、来源、数量、特性和包装容器的类别、入库及出库日期、接收废物单位名称，并定期对贮存情况进行检查</w:t>
            </w:r>
            <w:r>
              <w:rPr>
                <w:rFonts w:hint="eastAsia"/>
                <w:color w:val="auto"/>
                <w:sz w:val="24"/>
                <w:lang w:eastAsia="zh-CN"/>
              </w:rPr>
              <w:t>。</w:t>
            </w:r>
          </w:p>
          <w:p w14:paraId="32F2518F">
            <w:pPr>
              <w:ind w:firstLine="480"/>
              <w:rPr>
                <w:color w:val="auto"/>
                <w:highlight w:val="none"/>
              </w:rPr>
            </w:pPr>
            <w:r>
              <w:rPr>
                <w:color w:val="auto"/>
                <w:highlight w:val="none"/>
              </w:rPr>
              <w:t>一般固废暂存区根据《中华人民共和国固体废物污染环境防治法》（2020年9月1日）等相关法律法规的要求进行硬化，可达到防扬散、防流失、防渗漏等要求。要求企业后期不得擅自倾倒、堆放、丢弃、遗撒固体废物，禁止危险废物和生活垃圾混入。</w:t>
            </w:r>
          </w:p>
          <w:p w14:paraId="2A090AB7">
            <w:pPr>
              <w:keepNext w:val="0"/>
              <w:keepLines w:val="0"/>
              <w:widowControl/>
              <w:suppressLineNumbers w:val="0"/>
              <w:jc w:val="left"/>
              <w:rPr>
                <w:color w:val="auto"/>
              </w:rPr>
            </w:pPr>
            <w:r>
              <w:rPr>
                <w:rFonts w:hint="eastAsia"/>
                <w:color w:val="auto"/>
                <w:lang w:val="en-US" w:eastAsia="zh-CN"/>
              </w:rPr>
              <w:t>生活垃圾</w:t>
            </w:r>
            <w:r>
              <w:rPr>
                <w:rFonts w:hint="eastAsia" w:ascii="宋体" w:hAnsi="宋体" w:eastAsia="宋体" w:cs="宋体"/>
                <w:color w:val="auto"/>
                <w:kern w:val="0"/>
                <w:sz w:val="24"/>
                <w:szCs w:val="24"/>
                <w:lang w:val="en-US" w:eastAsia="zh-CN" w:bidi="ar"/>
              </w:rPr>
              <w:t>分类收集后由环卫部门及时清运。</w:t>
            </w:r>
          </w:p>
          <w:p w14:paraId="25ADF1A3">
            <w:pPr>
              <w:spacing w:line="520" w:lineRule="exact"/>
              <w:ind w:firstLine="480" w:firstLineChars="200"/>
              <w:rPr>
                <w:rFonts w:hint="eastAsia" w:eastAsia="宋体"/>
                <w:color w:val="auto"/>
                <w:lang w:eastAsia="zh-CN"/>
              </w:rPr>
            </w:pPr>
            <w:r>
              <w:rPr>
                <w:color w:val="auto"/>
                <w:sz w:val="24"/>
              </w:rPr>
              <w:t>本项目产生的固体废物均能得到妥善处理。</w:t>
            </w:r>
          </w:p>
          <w:p w14:paraId="4506E7CB">
            <w:pPr>
              <w:ind w:firstLine="482"/>
              <w:rPr>
                <w:rFonts w:hint="eastAsia" w:eastAsia="宋体"/>
                <w:b/>
                <w:bCs/>
                <w:color w:val="auto"/>
                <w:lang w:eastAsia="zh-CN"/>
              </w:rPr>
            </w:pPr>
            <w:r>
              <w:rPr>
                <w:rFonts w:hint="eastAsia"/>
                <w:b/>
                <w:bCs/>
                <w:color w:val="auto"/>
                <w:lang w:val="en-US" w:eastAsia="zh-CN"/>
              </w:rPr>
              <w:t>5</w:t>
            </w:r>
            <w:r>
              <w:rPr>
                <w:b/>
                <w:bCs/>
                <w:color w:val="auto"/>
              </w:rPr>
              <w:t>、地下水、土壤</w:t>
            </w:r>
            <w:r>
              <w:rPr>
                <w:rFonts w:hint="eastAsia"/>
                <w:b/>
                <w:bCs/>
                <w:color w:val="auto"/>
                <w:lang w:eastAsia="zh-CN"/>
              </w:rPr>
              <w:t>影响分析</w:t>
            </w:r>
          </w:p>
          <w:p w14:paraId="54127528">
            <w:pPr>
              <w:bidi w:val="0"/>
              <w:rPr>
                <w:rFonts w:hint="eastAsia" w:ascii="Times New Roman" w:hAnsi="Times New Roman" w:eastAsia="宋体" w:cs="Times New Roman"/>
                <w:color w:val="auto"/>
              </w:rPr>
            </w:pPr>
            <w:r>
              <w:rPr>
                <w:rFonts w:hint="eastAsia" w:ascii="Times New Roman" w:hAnsi="Times New Roman" w:eastAsia="宋体" w:cs="Times New Roman"/>
                <w:color w:val="auto"/>
                <w:sz w:val="24"/>
                <w:szCs w:val="24"/>
                <w:highlight w:val="none"/>
                <w:lang w:eastAsia="zh-CN"/>
              </w:rPr>
              <w:t>本</w:t>
            </w:r>
            <w:r>
              <w:rPr>
                <w:rFonts w:hint="default" w:ascii="Times New Roman" w:hAnsi="Times New Roman" w:eastAsia="宋体" w:cs="Times New Roman"/>
                <w:color w:val="auto"/>
                <w:sz w:val="24"/>
                <w:szCs w:val="24"/>
                <w:highlight w:val="none"/>
              </w:rPr>
              <w:t>项目</w:t>
            </w:r>
            <w:r>
              <w:rPr>
                <w:rFonts w:hint="eastAsia" w:cs="Times New Roman"/>
                <w:color w:val="auto"/>
                <w:sz w:val="24"/>
                <w:szCs w:val="24"/>
                <w:highlight w:val="none"/>
                <w:lang w:eastAsia="zh-CN"/>
              </w:rPr>
              <w:t>酸性</w:t>
            </w:r>
            <w:r>
              <w:rPr>
                <w:rFonts w:hint="eastAsia" w:cs="Times New Roman"/>
                <w:color w:val="auto"/>
                <w:sz w:val="24"/>
                <w:szCs w:val="24"/>
                <w:highlight w:val="none"/>
                <w:lang w:val="en-US" w:eastAsia="zh-CN"/>
              </w:rPr>
              <w:t>试剂</w:t>
            </w:r>
            <w:r>
              <w:rPr>
                <w:rFonts w:hint="eastAsia" w:cs="Times New Roman"/>
                <w:color w:val="auto"/>
                <w:sz w:val="24"/>
                <w:szCs w:val="24"/>
                <w:highlight w:val="none"/>
                <w:lang w:eastAsia="zh-CN"/>
              </w:rPr>
              <w:t>在</w:t>
            </w:r>
            <w:r>
              <w:rPr>
                <w:rFonts w:hint="eastAsia"/>
                <w:color w:val="auto"/>
                <w:lang w:eastAsia="zh-CN"/>
              </w:rPr>
              <w:t>运行储存过程中，可能会发生跑冒滴漏现象，</w:t>
            </w:r>
            <w:r>
              <w:rPr>
                <w:rFonts w:hint="eastAsia" w:cs="Times New Roman"/>
                <w:color w:val="auto"/>
                <w:sz w:val="24"/>
                <w:szCs w:val="24"/>
                <w:highlight w:val="none"/>
                <w:lang w:eastAsia="zh-CN"/>
              </w:rPr>
              <w:t>会</w:t>
            </w:r>
            <w:r>
              <w:rPr>
                <w:rFonts w:hint="default" w:ascii="Times New Roman" w:hAnsi="Times New Roman" w:eastAsia="宋体" w:cs="Times New Roman"/>
                <w:color w:val="auto"/>
                <w:sz w:val="24"/>
                <w:szCs w:val="24"/>
                <w:highlight w:val="none"/>
              </w:rPr>
              <w:t>对土壤</w:t>
            </w:r>
            <w:r>
              <w:rPr>
                <w:rFonts w:hint="default" w:ascii="Times New Roman" w:hAnsi="Times New Roman" w:eastAsia="宋体" w:cs="Times New Roman"/>
                <w:color w:val="auto"/>
                <w:sz w:val="24"/>
                <w:szCs w:val="24"/>
                <w:highlight w:val="none"/>
                <w:lang w:eastAsia="zh-CN"/>
              </w:rPr>
              <w:t>及地下水</w:t>
            </w:r>
            <w:r>
              <w:rPr>
                <w:rFonts w:hint="default" w:ascii="Times New Roman" w:hAnsi="Times New Roman" w:eastAsia="宋体" w:cs="Times New Roman"/>
                <w:color w:val="auto"/>
                <w:sz w:val="24"/>
                <w:szCs w:val="24"/>
                <w:highlight w:val="none"/>
              </w:rPr>
              <w:t>污染</w:t>
            </w:r>
            <w:r>
              <w:rPr>
                <w:rFonts w:hint="eastAsia" w:cs="Times New Roman"/>
                <w:color w:val="auto"/>
                <w:sz w:val="24"/>
                <w:szCs w:val="24"/>
                <w:highlight w:val="none"/>
                <w:lang w:eastAsia="zh-CN"/>
              </w:rPr>
              <w:t>造成影响</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但试剂主要存放于厂区库房，库房</w:t>
            </w:r>
            <w:r>
              <w:rPr>
                <w:rFonts w:hint="default" w:ascii="Times New Roman" w:hAnsi="Times New Roman" w:eastAsia="宋体" w:cs="Times New Roman"/>
                <w:color w:val="auto"/>
                <w:sz w:val="24"/>
                <w:szCs w:val="24"/>
                <w:highlight w:val="none"/>
                <w:lang w:eastAsia="zh-CN"/>
              </w:rPr>
              <w:t>地面已硬化防渗，</w:t>
            </w:r>
            <w:r>
              <w:rPr>
                <w:rFonts w:hint="default" w:ascii="Times New Roman" w:hAnsi="Times New Roman" w:eastAsia="宋体" w:cs="Times New Roman"/>
                <w:color w:val="auto"/>
                <w:sz w:val="24"/>
              </w:rPr>
              <w:t>严格控制</w:t>
            </w:r>
            <w:r>
              <w:rPr>
                <w:rFonts w:hint="eastAsia" w:cs="Times New Roman"/>
                <w:color w:val="auto"/>
                <w:sz w:val="24"/>
                <w:lang w:val="en-US" w:eastAsia="zh-CN"/>
              </w:rPr>
              <w:t>使用</w:t>
            </w:r>
            <w:r>
              <w:rPr>
                <w:rFonts w:hint="default" w:ascii="Times New Roman" w:hAnsi="Times New Roman" w:eastAsia="宋体" w:cs="Times New Roman"/>
                <w:color w:val="auto"/>
                <w:sz w:val="24"/>
                <w:szCs w:val="24"/>
                <w:highlight w:val="none"/>
                <w:lang w:eastAsia="zh-CN"/>
              </w:rPr>
              <w:t>过程中</w:t>
            </w:r>
            <w:r>
              <w:rPr>
                <w:rFonts w:hint="default" w:ascii="Times New Roman" w:hAnsi="Times New Roman" w:eastAsia="宋体" w:cs="Times New Roman"/>
                <w:color w:val="auto"/>
                <w:sz w:val="24"/>
              </w:rPr>
              <w:t>跑、冒、滴、漏等现象</w:t>
            </w:r>
            <w:r>
              <w:rPr>
                <w:rFonts w:hint="eastAsia" w:ascii="Times New Roman" w:hAnsi="Times New Roman" w:eastAsia="宋体" w:cs="Times New Roman"/>
                <w:color w:val="auto"/>
                <w:sz w:val="24"/>
                <w:lang w:eastAsia="zh-CN"/>
              </w:rPr>
              <w:t>；对于</w:t>
            </w:r>
            <w:r>
              <w:rPr>
                <w:rFonts w:hint="eastAsia" w:eastAsia="宋体" w:cs="Times New Roman"/>
                <w:color w:val="auto"/>
                <w:sz w:val="24"/>
                <w:lang w:eastAsia="zh-CN"/>
              </w:rPr>
              <w:t>实验</w:t>
            </w:r>
            <w:r>
              <w:rPr>
                <w:rFonts w:hint="eastAsia" w:ascii="Times New Roman" w:hAnsi="Times New Roman" w:eastAsia="宋体" w:cs="Times New Roman"/>
                <w:color w:val="auto"/>
                <w:sz w:val="24"/>
                <w:lang w:eastAsia="zh-CN"/>
              </w:rPr>
              <w:t>的</w:t>
            </w:r>
            <w:r>
              <w:rPr>
                <w:rFonts w:hint="eastAsia" w:cs="Times New Roman"/>
                <w:color w:val="auto"/>
                <w:sz w:val="24"/>
                <w:lang w:val="en-US" w:eastAsia="zh-CN"/>
              </w:rPr>
              <w:t>化学品</w:t>
            </w:r>
            <w:r>
              <w:rPr>
                <w:rFonts w:hint="eastAsia" w:ascii="Times New Roman" w:hAnsi="Times New Roman" w:eastAsia="宋体" w:cs="Times New Roman"/>
                <w:color w:val="auto"/>
                <w:sz w:val="24"/>
                <w:lang w:eastAsia="zh-CN"/>
              </w:rPr>
              <w:t>，</w:t>
            </w:r>
            <w:r>
              <w:rPr>
                <w:rFonts w:hint="eastAsia" w:cs="Times New Roman"/>
                <w:color w:val="auto"/>
                <w:sz w:val="24"/>
                <w:lang w:val="en-US" w:eastAsia="zh-CN"/>
              </w:rPr>
              <w:t>放置在专用的化学品存放柜中，</w:t>
            </w:r>
            <w:r>
              <w:rPr>
                <w:rFonts w:hint="eastAsia" w:ascii="Times New Roman" w:hAnsi="Times New Roman" w:eastAsia="宋体" w:cs="Times New Roman"/>
                <w:color w:val="auto"/>
                <w:sz w:val="24"/>
                <w:lang w:eastAsia="zh-CN"/>
              </w:rPr>
              <w:t>严格管控，杜绝污染土壤。</w:t>
            </w:r>
            <w:r>
              <w:rPr>
                <w:rFonts w:hint="eastAsia" w:ascii="Times New Roman" w:hAnsi="Times New Roman" w:eastAsia="宋体" w:cs="Times New Roman"/>
                <w:color w:val="auto"/>
                <w:sz w:val="24"/>
                <w:lang w:val="en-US" w:eastAsia="zh-CN"/>
              </w:rPr>
              <w:t>且</w:t>
            </w:r>
            <w:r>
              <w:rPr>
                <w:rFonts w:hint="eastAsia" w:cs="Times New Roman"/>
                <w:color w:val="auto"/>
                <w:sz w:val="24"/>
                <w:lang w:val="en-US" w:eastAsia="zh-CN"/>
              </w:rPr>
              <w:t>要求</w:t>
            </w:r>
            <w:r>
              <w:rPr>
                <w:rFonts w:hint="default" w:ascii="Times New Roman" w:hAnsi="Times New Roman" w:eastAsia="宋体" w:cs="Times New Roman"/>
                <w:color w:val="auto"/>
                <w:sz w:val="24"/>
              </w:rPr>
              <w:t>厂区建立完善的管理制度，有专人负责进行管理。采取以上措施，对土壤</w:t>
            </w:r>
            <w:r>
              <w:rPr>
                <w:rFonts w:hint="eastAsia" w:cs="Times New Roman"/>
                <w:color w:val="auto"/>
                <w:sz w:val="24"/>
                <w:lang w:eastAsia="zh-CN"/>
              </w:rPr>
              <w:t>、</w:t>
            </w:r>
            <w:r>
              <w:rPr>
                <w:rFonts w:hint="eastAsia" w:ascii="Times New Roman" w:hAnsi="Times New Roman" w:eastAsia="宋体" w:cs="Times New Roman"/>
                <w:color w:val="auto"/>
                <w:sz w:val="24"/>
                <w:lang w:eastAsia="zh-CN"/>
              </w:rPr>
              <w:t>地下水</w:t>
            </w:r>
            <w:r>
              <w:rPr>
                <w:rFonts w:hint="default" w:ascii="Times New Roman" w:hAnsi="Times New Roman" w:eastAsia="宋体" w:cs="Times New Roman"/>
                <w:color w:val="auto"/>
                <w:sz w:val="24"/>
              </w:rPr>
              <w:t>环境影响较小。</w:t>
            </w:r>
          </w:p>
          <w:p w14:paraId="69726C1D">
            <w:pPr>
              <w:ind w:firstLine="482"/>
              <w:rPr>
                <w:b/>
                <w:bCs/>
                <w:color w:val="auto"/>
              </w:rPr>
            </w:pPr>
            <w:r>
              <w:rPr>
                <w:rFonts w:hint="eastAsia"/>
                <w:b/>
                <w:bCs/>
                <w:color w:val="auto"/>
                <w:lang w:val="en-US" w:eastAsia="zh-CN"/>
              </w:rPr>
              <w:t>6</w:t>
            </w:r>
            <w:r>
              <w:rPr>
                <w:b/>
                <w:bCs/>
                <w:color w:val="auto"/>
              </w:rPr>
              <w:t>、环境风险</w:t>
            </w:r>
          </w:p>
          <w:p w14:paraId="7DF2EC4D">
            <w:pPr>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（1）环境风险识别</w:t>
            </w:r>
          </w:p>
          <w:p w14:paraId="523F94D4">
            <w:pPr>
              <w:rPr>
                <w:color w:val="auto"/>
              </w:rPr>
            </w:pPr>
            <w:r>
              <w:rPr>
                <w:rFonts w:hint="eastAsia" w:cs="Times New Roman"/>
                <w:color w:val="auto"/>
                <w:lang w:val="en-US" w:eastAsia="zh-CN"/>
              </w:rPr>
              <w:t>收集全厂相关资料，并对照</w:t>
            </w:r>
            <w:r>
              <w:rPr>
                <w:rFonts w:hint="eastAsia" w:ascii="Times New Roman" w:hAnsi="Times New Roman" w:eastAsia="宋体" w:cs="Times New Roman"/>
                <w:color w:val="auto"/>
              </w:rPr>
              <w:t>《建设项目环境风险评价技术导则》（HJ169-2018），</w:t>
            </w:r>
            <w:r>
              <w:rPr>
                <w:rFonts w:hint="eastAsia" w:cs="Times New Roman"/>
                <w:color w:val="auto"/>
                <w:lang w:val="en-US" w:eastAsia="zh-CN"/>
              </w:rPr>
              <w:t>建设单位涉及的突发环境事件</w:t>
            </w:r>
            <w:r>
              <w:rPr>
                <w:rFonts w:hint="eastAsia" w:cs="Times New Roman"/>
                <w:color w:val="auto"/>
                <w:highlight w:val="none"/>
                <w:lang w:val="en-US" w:eastAsia="zh-CN"/>
              </w:rPr>
              <w:t>风险物质为盐酸、硝酸</w:t>
            </w:r>
            <w:r>
              <w:rPr>
                <w:rFonts w:hint="eastAsia" w:cs="Times New Roman"/>
                <w:color w:val="auto"/>
                <w:highlight w:val="none"/>
                <w:lang w:eastAsia="zh-CN"/>
              </w:rPr>
              <w:t>、乙醇、</w:t>
            </w:r>
            <w:r>
              <w:rPr>
                <w:rFonts w:hint="eastAsia" w:cs="Times New Roman"/>
                <w:color w:val="auto"/>
                <w:highlight w:val="none"/>
                <w:lang w:val="en-US" w:eastAsia="zh-CN"/>
              </w:rPr>
              <w:t>双氧水、天然气、硫酸、丙酮</w:t>
            </w:r>
            <w:r>
              <w:rPr>
                <w:rFonts w:hint="eastAsia"/>
                <w:color w:val="auto"/>
                <w:highlight w:val="none"/>
              </w:rPr>
              <w:t>危险物质临界量参考</w:t>
            </w:r>
            <w:r>
              <w:rPr>
                <w:rFonts w:hint="eastAsia" w:ascii="Times New Roman" w:hAnsi="Times New Roman" w:eastAsia="宋体" w:cs="Times New Roman"/>
                <w:color w:val="auto"/>
                <w:highlight w:val="none"/>
              </w:rPr>
              <w:t>《建设项目环境风险</w:t>
            </w:r>
            <w:r>
              <w:rPr>
                <w:rFonts w:hint="eastAsia" w:ascii="Times New Roman" w:hAnsi="Times New Roman" w:eastAsia="宋体" w:cs="Times New Roman"/>
                <w:color w:val="auto"/>
              </w:rPr>
              <w:t>评价技术导则》（HJ169-2018）</w:t>
            </w:r>
            <w:r>
              <w:rPr>
                <w:rFonts w:hint="eastAsia"/>
                <w:color w:val="auto"/>
              </w:rPr>
              <w:t>附录B，详见表4-</w:t>
            </w:r>
            <w:r>
              <w:rPr>
                <w:rFonts w:hint="eastAsia"/>
                <w:color w:val="auto"/>
                <w:lang w:val="en-US" w:eastAsia="zh-CN"/>
              </w:rPr>
              <w:t>13</w:t>
            </w:r>
            <w:r>
              <w:rPr>
                <w:rFonts w:hint="eastAsia"/>
                <w:color w:val="auto"/>
              </w:rPr>
              <w:t>。</w:t>
            </w:r>
          </w:p>
          <w:p w14:paraId="7DEBC4BB">
            <w:pPr>
              <w:pStyle w:val="24"/>
              <w:bidi w:val="0"/>
              <w:rPr>
                <w:color w:val="auto"/>
                <w:sz w:val="24"/>
                <w:szCs w:val="24"/>
              </w:rPr>
            </w:pPr>
            <w:r>
              <w:rPr>
                <w:rFonts w:hint="eastAsia"/>
                <w:color w:val="auto"/>
                <w:sz w:val="24"/>
                <w:szCs w:val="24"/>
              </w:rPr>
              <w:t>表4-</w:t>
            </w:r>
            <w:r>
              <w:rPr>
                <w:rFonts w:hint="eastAsia"/>
                <w:color w:val="auto"/>
                <w:sz w:val="24"/>
                <w:szCs w:val="24"/>
                <w:lang w:val="en-US" w:eastAsia="zh-CN"/>
              </w:rPr>
              <w:t>13</w:t>
            </w:r>
            <w:r>
              <w:rPr>
                <w:rFonts w:hint="eastAsia"/>
                <w:color w:val="auto"/>
                <w:sz w:val="24"/>
                <w:szCs w:val="24"/>
              </w:rPr>
              <w:t xml:space="preserve"> </w:t>
            </w:r>
            <w:r>
              <w:rPr>
                <w:rFonts w:hint="eastAsia"/>
                <w:color w:val="auto"/>
                <w:sz w:val="24"/>
                <w:szCs w:val="24"/>
                <w:lang w:val="en-US" w:eastAsia="zh-CN"/>
              </w:rPr>
              <w:t xml:space="preserve"> </w:t>
            </w:r>
            <w:r>
              <w:rPr>
                <w:rFonts w:hint="eastAsia"/>
                <w:color w:val="auto"/>
                <w:sz w:val="24"/>
                <w:szCs w:val="24"/>
              </w:rPr>
              <w:t>危险品最大贮存量及其临界量一览表</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2496"/>
              <w:gridCol w:w="1605"/>
              <w:gridCol w:w="1614"/>
              <w:gridCol w:w="1953"/>
            </w:tblGrid>
            <w:tr w14:paraId="62074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pct"/>
                  <w:noWrap w:val="0"/>
                  <w:vAlign w:val="center"/>
                </w:tcPr>
                <w:p w14:paraId="014A14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序号</w:t>
                  </w:r>
                </w:p>
              </w:tc>
              <w:tc>
                <w:tcPr>
                  <w:tcW w:w="1462" w:type="pct"/>
                  <w:noWrap w:val="0"/>
                  <w:vAlign w:val="center"/>
                </w:tcPr>
                <w:p w14:paraId="4F23D2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物料名称</w:t>
                  </w:r>
                </w:p>
              </w:tc>
              <w:tc>
                <w:tcPr>
                  <w:tcW w:w="940" w:type="pct"/>
                  <w:noWrap w:val="0"/>
                  <w:vAlign w:val="center"/>
                </w:tcPr>
                <w:p w14:paraId="0EAF0F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最大</w:t>
                  </w:r>
                  <w:r>
                    <w:rPr>
                      <w:rFonts w:hint="eastAsia" w:ascii="Times New Roman" w:hAnsi="Times New Roman" w:eastAsia="宋体" w:cs="Times New Roman"/>
                      <w:b/>
                      <w:bCs/>
                      <w:color w:val="auto"/>
                      <w:sz w:val="21"/>
                      <w:szCs w:val="21"/>
                      <w:highlight w:val="none"/>
                      <w:lang w:val="en-US" w:eastAsia="zh-CN"/>
                    </w:rPr>
                    <w:t>暂</w:t>
                  </w:r>
                  <w:r>
                    <w:rPr>
                      <w:rFonts w:hint="default" w:ascii="Times New Roman" w:hAnsi="Times New Roman" w:eastAsia="宋体" w:cs="Times New Roman"/>
                      <w:b/>
                      <w:bCs/>
                      <w:color w:val="auto"/>
                      <w:sz w:val="21"/>
                      <w:szCs w:val="21"/>
                      <w:highlight w:val="none"/>
                      <w:lang w:val="en-US" w:eastAsia="zh-CN"/>
                    </w:rPr>
                    <w:t>存量</w:t>
                  </w:r>
                  <w:r>
                    <w:rPr>
                      <w:rFonts w:hint="eastAsia" w:ascii="Times New Roman" w:hAnsi="Times New Roman" w:eastAsia="宋体" w:cs="Times New Roman"/>
                      <w:b/>
                      <w:bCs/>
                      <w:color w:val="auto"/>
                      <w:sz w:val="21"/>
                      <w:szCs w:val="21"/>
                      <w:highlight w:val="none"/>
                      <w:lang w:val="en-US" w:eastAsia="zh-CN"/>
                    </w:rPr>
                    <w:t>/t</w:t>
                  </w:r>
                </w:p>
              </w:tc>
              <w:tc>
                <w:tcPr>
                  <w:tcW w:w="945" w:type="pct"/>
                  <w:shd w:val="clear" w:color="auto" w:fill="auto"/>
                  <w:noWrap w:val="0"/>
                  <w:vAlign w:val="center"/>
                </w:tcPr>
                <w:p w14:paraId="1B4970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临界量</w:t>
                  </w:r>
                  <w:r>
                    <w:rPr>
                      <w:rFonts w:hint="eastAsia" w:ascii="Times New Roman" w:hAnsi="Times New Roman" w:eastAsia="宋体" w:cs="Times New Roman"/>
                      <w:b/>
                      <w:bCs/>
                      <w:color w:val="auto"/>
                      <w:sz w:val="21"/>
                      <w:szCs w:val="21"/>
                      <w:highlight w:val="none"/>
                      <w:lang w:val="en-US" w:eastAsia="zh-CN"/>
                    </w:rPr>
                    <w:t>/t</w:t>
                  </w:r>
                </w:p>
              </w:tc>
              <w:tc>
                <w:tcPr>
                  <w:tcW w:w="1144" w:type="pct"/>
                  <w:shd w:val="clear" w:color="auto" w:fill="auto"/>
                  <w:noWrap w:val="0"/>
                  <w:vAlign w:val="center"/>
                </w:tcPr>
                <w:p w14:paraId="48D972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qi/Qi</w:t>
                  </w:r>
                </w:p>
              </w:tc>
            </w:tr>
            <w:tr w14:paraId="0E7F2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pct"/>
                  <w:noWrap w:val="0"/>
                  <w:vAlign w:val="center"/>
                </w:tcPr>
                <w:p w14:paraId="6D1C8A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1462" w:type="pct"/>
                  <w:noWrap w:val="0"/>
                  <w:vAlign w:val="center"/>
                </w:tcPr>
                <w:p w14:paraId="4AF79A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盐酸</w:t>
                  </w:r>
                </w:p>
              </w:tc>
              <w:tc>
                <w:tcPr>
                  <w:tcW w:w="940" w:type="pct"/>
                  <w:noWrap w:val="0"/>
                  <w:vAlign w:val="center"/>
                </w:tcPr>
                <w:p w14:paraId="1A1E17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0.0018</w:t>
                  </w:r>
                </w:p>
              </w:tc>
              <w:tc>
                <w:tcPr>
                  <w:tcW w:w="945" w:type="pct"/>
                  <w:shd w:val="clear" w:color="auto" w:fill="auto"/>
                  <w:noWrap w:val="0"/>
                  <w:vAlign w:val="center"/>
                </w:tcPr>
                <w:p w14:paraId="648F28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7.5</w:t>
                  </w:r>
                </w:p>
              </w:tc>
              <w:tc>
                <w:tcPr>
                  <w:tcW w:w="1144" w:type="pct"/>
                  <w:shd w:val="clear" w:color="auto" w:fill="auto"/>
                  <w:noWrap w:val="0"/>
                  <w:vAlign w:val="center"/>
                </w:tcPr>
                <w:p w14:paraId="477357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0.00024</w:t>
                  </w:r>
                </w:p>
              </w:tc>
            </w:tr>
            <w:tr w14:paraId="4EC33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507" w:type="pct"/>
                  <w:noWrap w:val="0"/>
                  <w:vAlign w:val="center"/>
                </w:tcPr>
                <w:p w14:paraId="0AA729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1462" w:type="pct"/>
                  <w:noWrap w:val="0"/>
                  <w:vAlign w:val="center"/>
                </w:tcPr>
                <w:p w14:paraId="04ABA5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硝酸</w:t>
                  </w:r>
                </w:p>
              </w:tc>
              <w:tc>
                <w:tcPr>
                  <w:tcW w:w="940" w:type="pct"/>
                  <w:noWrap w:val="0"/>
                  <w:vAlign w:val="center"/>
                </w:tcPr>
                <w:p w14:paraId="6E867E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0.0021</w:t>
                  </w:r>
                </w:p>
              </w:tc>
              <w:tc>
                <w:tcPr>
                  <w:tcW w:w="945" w:type="pct"/>
                  <w:shd w:val="clear" w:color="auto" w:fill="auto"/>
                  <w:noWrap w:val="0"/>
                  <w:vAlign w:val="center"/>
                </w:tcPr>
                <w:p w14:paraId="6C867E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7.5</w:t>
                  </w:r>
                </w:p>
              </w:tc>
              <w:tc>
                <w:tcPr>
                  <w:tcW w:w="1144" w:type="pct"/>
                  <w:shd w:val="clear" w:color="auto" w:fill="auto"/>
                  <w:noWrap w:val="0"/>
                  <w:vAlign w:val="center"/>
                </w:tcPr>
                <w:p w14:paraId="5FC9AF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0.00028</w:t>
                  </w:r>
                </w:p>
              </w:tc>
            </w:tr>
            <w:tr w14:paraId="47381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507" w:type="pct"/>
                  <w:shd w:val="clear" w:color="auto" w:fill="auto"/>
                  <w:noWrap w:val="0"/>
                  <w:vAlign w:val="center"/>
                </w:tcPr>
                <w:p w14:paraId="391478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w:t>
                  </w:r>
                </w:p>
              </w:tc>
              <w:tc>
                <w:tcPr>
                  <w:tcW w:w="1462" w:type="pct"/>
                  <w:shd w:val="clear" w:color="auto" w:fill="auto"/>
                  <w:noWrap w:val="0"/>
                  <w:vAlign w:val="center"/>
                </w:tcPr>
                <w:p w14:paraId="7BAF32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乙醇</w:t>
                  </w:r>
                </w:p>
              </w:tc>
              <w:tc>
                <w:tcPr>
                  <w:tcW w:w="940" w:type="pct"/>
                  <w:shd w:val="clear" w:color="auto" w:fill="auto"/>
                  <w:noWrap w:val="0"/>
                  <w:vAlign w:val="center"/>
                </w:tcPr>
                <w:p w14:paraId="777414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0.00048</w:t>
                  </w:r>
                </w:p>
              </w:tc>
              <w:tc>
                <w:tcPr>
                  <w:tcW w:w="945" w:type="pct"/>
                  <w:shd w:val="clear" w:color="auto" w:fill="auto"/>
                  <w:noWrap w:val="0"/>
                  <w:vAlign w:val="center"/>
                </w:tcPr>
                <w:p w14:paraId="0B69A8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500</w:t>
                  </w:r>
                </w:p>
              </w:tc>
              <w:tc>
                <w:tcPr>
                  <w:tcW w:w="1144" w:type="pct"/>
                  <w:shd w:val="clear" w:color="auto" w:fill="auto"/>
                  <w:noWrap w:val="0"/>
                  <w:vAlign w:val="center"/>
                </w:tcPr>
                <w:p w14:paraId="4D58D7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0.00000096</w:t>
                  </w:r>
                </w:p>
              </w:tc>
            </w:tr>
            <w:tr w14:paraId="0FB67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507" w:type="pct"/>
                  <w:shd w:val="clear" w:color="auto" w:fill="auto"/>
                  <w:noWrap w:val="0"/>
                  <w:vAlign w:val="center"/>
                </w:tcPr>
                <w:p w14:paraId="520BB5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w:t>
                  </w:r>
                </w:p>
              </w:tc>
              <w:tc>
                <w:tcPr>
                  <w:tcW w:w="1462" w:type="pct"/>
                  <w:shd w:val="clear" w:color="auto" w:fill="auto"/>
                  <w:noWrap w:val="0"/>
                  <w:vAlign w:val="center"/>
                </w:tcPr>
                <w:p w14:paraId="318903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双氧水</w:t>
                  </w:r>
                </w:p>
              </w:tc>
              <w:tc>
                <w:tcPr>
                  <w:tcW w:w="940" w:type="pct"/>
                  <w:shd w:val="clear" w:color="auto" w:fill="auto"/>
                  <w:noWrap w:val="0"/>
                  <w:vAlign w:val="center"/>
                </w:tcPr>
                <w:p w14:paraId="14A832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0.00165</w:t>
                  </w:r>
                </w:p>
              </w:tc>
              <w:tc>
                <w:tcPr>
                  <w:tcW w:w="945" w:type="pct"/>
                  <w:shd w:val="clear" w:color="auto" w:fill="auto"/>
                  <w:noWrap w:val="0"/>
                  <w:vAlign w:val="center"/>
                </w:tcPr>
                <w:p w14:paraId="04AB23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50</w:t>
                  </w:r>
                </w:p>
              </w:tc>
              <w:tc>
                <w:tcPr>
                  <w:tcW w:w="1144" w:type="pct"/>
                  <w:shd w:val="clear" w:color="auto" w:fill="auto"/>
                  <w:noWrap w:val="0"/>
                  <w:vAlign w:val="center"/>
                </w:tcPr>
                <w:p w14:paraId="181EDB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0.000033</w:t>
                  </w:r>
                </w:p>
              </w:tc>
            </w:tr>
            <w:tr w14:paraId="03218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507" w:type="pct"/>
                  <w:shd w:val="clear" w:color="auto" w:fill="auto"/>
                  <w:noWrap w:val="0"/>
                  <w:vAlign w:val="center"/>
                </w:tcPr>
                <w:p w14:paraId="5169D9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5</w:t>
                  </w:r>
                </w:p>
              </w:tc>
              <w:tc>
                <w:tcPr>
                  <w:tcW w:w="1462" w:type="pct"/>
                  <w:shd w:val="clear" w:color="auto" w:fill="auto"/>
                  <w:noWrap w:val="0"/>
                  <w:vAlign w:val="center"/>
                </w:tcPr>
                <w:p w14:paraId="15EE5F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天然气</w:t>
                  </w:r>
                </w:p>
              </w:tc>
              <w:tc>
                <w:tcPr>
                  <w:tcW w:w="940" w:type="pct"/>
                  <w:shd w:val="clear" w:color="auto" w:fill="auto"/>
                  <w:noWrap w:val="0"/>
                  <w:vAlign w:val="center"/>
                </w:tcPr>
                <w:p w14:paraId="3F393C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0.55</w:t>
                  </w:r>
                </w:p>
              </w:tc>
              <w:tc>
                <w:tcPr>
                  <w:tcW w:w="945" w:type="pct"/>
                  <w:shd w:val="clear" w:color="auto" w:fill="auto"/>
                  <w:noWrap w:val="0"/>
                  <w:vAlign w:val="center"/>
                </w:tcPr>
                <w:p w14:paraId="1137F9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w:t>
                  </w:r>
                </w:p>
              </w:tc>
              <w:tc>
                <w:tcPr>
                  <w:tcW w:w="1144" w:type="pct"/>
                  <w:shd w:val="clear" w:color="auto" w:fill="auto"/>
                  <w:noWrap w:val="0"/>
                  <w:vAlign w:val="center"/>
                </w:tcPr>
                <w:p w14:paraId="591A5F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0.055</w:t>
                  </w:r>
                </w:p>
              </w:tc>
            </w:tr>
            <w:tr w14:paraId="5FD9A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507" w:type="pct"/>
                  <w:shd w:val="clear" w:color="auto" w:fill="auto"/>
                  <w:noWrap w:val="0"/>
                  <w:vAlign w:val="center"/>
                </w:tcPr>
                <w:p w14:paraId="623C7F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6</w:t>
                  </w:r>
                </w:p>
              </w:tc>
              <w:tc>
                <w:tcPr>
                  <w:tcW w:w="1462" w:type="pct"/>
                  <w:shd w:val="clear" w:color="auto" w:fill="auto"/>
                  <w:noWrap w:val="0"/>
                  <w:vAlign w:val="center"/>
                </w:tcPr>
                <w:p w14:paraId="062FB2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硫酸</w:t>
                  </w:r>
                </w:p>
              </w:tc>
              <w:tc>
                <w:tcPr>
                  <w:tcW w:w="940" w:type="pct"/>
                  <w:shd w:val="clear" w:color="auto" w:fill="auto"/>
                  <w:noWrap w:val="0"/>
                  <w:vAlign w:val="center"/>
                </w:tcPr>
                <w:p w14:paraId="0E827C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0.0027</w:t>
                  </w:r>
                </w:p>
              </w:tc>
              <w:tc>
                <w:tcPr>
                  <w:tcW w:w="945" w:type="pct"/>
                  <w:shd w:val="clear" w:color="auto" w:fill="auto"/>
                  <w:noWrap w:val="0"/>
                  <w:vAlign w:val="center"/>
                </w:tcPr>
                <w:p w14:paraId="424505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w:t>
                  </w:r>
                </w:p>
              </w:tc>
              <w:tc>
                <w:tcPr>
                  <w:tcW w:w="1144" w:type="pct"/>
                  <w:shd w:val="clear" w:color="auto" w:fill="auto"/>
                  <w:noWrap w:val="0"/>
                  <w:vAlign w:val="center"/>
                </w:tcPr>
                <w:p w14:paraId="0D724D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0.00027</w:t>
                  </w:r>
                </w:p>
              </w:tc>
            </w:tr>
            <w:tr w14:paraId="0C7E2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507" w:type="pct"/>
                  <w:shd w:val="clear" w:color="auto" w:fill="auto"/>
                  <w:noWrap w:val="0"/>
                  <w:vAlign w:val="center"/>
                </w:tcPr>
                <w:p w14:paraId="072673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7</w:t>
                  </w:r>
                </w:p>
              </w:tc>
              <w:tc>
                <w:tcPr>
                  <w:tcW w:w="1462" w:type="pct"/>
                  <w:shd w:val="clear" w:color="auto" w:fill="auto"/>
                  <w:noWrap w:val="0"/>
                  <w:vAlign w:val="center"/>
                </w:tcPr>
                <w:p w14:paraId="5863C8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丙酮</w:t>
                  </w:r>
                </w:p>
              </w:tc>
              <w:tc>
                <w:tcPr>
                  <w:tcW w:w="940" w:type="pct"/>
                  <w:shd w:val="clear" w:color="auto" w:fill="auto"/>
                  <w:noWrap w:val="0"/>
                  <w:vAlign w:val="center"/>
                </w:tcPr>
                <w:p w14:paraId="052910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0.0012</w:t>
                  </w:r>
                </w:p>
              </w:tc>
              <w:tc>
                <w:tcPr>
                  <w:tcW w:w="945" w:type="pct"/>
                  <w:shd w:val="clear" w:color="auto" w:fill="auto"/>
                  <w:noWrap w:val="0"/>
                  <w:vAlign w:val="center"/>
                </w:tcPr>
                <w:p w14:paraId="79EA1A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w:t>
                  </w:r>
                </w:p>
              </w:tc>
              <w:tc>
                <w:tcPr>
                  <w:tcW w:w="1144" w:type="pct"/>
                  <w:shd w:val="clear" w:color="auto" w:fill="auto"/>
                  <w:noWrap w:val="0"/>
                  <w:vAlign w:val="center"/>
                </w:tcPr>
                <w:p w14:paraId="7DE71D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0.00012</w:t>
                  </w:r>
                </w:p>
              </w:tc>
            </w:tr>
            <w:tr w14:paraId="36610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noWrap w:val="0"/>
                  <w:vAlign w:val="center"/>
                </w:tcPr>
                <w:p w14:paraId="25FEB5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w:t>
                  </w:r>
                </w:p>
              </w:tc>
              <w:tc>
                <w:tcPr>
                  <w:tcW w:w="1462" w:type="pct"/>
                  <w:shd w:val="clear" w:color="auto" w:fill="auto"/>
                  <w:noWrap w:val="0"/>
                  <w:vAlign w:val="center"/>
                </w:tcPr>
                <w:p w14:paraId="2A1FA7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异丙醇</w:t>
                  </w:r>
                </w:p>
              </w:tc>
              <w:tc>
                <w:tcPr>
                  <w:tcW w:w="940" w:type="pct"/>
                  <w:shd w:val="clear" w:color="auto" w:fill="auto"/>
                  <w:noWrap w:val="0"/>
                  <w:vAlign w:val="center"/>
                </w:tcPr>
                <w:p w14:paraId="15897B4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0.0008</w:t>
                  </w:r>
                </w:p>
              </w:tc>
              <w:tc>
                <w:tcPr>
                  <w:tcW w:w="945" w:type="pct"/>
                  <w:shd w:val="clear" w:color="auto" w:fill="auto"/>
                  <w:noWrap w:val="0"/>
                  <w:vAlign w:val="center"/>
                </w:tcPr>
                <w:p w14:paraId="4F05DC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w:t>
                  </w:r>
                </w:p>
              </w:tc>
              <w:tc>
                <w:tcPr>
                  <w:tcW w:w="1144" w:type="pct"/>
                  <w:shd w:val="clear" w:color="auto" w:fill="auto"/>
                  <w:noWrap w:val="0"/>
                  <w:vAlign w:val="center"/>
                </w:tcPr>
                <w:p w14:paraId="7D3852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0.00008</w:t>
                  </w:r>
                </w:p>
              </w:tc>
            </w:tr>
            <w:tr w14:paraId="0D277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507" w:type="pct"/>
                  <w:noWrap w:val="0"/>
                  <w:vAlign w:val="center"/>
                </w:tcPr>
                <w:p w14:paraId="08A5E1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w:t>
                  </w:r>
                </w:p>
              </w:tc>
              <w:tc>
                <w:tcPr>
                  <w:tcW w:w="1462" w:type="pct"/>
                  <w:shd w:val="clear" w:color="auto" w:fill="auto"/>
                  <w:noWrap w:val="0"/>
                  <w:vAlign w:val="center"/>
                </w:tcPr>
                <w:p w14:paraId="4BE06F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助焊剂</w:t>
                  </w:r>
                </w:p>
              </w:tc>
              <w:tc>
                <w:tcPr>
                  <w:tcW w:w="940" w:type="pct"/>
                  <w:shd w:val="clear" w:color="auto" w:fill="auto"/>
                  <w:noWrap w:val="0"/>
                  <w:vAlign w:val="center"/>
                </w:tcPr>
                <w:p w14:paraId="715DE9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0.004</w:t>
                  </w:r>
                </w:p>
              </w:tc>
              <w:tc>
                <w:tcPr>
                  <w:tcW w:w="945" w:type="pct"/>
                  <w:shd w:val="clear" w:color="auto" w:fill="auto"/>
                  <w:noWrap w:val="0"/>
                  <w:vAlign w:val="center"/>
                </w:tcPr>
                <w:p w14:paraId="42CCF5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50</w:t>
                  </w:r>
                </w:p>
              </w:tc>
              <w:tc>
                <w:tcPr>
                  <w:tcW w:w="1144" w:type="pct"/>
                  <w:shd w:val="clear" w:color="auto" w:fill="auto"/>
                  <w:noWrap w:val="0"/>
                  <w:vAlign w:val="center"/>
                </w:tcPr>
                <w:p w14:paraId="2C32AC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0.00008</w:t>
                  </w:r>
                </w:p>
              </w:tc>
            </w:tr>
            <w:tr w14:paraId="5A91D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55" w:type="pct"/>
                  <w:gridSpan w:val="4"/>
                  <w:noWrap w:val="0"/>
                  <w:vAlign w:val="center"/>
                </w:tcPr>
                <w:p w14:paraId="69CA6C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合计</w:t>
                  </w:r>
                </w:p>
              </w:tc>
              <w:tc>
                <w:tcPr>
                  <w:tcW w:w="1144" w:type="pct"/>
                  <w:noWrap w:val="0"/>
                  <w:vAlign w:val="center"/>
                </w:tcPr>
                <w:p w14:paraId="6F5906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0.0561</w:t>
                  </w:r>
                </w:p>
              </w:tc>
            </w:tr>
          </w:tbl>
          <w:p w14:paraId="21D61142">
            <w:pPr>
              <w:rPr>
                <w:color w:val="auto"/>
              </w:rPr>
            </w:pPr>
            <w:r>
              <w:rPr>
                <w:rFonts w:hint="eastAsia"/>
                <w:color w:val="auto"/>
              </w:rPr>
              <w:t>Q＜1，因此，本项目环境风险潜势为I，风险评级为“简单分析”。</w:t>
            </w:r>
          </w:p>
          <w:p w14:paraId="0300390E">
            <w:pPr>
              <w:ind w:firstLine="482"/>
              <w:rPr>
                <w:rFonts w:hint="default" w:eastAsia="宋体"/>
                <w:b/>
                <w:bCs/>
                <w:color w:val="auto"/>
                <w:lang w:val="en-US" w:eastAsia="zh-CN"/>
              </w:rPr>
            </w:pPr>
            <w:r>
              <w:rPr>
                <w:rFonts w:hint="eastAsia"/>
                <w:b/>
                <w:bCs/>
                <w:color w:val="auto"/>
                <w:lang w:eastAsia="zh-CN"/>
              </w:rPr>
              <w:t>（</w:t>
            </w:r>
            <w:r>
              <w:rPr>
                <w:rFonts w:hint="eastAsia"/>
                <w:b/>
                <w:bCs/>
                <w:color w:val="auto"/>
                <w:lang w:val="en-US" w:eastAsia="zh-CN"/>
              </w:rPr>
              <w:t>2）风险源分布及可能影响途径</w:t>
            </w:r>
          </w:p>
          <w:p w14:paraId="73A90E27">
            <w:pPr>
              <w:rPr>
                <w:rFonts w:hint="eastAsia"/>
                <w:color w:val="auto"/>
              </w:rPr>
            </w:pPr>
            <w:r>
              <w:rPr>
                <w:rFonts w:hint="eastAsia"/>
                <w:color w:val="auto"/>
              </w:rPr>
              <w:t>根据建设单位提供资料，项目使用的原材料均采用小容量单体包装，存放在</w:t>
            </w:r>
            <w:r>
              <w:rPr>
                <w:rFonts w:hint="eastAsia"/>
                <w:color w:val="auto"/>
                <w:lang w:val="en-US" w:eastAsia="zh-CN"/>
              </w:rPr>
              <w:t>库房</w:t>
            </w:r>
            <w:r>
              <w:rPr>
                <w:rFonts w:hint="eastAsia"/>
                <w:color w:val="auto"/>
              </w:rPr>
              <w:t>中，项目不设置大容量储罐对风险物质进行储存，使用时从</w:t>
            </w:r>
            <w:r>
              <w:rPr>
                <w:rFonts w:hint="eastAsia"/>
                <w:color w:val="auto"/>
                <w:lang w:val="en-US" w:eastAsia="zh-CN"/>
              </w:rPr>
              <w:t>库房</w:t>
            </w:r>
            <w:r>
              <w:rPr>
                <w:rFonts w:hint="eastAsia"/>
                <w:color w:val="auto"/>
              </w:rPr>
              <w:t>中</w:t>
            </w:r>
            <w:r>
              <w:rPr>
                <w:rFonts w:hint="eastAsia"/>
                <w:color w:val="auto"/>
                <w:lang w:val="en-US" w:eastAsia="zh-CN"/>
              </w:rPr>
              <w:t>取用</w:t>
            </w:r>
            <w:r>
              <w:rPr>
                <w:rFonts w:hint="eastAsia"/>
                <w:color w:val="auto"/>
              </w:rPr>
              <w:t>，在</w:t>
            </w:r>
            <w:r>
              <w:rPr>
                <w:rFonts w:hint="eastAsia"/>
                <w:color w:val="auto"/>
                <w:lang w:val="en-US" w:eastAsia="zh-CN"/>
              </w:rPr>
              <w:t>实验室</w:t>
            </w:r>
            <w:r>
              <w:rPr>
                <w:rFonts w:hint="eastAsia"/>
                <w:color w:val="auto"/>
              </w:rPr>
              <w:t>内未使用完的风险物质设置防爆柜、耐腐蚀柜暂存。风险物质主要分布于</w:t>
            </w:r>
            <w:r>
              <w:rPr>
                <w:rFonts w:hint="eastAsia"/>
                <w:color w:val="auto"/>
                <w:lang w:val="en-US" w:eastAsia="zh-CN"/>
              </w:rPr>
              <w:t>库房</w:t>
            </w:r>
            <w:r>
              <w:rPr>
                <w:rFonts w:hint="eastAsia"/>
                <w:color w:val="auto"/>
              </w:rPr>
              <w:t>、</w:t>
            </w:r>
            <w:r>
              <w:rPr>
                <w:rFonts w:hint="eastAsia"/>
                <w:color w:val="auto"/>
                <w:lang w:val="en-US" w:eastAsia="zh-CN"/>
              </w:rPr>
              <w:t>实验室、</w:t>
            </w:r>
            <w:r>
              <w:rPr>
                <w:rFonts w:hint="eastAsia"/>
                <w:color w:val="auto"/>
              </w:rPr>
              <w:t>危废贮存库等位置，可能的影响途径主要为泄漏、火灾燃烧后产生的伴生/次生污染物等，主要表现在风险物质泄漏后挥发气体对大气环境影响，以及火灾燃烧后产生的 CO 对大气环境影响，消防废水对周边土壤、地下水环境影响等。</w:t>
            </w:r>
          </w:p>
          <w:p w14:paraId="4C522280">
            <w:pPr>
              <w:ind w:firstLine="482"/>
              <w:rPr>
                <w:rFonts w:hint="eastAsia" w:eastAsia="宋体"/>
                <w:b/>
                <w:bCs/>
                <w:color w:val="auto"/>
                <w:lang w:eastAsia="zh-CN"/>
              </w:rPr>
            </w:pPr>
            <w:r>
              <w:rPr>
                <w:rFonts w:hint="eastAsia"/>
                <w:b/>
                <w:bCs/>
                <w:color w:val="auto"/>
                <w:lang w:eastAsia="zh-CN"/>
              </w:rPr>
              <w:t>（</w:t>
            </w:r>
            <w:r>
              <w:rPr>
                <w:rFonts w:hint="eastAsia"/>
                <w:b/>
                <w:bCs/>
                <w:color w:val="auto"/>
                <w:lang w:val="en-US" w:eastAsia="zh-CN"/>
              </w:rPr>
              <w:t>3）</w:t>
            </w:r>
            <w:r>
              <w:rPr>
                <w:rFonts w:hint="eastAsia"/>
                <w:b/>
                <w:bCs/>
                <w:color w:val="auto"/>
                <w:lang w:eastAsia="zh-CN"/>
              </w:rPr>
              <w:t>环境</w:t>
            </w:r>
            <w:r>
              <w:rPr>
                <w:rFonts w:hint="eastAsia"/>
                <w:b/>
                <w:bCs/>
                <w:color w:val="auto"/>
              </w:rPr>
              <w:t>风险防范措施</w:t>
            </w:r>
            <w:r>
              <w:rPr>
                <w:rFonts w:hint="eastAsia"/>
                <w:b/>
                <w:bCs/>
                <w:color w:val="auto"/>
                <w:lang w:eastAsia="zh-CN"/>
              </w:rPr>
              <w:t>及应急要求</w:t>
            </w:r>
          </w:p>
          <w:p w14:paraId="1745919E">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环境风险事故分析</w:t>
            </w:r>
          </w:p>
          <w:p w14:paraId="2AC4AF8A">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a、</w:t>
            </w:r>
            <w:r>
              <w:rPr>
                <w:rFonts w:hint="default" w:ascii="Times New Roman" w:hAnsi="Times New Roman" w:eastAsia="宋体" w:cs="Times New Roman"/>
                <w:color w:val="auto"/>
                <w:sz w:val="24"/>
                <w:szCs w:val="24"/>
              </w:rPr>
              <w:t>因不可抗拒因素或操作失误，引起</w:t>
            </w:r>
            <w:r>
              <w:rPr>
                <w:rFonts w:hint="eastAsia" w:cs="Times New Roman"/>
                <w:color w:val="auto"/>
                <w:sz w:val="24"/>
                <w:szCs w:val="24"/>
                <w:lang w:eastAsia="zh-CN"/>
              </w:rPr>
              <w:t>化学试剂</w:t>
            </w:r>
            <w:r>
              <w:rPr>
                <w:rFonts w:hint="default" w:ascii="Times New Roman" w:hAnsi="Times New Roman" w:eastAsia="宋体" w:cs="Times New Roman"/>
                <w:color w:val="auto"/>
                <w:sz w:val="24"/>
                <w:szCs w:val="24"/>
              </w:rPr>
              <w:t>破碎、泄漏，从而进入周围环境，对</w:t>
            </w:r>
            <w:r>
              <w:rPr>
                <w:rFonts w:hint="eastAsia" w:cs="Times New Roman"/>
                <w:color w:val="auto"/>
                <w:sz w:val="24"/>
                <w:szCs w:val="24"/>
                <w:lang w:eastAsia="zh-CN"/>
              </w:rPr>
              <w:t>项目</w:t>
            </w:r>
            <w:r>
              <w:rPr>
                <w:rFonts w:hint="default" w:ascii="Times New Roman" w:hAnsi="Times New Roman" w:eastAsia="宋体" w:cs="Times New Roman"/>
                <w:color w:val="auto"/>
                <w:sz w:val="24"/>
                <w:szCs w:val="24"/>
              </w:rPr>
              <w:t>周边设施、环境造成腐蚀污染，甚至造成人员受伤。</w:t>
            </w:r>
          </w:p>
          <w:p w14:paraId="5B114AE7">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b、</w:t>
            </w:r>
            <w:r>
              <w:rPr>
                <w:rFonts w:hint="default" w:ascii="Times New Roman" w:hAnsi="Times New Roman" w:eastAsia="宋体" w:cs="Times New Roman"/>
                <w:color w:val="auto"/>
                <w:sz w:val="24"/>
                <w:szCs w:val="24"/>
              </w:rPr>
              <w:t>试剂在使用、贮存和运输过程中，因意外事故造成泄</w:t>
            </w:r>
            <w:r>
              <w:rPr>
                <w:rFonts w:hint="eastAsia" w:cs="Times New Roman"/>
                <w:color w:val="auto"/>
                <w:sz w:val="24"/>
                <w:szCs w:val="24"/>
                <w:lang w:eastAsia="zh-CN"/>
              </w:rPr>
              <w:t>漏</w:t>
            </w:r>
            <w:r>
              <w:rPr>
                <w:rFonts w:hint="default" w:ascii="Times New Roman" w:hAnsi="Times New Roman" w:eastAsia="宋体" w:cs="Times New Roman"/>
                <w:color w:val="auto"/>
                <w:sz w:val="24"/>
                <w:szCs w:val="24"/>
              </w:rPr>
              <w:t>，会对周围环境产生的影响。</w:t>
            </w:r>
          </w:p>
          <w:p w14:paraId="5394323D">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c</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试剂接触引发人身损伤。</w:t>
            </w:r>
          </w:p>
          <w:p w14:paraId="093E0C14">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d</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发生火灾会给企业带来重大损失，危及职工生命和企业财产的安全。必须加强管理，做好消防安全工作。</w:t>
            </w:r>
          </w:p>
          <w:p w14:paraId="49E96442">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eastAsia="zh-CN"/>
              </w:rPr>
              <w:t>）环境风险防范措施及应急要求</w:t>
            </w:r>
          </w:p>
          <w:p w14:paraId="75160381">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a、</w:t>
            </w:r>
            <w:r>
              <w:rPr>
                <w:rFonts w:hint="default" w:ascii="Times New Roman" w:hAnsi="Times New Roman" w:eastAsia="宋体" w:cs="Times New Roman"/>
                <w:color w:val="auto"/>
                <w:sz w:val="24"/>
                <w:szCs w:val="24"/>
                <w:lang w:eastAsia="zh-CN"/>
              </w:rPr>
              <w:t>项目厂区内均硬化处理，风险物质存储于</w:t>
            </w:r>
            <w:r>
              <w:rPr>
                <w:rFonts w:hint="eastAsia" w:cs="Times New Roman"/>
                <w:color w:val="auto"/>
                <w:sz w:val="24"/>
                <w:szCs w:val="24"/>
                <w:lang w:val="en-US" w:eastAsia="zh-CN"/>
              </w:rPr>
              <w:t>库房</w:t>
            </w:r>
            <w:r>
              <w:rPr>
                <w:rFonts w:hint="eastAsia" w:ascii="Times New Roman" w:hAnsi="Times New Roman" w:eastAsia="宋体" w:cs="Times New Roman"/>
                <w:color w:val="auto"/>
                <w:sz w:val="24"/>
                <w:szCs w:val="24"/>
                <w:lang w:val="en-US" w:eastAsia="zh-CN"/>
              </w:rPr>
              <w:t>及危废贮存库</w:t>
            </w:r>
            <w:r>
              <w:rPr>
                <w:rFonts w:hint="default" w:ascii="Times New Roman" w:hAnsi="Times New Roman" w:eastAsia="宋体" w:cs="Times New Roman"/>
                <w:color w:val="auto"/>
                <w:sz w:val="24"/>
                <w:szCs w:val="24"/>
                <w:lang w:eastAsia="zh-CN"/>
              </w:rPr>
              <w:t>内，</w:t>
            </w:r>
            <w:r>
              <w:rPr>
                <w:rFonts w:hint="eastAsia" w:ascii="Times New Roman" w:hAnsi="Times New Roman" w:eastAsia="宋体" w:cs="Times New Roman"/>
                <w:color w:val="auto"/>
                <w:sz w:val="24"/>
                <w:szCs w:val="24"/>
                <w:lang w:eastAsia="zh-CN"/>
              </w:rPr>
              <w:t>且项目内存储的各类风险物质储存量较小，风险物质泄漏易于收集。</w:t>
            </w:r>
          </w:p>
          <w:p w14:paraId="58D8A2CB">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b、</w:t>
            </w:r>
            <w:r>
              <w:rPr>
                <w:rFonts w:hint="eastAsia" w:ascii="Times New Roman" w:hAnsi="Times New Roman" w:eastAsia="宋体" w:cs="Times New Roman"/>
                <w:color w:val="auto"/>
                <w:sz w:val="24"/>
                <w:szCs w:val="24"/>
                <w:lang w:eastAsia="zh-CN"/>
              </w:rPr>
              <w:t>定期对</w:t>
            </w:r>
            <w:r>
              <w:rPr>
                <w:rFonts w:hint="eastAsia" w:ascii="Times New Roman" w:hAnsi="Times New Roman" w:eastAsia="宋体" w:cs="Times New Roman"/>
                <w:color w:val="auto"/>
                <w:sz w:val="24"/>
                <w:szCs w:val="24"/>
                <w:lang w:val="en-US" w:eastAsia="zh-CN"/>
              </w:rPr>
              <w:t>化学品库</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eastAsia="zh-CN"/>
              </w:rPr>
              <w:t>危废贮存库等进行检查、维修，以保证设施的完好</w:t>
            </w:r>
            <w:r>
              <w:rPr>
                <w:rFonts w:hint="default" w:ascii="Times New Roman" w:hAnsi="Times New Roman" w:eastAsia="宋体" w:cs="Times New Roman"/>
                <w:color w:val="auto"/>
                <w:sz w:val="24"/>
                <w:szCs w:val="24"/>
                <w:lang w:eastAsia="zh-CN"/>
              </w:rPr>
              <w:t>。</w:t>
            </w:r>
          </w:p>
          <w:p w14:paraId="4249B970">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c</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GB" w:eastAsia="zh-CN"/>
              </w:rPr>
              <w:t>加强管理工作，</w:t>
            </w:r>
            <w:r>
              <w:rPr>
                <w:rFonts w:hint="eastAsia" w:ascii="Times New Roman" w:hAnsi="Times New Roman" w:eastAsia="宋体" w:cs="Times New Roman"/>
                <w:color w:val="auto"/>
                <w:sz w:val="24"/>
                <w:szCs w:val="24"/>
                <w:lang w:val="en-US" w:eastAsia="zh-CN"/>
              </w:rPr>
              <w:t>化学品库</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eastAsia="zh-CN"/>
              </w:rPr>
              <w:t>危废贮存库</w:t>
            </w:r>
            <w:r>
              <w:rPr>
                <w:rFonts w:hint="default" w:ascii="Times New Roman" w:hAnsi="Times New Roman" w:eastAsia="宋体" w:cs="Times New Roman"/>
                <w:color w:val="auto"/>
                <w:sz w:val="24"/>
                <w:szCs w:val="24"/>
                <w:lang w:val="en-GB" w:eastAsia="zh-CN"/>
              </w:rPr>
              <w:t>等</w:t>
            </w:r>
            <w:r>
              <w:rPr>
                <w:rFonts w:hint="eastAsia" w:ascii="Times New Roman" w:hAnsi="Times New Roman" w:eastAsia="宋体" w:cs="Times New Roman"/>
                <w:color w:val="auto"/>
                <w:sz w:val="24"/>
                <w:szCs w:val="24"/>
                <w:lang w:val="en-GB" w:eastAsia="zh-CN"/>
              </w:rPr>
              <w:t>应有专人管理，管理人员应具备应急处理能力。同时应具备应急的器械或有关用具，</w:t>
            </w:r>
            <w:r>
              <w:rPr>
                <w:rFonts w:hint="default" w:ascii="Times New Roman" w:hAnsi="Times New Roman" w:eastAsia="宋体" w:cs="Times New Roman"/>
                <w:color w:val="auto"/>
                <w:sz w:val="24"/>
                <w:szCs w:val="24"/>
                <w:lang w:val="en-GB" w:eastAsia="zh-CN"/>
              </w:rPr>
              <w:t>制定安全生产管理制度</w:t>
            </w:r>
            <w:r>
              <w:rPr>
                <w:rFonts w:hint="default" w:ascii="Times New Roman" w:hAnsi="Times New Roman" w:eastAsia="宋体" w:cs="Times New Roman"/>
                <w:color w:val="auto"/>
                <w:sz w:val="24"/>
                <w:szCs w:val="24"/>
                <w:lang w:eastAsia="zh-CN"/>
              </w:rPr>
              <w:t>。</w:t>
            </w:r>
          </w:p>
          <w:p w14:paraId="3B9CAEB7">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bCs/>
                <w:color w:val="auto"/>
                <w:sz w:val="24"/>
                <w:highlight w:val="none"/>
                <w:lang w:val="en-US" w:eastAsia="zh-CN"/>
              </w:rPr>
            </w:pPr>
            <w:r>
              <w:rPr>
                <w:rFonts w:hint="default" w:ascii="Times New Roman" w:hAnsi="Times New Roman" w:eastAsia="宋体" w:cs="Times New Roman"/>
                <w:color w:val="auto"/>
                <w:sz w:val="24"/>
                <w:szCs w:val="24"/>
                <w:lang w:val="en-US" w:eastAsia="zh-CN"/>
              </w:rPr>
              <w:t>d</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编制突发环境事件应急预案</w:t>
            </w:r>
            <w:r>
              <w:rPr>
                <w:rFonts w:hint="eastAsia"/>
                <w:bCs/>
                <w:color w:val="auto"/>
                <w:sz w:val="24"/>
                <w:highlight w:val="none"/>
                <w:lang w:val="en-US" w:eastAsia="zh-CN"/>
              </w:rPr>
              <w:t>并报主管部门进行备案，按照预案要求配备应急人员及应急物资，定期安排演练。</w:t>
            </w:r>
          </w:p>
          <w:p w14:paraId="01C9D97E">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480" w:firstLineChars="200"/>
              <w:textAlignment w:val="auto"/>
              <w:rPr>
                <w:rFonts w:hint="default"/>
                <w:color w:val="auto"/>
                <w:lang w:val="en-US" w:eastAsia="zh-CN"/>
              </w:rPr>
            </w:pPr>
            <w:r>
              <w:rPr>
                <w:bCs/>
                <w:color w:val="auto"/>
                <w:sz w:val="24"/>
                <w:highlight w:val="none"/>
              </w:rPr>
              <w:t>综上，在各项环境风险防范措施落实到位的情况下，可最大程度减少对环境可能造成的危害，项目的环境风险水平可接受</w:t>
            </w:r>
            <w:r>
              <w:rPr>
                <w:rFonts w:hint="eastAsia"/>
                <w:bCs/>
                <w:color w:val="auto"/>
                <w:sz w:val="24"/>
                <w:highlight w:val="none"/>
                <w:lang w:eastAsia="zh-CN"/>
              </w:rPr>
              <w:t>。</w:t>
            </w:r>
          </w:p>
          <w:p w14:paraId="1DB120A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lang w:eastAsia="zh-CN"/>
              </w:rPr>
              <w:t>）</w:t>
            </w:r>
            <w:r>
              <w:rPr>
                <w:rFonts w:hint="default" w:ascii="Times New Roman" w:hAnsi="Times New Roman" w:eastAsia="宋体" w:cs="Times New Roman"/>
                <w:b/>
                <w:bCs/>
                <w:color w:val="auto"/>
                <w:sz w:val="24"/>
                <w:szCs w:val="24"/>
              </w:rPr>
              <w:t>环境风险评价小结</w:t>
            </w:r>
          </w:p>
          <w:p w14:paraId="696757E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eastAsia="宋体"/>
                <w:bCs/>
                <w:color w:val="auto"/>
                <w:lang w:val="en-US" w:eastAsia="zh-CN"/>
              </w:rPr>
            </w:pPr>
            <w:r>
              <w:rPr>
                <w:rFonts w:hint="default" w:ascii="Times New Roman" w:hAnsi="Times New Roman" w:eastAsia="宋体" w:cs="Times New Roman"/>
                <w:color w:val="auto"/>
                <w:sz w:val="24"/>
                <w:szCs w:val="24"/>
              </w:rPr>
              <w:t>综上所述，本项目运营过程中，在各环境风险防范措施落实到位的情况下，将可大大降低建设项目的环境风险，最大程度减少对环境可能造成的危害，项目的环境风险水平是可以接受的。</w:t>
            </w:r>
          </w:p>
        </w:tc>
      </w:tr>
    </w:tbl>
    <w:p w14:paraId="6F4B8AD7">
      <w:pPr>
        <w:pStyle w:val="14"/>
        <w:rPr>
          <w:snapToGrid w:val="0"/>
          <w:color w:val="auto"/>
        </w:rPr>
        <w:sectPr>
          <w:pgSz w:w="11907" w:h="16840"/>
          <w:pgMar w:top="1701" w:right="1531" w:bottom="2126" w:left="1531" w:header="851" w:footer="851" w:gutter="0"/>
          <w:pgBorders>
            <w:top w:val="none" w:sz="0" w:space="0"/>
            <w:left w:val="none" w:sz="0" w:space="0"/>
            <w:bottom w:val="none" w:sz="0" w:space="0"/>
            <w:right w:val="none" w:sz="0" w:space="0"/>
          </w:pgBorders>
          <w:cols w:space="720" w:num="1"/>
          <w:docGrid w:linePitch="312" w:charSpace="0"/>
        </w:sectPr>
      </w:pPr>
    </w:p>
    <w:p w14:paraId="2D3E95EB">
      <w:pPr>
        <w:pStyle w:val="14"/>
        <w:ind w:firstLine="600"/>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五、</w:t>
      </w:r>
      <w:bookmarkStart w:id="4" w:name="_Hlk54167917"/>
      <w:r>
        <w:rPr>
          <w:rFonts w:ascii="Times New Roman" w:hAnsi="Times New Roman" w:eastAsia="黑体"/>
          <w:snapToGrid w:val="0"/>
          <w:color w:val="auto"/>
          <w:sz w:val="30"/>
          <w:szCs w:val="30"/>
        </w:rPr>
        <w:t>环境保护措施监督检查清单</w:t>
      </w:r>
      <w:bookmarkEnd w:id="4"/>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1684"/>
        <w:gridCol w:w="1519"/>
        <w:gridCol w:w="1991"/>
        <w:gridCol w:w="2143"/>
      </w:tblGrid>
      <w:tr w14:paraId="68431D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14" w:type="dxa"/>
            <w:tcBorders>
              <w:tl2br w:val="single" w:color="auto" w:sz="4" w:space="0"/>
            </w:tcBorders>
            <w:noWrap w:val="0"/>
            <w:vAlign w:val="center"/>
          </w:tcPr>
          <w:p w14:paraId="02110F05">
            <w:pPr>
              <w:keepNext w:val="0"/>
              <w:keepLines w:val="0"/>
              <w:pageBreakBefore w:val="0"/>
              <w:widowControl w:val="0"/>
              <w:kinsoku/>
              <w:wordWrap/>
              <w:overflowPunct/>
              <w:topLinePunct w:val="0"/>
              <w:autoSpaceDE/>
              <w:autoSpaceDN/>
              <w:bidi w:val="0"/>
              <w:adjustRightInd/>
              <w:snapToGrid/>
              <w:spacing w:line="520" w:lineRule="atLeast"/>
              <w:ind w:firstLine="0" w:firstLineChars="0"/>
              <w:jc w:val="right"/>
              <w:textAlignment w:val="auto"/>
              <w:rPr>
                <w:b/>
                <w:bCs/>
                <w:color w:val="auto"/>
                <w:sz w:val="24"/>
                <w:szCs w:val="24"/>
              </w:rPr>
            </w:pPr>
            <w:r>
              <w:rPr>
                <w:b/>
                <w:bCs/>
                <w:color w:val="auto"/>
                <w:sz w:val="24"/>
                <w:szCs w:val="24"/>
              </w:rPr>
              <w:t>内容</w:t>
            </w:r>
          </w:p>
          <w:p w14:paraId="048CA166">
            <w:pPr>
              <w:keepNext w:val="0"/>
              <w:keepLines w:val="0"/>
              <w:pageBreakBefore w:val="0"/>
              <w:widowControl w:val="0"/>
              <w:kinsoku/>
              <w:wordWrap/>
              <w:overflowPunct/>
              <w:topLinePunct w:val="0"/>
              <w:autoSpaceDE/>
              <w:autoSpaceDN/>
              <w:bidi w:val="0"/>
              <w:adjustRightInd/>
              <w:snapToGrid/>
              <w:spacing w:line="520" w:lineRule="atLeast"/>
              <w:ind w:firstLine="0" w:firstLineChars="0"/>
              <w:jc w:val="both"/>
              <w:textAlignment w:val="auto"/>
              <w:rPr>
                <w:b/>
                <w:bCs/>
                <w:color w:val="auto"/>
                <w:sz w:val="24"/>
                <w:szCs w:val="24"/>
              </w:rPr>
            </w:pPr>
            <w:r>
              <w:rPr>
                <w:b/>
                <w:bCs/>
                <w:color w:val="auto"/>
                <w:sz w:val="24"/>
                <w:szCs w:val="24"/>
              </w:rPr>
              <w:t>要素</w:t>
            </w:r>
          </w:p>
        </w:tc>
        <w:tc>
          <w:tcPr>
            <w:tcW w:w="1684" w:type="dxa"/>
            <w:noWrap w:val="0"/>
            <w:vAlign w:val="center"/>
          </w:tcPr>
          <w:p w14:paraId="33320933">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b/>
                <w:bCs/>
                <w:color w:val="auto"/>
                <w:sz w:val="24"/>
                <w:szCs w:val="24"/>
              </w:rPr>
            </w:pPr>
            <w:r>
              <w:rPr>
                <w:b/>
                <w:bCs/>
                <w:color w:val="auto"/>
                <w:sz w:val="24"/>
                <w:szCs w:val="24"/>
              </w:rPr>
              <w:t>排放口</w:t>
            </w:r>
            <w:r>
              <w:rPr>
                <w:rFonts w:hint="eastAsia"/>
                <w:b/>
                <w:bCs/>
                <w:color w:val="auto"/>
                <w:sz w:val="24"/>
                <w:szCs w:val="24"/>
              </w:rPr>
              <w:t>（</w:t>
            </w:r>
            <w:r>
              <w:rPr>
                <w:b/>
                <w:bCs/>
                <w:color w:val="auto"/>
                <w:sz w:val="24"/>
                <w:szCs w:val="24"/>
              </w:rPr>
              <w:t>编号、名称</w:t>
            </w:r>
            <w:r>
              <w:rPr>
                <w:rFonts w:hint="eastAsia"/>
                <w:b/>
                <w:bCs/>
                <w:color w:val="auto"/>
                <w:sz w:val="24"/>
                <w:szCs w:val="24"/>
              </w:rPr>
              <w:t>）</w:t>
            </w:r>
            <w:r>
              <w:rPr>
                <w:b/>
                <w:bCs/>
                <w:color w:val="auto"/>
                <w:sz w:val="24"/>
                <w:szCs w:val="24"/>
              </w:rPr>
              <w:t>/污染源</w:t>
            </w:r>
          </w:p>
        </w:tc>
        <w:tc>
          <w:tcPr>
            <w:tcW w:w="1519" w:type="dxa"/>
            <w:noWrap w:val="0"/>
            <w:vAlign w:val="center"/>
          </w:tcPr>
          <w:p w14:paraId="3C432E88">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b/>
                <w:bCs/>
                <w:color w:val="auto"/>
                <w:sz w:val="24"/>
                <w:szCs w:val="24"/>
              </w:rPr>
            </w:pPr>
            <w:r>
              <w:rPr>
                <w:b/>
                <w:bCs/>
                <w:color w:val="auto"/>
                <w:sz w:val="24"/>
                <w:szCs w:val="24"/>
              </w:rPr>
              <w:t>污染物项目</w:t>
            </w:r>
          </w:p>
        </w:tc>
        <w:tc>
          <w:tcPr>
            <w:tcW w:w="1991" w:type="dxa"/>
            <w:noWrap w:val="0"/>
            <w:vAlign w:val="center"/>
          </w:tcPr>
          <w:p w14:paraId="4D5F984D">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b/>
                <w:bCs/>
                <w:color w:val="auto"/>
                <w:sz w:val="24"/>
                <w:szCs w:val="24"/>
              </w:rPr>
            </w:pPr>
            <w:r>
              <w:rPr>
                <w:b/>
                <w:bCs/>
                <w:color w:val="auto"/>
                <w:sz w:val="24"/>
                <w:szCs w:val="24"/>
              </w:rPr>
              <w:t>环境保护措施</w:t>
            </w:r>
          </w:p>
        </w:tc>
        <w:tc>
          <w:tcPr>
            <w:tcW w:w="2143" w:type="dxa"/>
            <w:noWrap w:val="0"/>
            <w:vAlign w:val="center"/>
          </w:tcPr>
          <w:p w14:paraId="4448E037">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b/>
                <w:bCs/>
                <w:color w:val="auto"/>
                <w:sz w:val="24"/>
                <w:szCs w:val="24"/>
              </w:rPr>
            </w:pPr>
            <w:r>
              <w:rPr>
                <w:b/>
                <w:bCs/>
                <w:color w:val="auto"/>
                <w:sz w:val="24"/>
                <w:szCs w:val="24"/>
              </w:rPr>
              <w:t>执行标准</w:t>
            </w:r>
          </w:p>
        </w:tc>
      </w:tr>
      <w:tr w14:paraId="0F7C89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9" w:hRule="atLeast"/>
          <w:jc w:val="center"/>
        </w:trPr>
        <w:tc>
          <w:tcPr>
            <w:tcW w:w="1714" w:type="dxa"/>
            <w:vMerge w:val="restart"/>
            <w:noWrap w:val="0"/>
            <w:vAlign w:val="center"/>
          </w:tcPr>
          <w:p w14:paraId="570A1706">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color w:val="auto"/>
                <w:sz w:val="24"/>
                <w:szCs w:val="24"/>
              </w:rPr>
              <w:t>大气环境</w:t>
            </w:r>
          </w:p>
        </w:tc>
        <w:tc>
          <w:tcPr>
            <w:tcW w:w="1684" w:type="dxa"/>
            <w:vMerge w:val="restart"/>
            <w:noWrap w:val="0"/>
            <w:vAlign w:val="center"/>
          </w:tcPr>
          <w:p w14:paraId="3C450493">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default" w:eastAsia="宋体"/>
                <w:color w:val="auto"/>
                <w:sz w:val="24"/>
                <w:szCs w:val="24"/>
                <w:lang w:val="en-US" w:eastAsia="zh-CN"/>
              </w:rPr>
            </w:pPr>
            <w:r>
              <w:rPr>
                <w:rFonts w:hint="eastAsia"/>
                <w:color w:val="auto"/>
                <w:sz w:val="24"/>
                <w:szCs w:val="24"/>
                <w:lang w:val="en-US" w:eastAsia="zh-CN"/>
              </w:rPr>
              <w:t>研发过程</w:t>
            </w:r>
          </w:p>
        </w:tc>
        <w:tc>
          <w:tcPr>
            <w:tcW w:w="1519" w:type="dxa"/>
            <w:noWrap w:val="0"/>
            <w:vAlign w:val="center"/>
          </w:tcPr>
          <w:p w14:paraId="1F21EEDA">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eastAsia" w:eastAsia="宋体"/>
                <w:color w:val="auto"/>
                <w:sz w:val="24"/>
                <w:szCs w:val="24"/>
                <w:lang w:val="en-US" w:eastAsia="zh-CN"/>
              </w:rPr>
            </w:pPr>
            <w:r>
              <w:rPr>
                <w:rFonts w:hint="eastAsia" w:eastAsia="宋体"/>
                <w:color w:val="auto"/>
                <w:sz w:val="24"/>
                <w:szCs w:val="24"/>
                <w:lang w:val="en-US" w:eastAsia="zh-CN"/>
              </w:rPr>
              <w:t>氯化氢</w:t>
            </w:r>
          </w:p>
          <w:p w14:paraId="1B6F7F41">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eastAsia" w:eastAsia="宋体"/>
                <w:color w:val="auto"/>
                <w:sz w:val="24"/>
                <w:szCs w:val="24"/>
                <w:lang w:val="en-US" w:eastAsia="zh-CN"/>
              </w:rPr>
            </w:pPr>
            <w:r>
              <w:rPr>
                <w:rFonts w:hint="eastAsia" w:eastAsia="宋体"/>
                <w:color w:val="auto"/>
                <w:sz w:val="24"/>
                <w:szCs w:val="24"/>
                <w:lang w:val="en-US" w:eastAsia="zh-CN"/>
              </w:rPr>
              <w:t>氮氧化物</w:t>
            </w:r>
          </w:p>
        </w:tc>
        <w:tc>
          <w:tcPr>
            <w:tcW w:w="1991" w:type="dxa"/>
            <w:noWrap w:val="0"/>
            <w:vAlign w:val="center"/>
          </w:tcPr>
          <w:p w14:paraId="28FB9A1D">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default"/>
                <w:color w:val="auto"/>
                <w:sz w:val="24"/>
                <w:szCs w:val="24"/>
                <w:lang w:val="en-US" w:eastAsia="zh-CN"/>
              </w:rPr>
            </w:pPr>
            <w:r>
              <w:rPr>
                <w:rFonts w:hint="default"/>
                <w:color w:val="auto"/>
                <w:sz w:val="24"/>
                <w:szCs w:val="24"/>
                <w:lang w:val="en-US" w:eastAsia="zh-CN"/>
              </w:rPr>
              <w:t>内置SDG酸性气体吸附剂通风橱</w:t>
            </w:r>
          </w:p>
        </w:tc>
        <w:tc>
          <w:tcPr>
            <w:tcW w:w="2143" w:type="dxa"/>
            <w:vMerge w:val="restart"/>
            <w:noWrap w:val="0"/>
            <w:vAlign w:val="center"/>
          </w:tcPr>
          <w:p w14:paraId="5CF804ED">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default" w:eastAsia="宋体"/>
                <w:color w:val="auto"/>
                <w:sz w:val="24"/>
                <w:szCs w:val="24"/>
                <w:lang w:val="en-US" w:eastAsia="zh-CN"/>
              </w:rPr>
            </w:pPr>
            <w:r>
              <w:rPr>
                <w:rFonts w:hint="eastAsia" w:ascii="Times New Roman" w:hAnsi="Times New Roman" w:eastAsia="宋体" w:cs="Times New Roman"/>
                <w:color w:val="auto"/>
                <w:szCs w:val="21"/>
                <w:highlight w:val="none"/>
              </w:rPr>
              <w:t>《大气污染物综合排放标准》（GB16297-1996）</w:t>
            </w:r>
            <w:r>
              <w:rPr>
                <w:rFonts w:hint="default" w:ascii="Times New Roman" w:hAnsi="Times New Roman" w:eastAsia="宋体" w:cs="Times New Roman"/>
                <w:color w:val="auto"/>
                <w:szCs w:val="21"/>
                <w:highlight w:val="none"/>
                <w:lang w:val="en-US" w:eastAsia="zh-CN"/>
              </w:rPr>
              <w:t>《挥发性有机物无组织排放控制标准》（GB37822-2019）</w:t>
            </w:r>
          </w:p>
        </w:tc>
      </w:tr>
      <w:tr w14:paraId="3C31C6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8" w:hRule="atLeast"/>
          <w:jc w:val="center"/>
        </w:trPr>
        <w:tc>
          <w:tcPr>
            <w:tcW w:w="1714" w:type="dxa"/>
            <w:vMerge w:val="continue"/>
            <w:noWrap w:val="0"/>
            <w:vAlign w:val="center"/>
          </w:tcPr>
          <w:p w14:paraId="5AF29FA0">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pPr>
          </w:p>
        </w:tc>
        <w:tc>
          <w:tcPr>
            <w:tcW w:w="1684" w:type="dxa"/>
            <w:vMerge w:val="continue"/>
            <w:noWrap w:val="0"/>
            <w:vAlign w:val="center"/>
          </w:tcPr>
          <w:p w14:paraId="6D40D57E">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pPr>
          </w:p>
        </w:tc>
        <w:tc>
          <w:tcPr>
            <w:tcW w:w="1519" w:type="dxa"/>
            <w:noWrap w:val="0"/>
            <w:vAlign w:val="center"/>
          </w:tcPr>
          <w:p w14:paraId="5AC83219">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pPr>
            <w:r>
              <w:rPr>
                <w:rFonts w:hint="eastAsia" w:eastAsia="宋体"/>
                <w:color w:val="auto"/>
                <w:sz w:val="24"/>
                <w:szCs w:val="24"/>
                <w:lang w:val="en-US" w:eastAsia="zh-CN"/>
              </w:rPr>
              <w:t>焊接烟尘</w:t>
            </w:r>
          </w:p>
        </w:tc>
        <w:tc>
          <w:tcPr>
            <w:tcW w:w="1991" w:type="dxa"/>
            <w:noWrap w:val="0"/>
            <w:vAlign w:val="center"/>
          </w:tcPr>
          <w:p w14:paraId="3EA761D8">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pPr>
            <w:r>
              <w:rPr>
                <w:rFonts w:hint="default"/>
                <w:color w:val="auto"/>
                <w:sz w:val="24"/>
                <w:szCs w:val="24"/>
                <w:lang w:val="en-US" w:eastAsia="zh-CN"/>
              </w:rPr>
              <w:t>焊接烟尘净化器</w:t>
            </w:r>
          </w:p>
        </w:tc>
        <w:tc>
          <w:tcPr>
            <w:tcW w:w="2143" w:type="dxa"/>
            <w:vMerge w:val="continue"/>
            <w:noWrap w:val="0"/>
            <w:vAlign w:val="center"/>
          </w:tcPr>
          <w:p w14:paraId="3070BA42">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pPr>
          </w:p>
        </w:tc>
      </w:tr>
      <w:tr w14:paraId="250C95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1714" w:type="dxa"/>
            <w:vMerge w:val="continue"/>
            <w:noWrap w:val="0"/>
            <w:vAlign w:val="center"/>
          </w:tcPr>
          <w:p w14:paraId="6746626A">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pPr>
          </w:p>
        </w:tc>
        <w:tc>
          <w:tcPr>
            <w:tcW w:w="1684" w:type="dxa"/>
            <w:vMerge w:val="continue"/>
            <w:noWrap w:val="0"/>
            <w:vAlign w:val="center"/>
          </w:tcPr>
          <w:p w14:paraId="64A5E085">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pPr>
          </w:p>
        </w:tc>
        <w:tc>
          <w:tcPr>
            <w:tcW w:w="1519" w:type="dxa"/>
            <w:noWrap w:val="0"/>
            <w:vAlign w:val="center"/>
          </w:tcPr>
          <w:p w14:paraId="195FE90E">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eastAsia" w:eastAsia="宋体"/>
                <w:color w:val="auto"/>
                <w:sz w:val="24"/>
                <w:szCs w:val="24"/>
                <w:lang w:val="en-US" w:eastAsia="zh-CN"/>
              </w:rPr>
            </w:pPr>
            <w:r>
              <w:rPr>
                <w:rFonts w:hint="eastAsia" w:eastAsia="宋体"/>
                <w:color w:val="auto"/>
                <w:sz w:val="24"/>
                <w:szCs w:val="24"/>
                <w:lang w:val="en-US" w:eastAsia="zh-CN"/>
              </w:rPr>
              <w:t>非甲烷总烃</w:t>
            </w:r>
          </w:p>
          <w:p w14:paraId="10255A4B">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pPr>
          </w:p>
        </w:tc>
        <w:tc>
          <w:tcPr>
            <w:tcW w:w="1991" w:type="dxa"/>
            <w:noWrap w:val="0"/>
            <w:vAlign w:val="center"/>
          </w:tcPr>
          <w:p w14:paraId="4C817E4F">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pPr>
            <w:r>
              <w:rPr>
                <w:rFonts w:hint="eastAsia"/>
                <w:color w:val="auto"/>
                <w:sz w:val="24"/>
                <w:szCs w:val="24"/>
                <w:lang w:val="en-US" w:eastAsia="zh-CN"/>
              </w:rPr>
              <w:t>两级</w:t>
            </w:r>
            <w:r>
              <w:rPr>
                <w:rFonts w:hint="default"/>
                <w:color w:val="auto"/>
                <w:sz w:val="24"/>
                <w:szCs w:val="24"/>
                <w:lang w:val="en-US" w:eastAsia="zh-CN"/>
              </w:rPr>
              <w:t>活性炭</w:t>
            </w:r>
            <w:r>
              <w:rPr>
                <w:rFonts w:hint="eastAsia"/>
                <w:color w:val="auto"/>
                <w:sz w:val="24"/>
                <w:szCs w:val="24"/>
                <w:lang w:val="en-US" w:eastAsia="zh-CN"/>
              </w:rPr>
              <w:t>吸附装置</w:t>
            </w:r>
          </w:p>
        </w:tc>
        <w:tc>
          <w:tcPr>
            <w:tcW w:w="2143" w:type="dxa"/>
            <w:vMerge w:val="continue"/>
            <w:noWrap w:val="0"/>
            <w:vAlign w:val="center"/>
          </w:tcPr>
          <w:p w14:paraId="360A57BE">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pPr>
          </w:p>
        </w:tc>
      </w:tr>
      <w:tr w14:paraId="60CB4F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17" w:hRule="atLeast"/>
          <w:jc w:val="center"/>
        </w:trPr>
        <w:tc>
          <w:tcPr>
            <w:tcW w:w="1714" w:type="dxa"/>
            <w:vMerge w:val="continue"/>
            <w:noWrap w:val="0"/>
            <w:vAlign w:val="center"/>
          </w:tcPr>
          <w:p w14:paraId="0D0F5C37">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p>
        </w:tc>
        <w:tc>
          <w:tcPr>
            <w:tcW w:w="1684" w:type="dxa"/>
            <w:noWrap w:val="0"/>
            <w:vAlign w:val="center"/>
          </w:tcPr>
          <w:p w14:paraId="2EBE4A97">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餐厅</w:t>
            </w:r>
          </w:p>
        </w:tc>
        <w:tc>
          <w:tcPr>
            <w:tcW w:w="1519" w:type="dxa"/>
            <w:noWrap w:val="0"/>
            <w:vAlign w:val="center"/>
          </w:tcPr>
          <w:p w14:paraId="031284E7">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餐厅油烟</w:t>
            </w:r>
          </w:p>
        </w:tc>
        <w:tc>
          <w:tcPr>
            <w:tcW w:w="1991" w:type="dxa"/>
            <w:noWrap w:val="0"/>
            <w:vAlign w:val="center"/>
          </w:tcPr>
          <w:p w14:paraId="3BE53D57">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油烟净化器</w:t>
            </w:r>
          </w:p>
        </w:tc>
        <w:tc>
          <w:tcPr>
            <w:tcW w:w="2143" w:type="dxa"/>
            <w:noWrap w:val="0"/>
            <w:vAlign w:val="center"/>
          </w:tcPr>
          <w:p w14:paraId="478D239F">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《饮食业油烟排放标准（试行）》（GB18483-2001）</w:t>
            </w:r>
          </w:p>
        </w:tc>
      </w:tr>
      <w:tr w14:paraId="646E41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26" w:hRule="atLeast"/>
          <w:jc w:val="center"/>
        </w:trPr>
        <w:tc>
          <w:tcPr>
            <w:tcW w:w="1714" w:type="dxa"/>
            <w:noWrap w:val="0"/>
            <w:vAlign w:val="center"/>
          </w:tcPr>
          <w:p w14:paraId="030D9DED">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color w:val="auto"/>
                <w:sz w:val="24"/>
                <w:szCs w:val="24"/>
              </w:rPr>
              <w:t>地表水环境</w:t>
            </w:r>
          </w:p>
        </w:tc>
        <w:tc>
          <w:tcPr>
            <w:tcW w:w="1684" w:type="dxa"/>
            <w:noWrap w:val="0"/>
            <w:vAlign w:val="center"/>
          </w:tcPr>
          <w:p w14:paraId="3BDEDD3A">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eastAsia"/>
                <w:color w:val="auto"/>
                <w:sz w:val="24"/>
                <w:szCs w:val="24"/>
                <w:lang w:eastAsia="zh-CN"/>
              </w:rPr>
            </w:pPr>
            <w:r>
              <w:rPr>
                <w:rFonts w:hint="eastAsia"/>
                <w:color w:val="auto"/>
                <w:szCs w:val="21"/>
                <w:highlight w:val="none"/>
              </w:rPr>
              <w:t>生活污水</w:t>
            </w:r>
          </w:p>
        </w:tc>
        <w:tc>
          <w:tcPr>
            <w:tcW w:w="1519" w:type="dxa"/>
            <w:noWrap w:val="0"/>
            <w:vAlign w:val="center"/>
          </w:tcPr>
          <w:p w14:paraId="2C2E5FF3">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eastAsia" w:eastAsia="宋体"/>
                <w:color w:val="auto"/>
                <w:sz w:val="24"/>
                <w:szCs w:val="24"/>
                <w:lang w:val="en-US" w:eastAsia="zh-CN"/>
              </w:rPr>
            </w:pPr>
            <w:r>
              <w:rPr>
                <w:rFonts w:hint="eastAsia"/>
                <w:color w:val="auto"/>
                <w:szCs w:val="21"/>
                <w:highlight w:val="none"/>
                <w:lang w:val="en-US" w:eastAsia="zh-CN"/>
              </w:rPr>
              <w:t>pH值、</w:t>
            </w:r>
            <w:r>
              <w:rPr>
                <w:color w:val="auto"/>
                <w:szCs w:val="21"/>
                <w:highlight w:val="none"/>
              </w:rPr>
              <w:t>COD、BOD</w:t>
            </w:r>
            <w:r>
              <w:rPr>
                <w:color w:val="auto"/>
                <w:szCs w:val="21"/>
                <w:highlight w:val="none"/>
                <w:vertAlign w:val="subscript"/>
              </w:rPr>
              <w:t>5</w:t>
            </w:r>
            <w:r>
              <w:rPr>
                <w:color w:val="auto"/>
                <w:szCs w:val="21"/>
                <w:highlight w:val="none"/>
              </w:rPr>
              <w:t>、SS、NH</w:t>
            </w:r>
            <w:r>
              <w:rPr>
                <w:color w:val="auto"/>
                <w:szCs w:val="21"/>
                <w:highlight w:val="none"/>
                <w:vertAlign w:val="subscript"/>
              </w:rPr>
              <w:t>3</w:t>
            </w:r>
            <w:r>
              <w:rPr>
                <w:color w:val="auto"/>
                <w:szCs w:val="21"/>
                <w:highlight w:val="none"/>
              </w:rPr>
              <w:t>-N</w:t>
            </w:r>
            <w:r>
              <w:rPr>
                <w:rFonts w:hint="eastAsia"/>
                <w:color w:val="auto"/>
                <w:szCs w:val="21"/>
                <w:highlight w:val="none"/>
              </w:rPr>
              <w:t>、TP、TN</w:t>
            </w:r>
            <w:r>
              <w:rPr>
                <w:rFonts w:hint="eastAsia"/>
                <w:color w:val="auto"/>
                <w:szCs w:val="21"/>
                <w:highlight w:val="none"/>
                <w:lang w:eastAsia="zh-CN"/>
              </w:rPr>
              <w:t>、</w:t>
            </w:r>
            <w:r>
              <w:rPr>
                <w:rFonts w:hint="eastAsia"/>
                <w:color w:val="auto"/>
                <w:szCs w:val="21"/>
                <w:highlight w:val="none"/>
                <w:lang w:val="en-US" w:eastAsia="zh-CN"/>
              </w:rPr>
              <w:t>动植物油</w:t>
            </w:r>
          </w:p>
        </w:tc>
        <w:tc>
          <w:tcPr>
            <w:tcW w:w="1991" w:type="dxa"/>
            <w:noWrap w:val="0"/>
            <w:vAlign w:val="center"/>
          </w:tcPr>
          <w:p w14:paraId="6B3B349A">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default"/>
                <w:color w:val="auto"/>
                <w:sz w:val="24"/>
                <w:szCs w:val="24"/>
                <w:lang w:val="en-US" w:eastAsia="zh-CN"/>
              </w:rPr>
            </w:pPr>
            <w:r>
              <w:rPr>
                <w:rFonts w:hint="eastAsia"/>
                <w:color w:val="auto"/>
                <w:szCs w:val="21"/>
                <w:highlight w:val="none"/>
                <w:lang w:val="en-US" w:eastAsia="zh-CN"/>
              </w:rPr>
              <w:t>油水分离器+</w:t>
            </w:r>
            <w:r>
              <w:rPr>
                <w:rFonts w:hint="eastAsia"/>
                <w:color w:val="auto"/>
                <w:szCs w:val="21"/>
                <w:highlight w:val="none"/>
              </w:rPr>
              <w:t>化粪池（</w:t>
            </w:r>
            <w:r>
              <w:rPr>
                <w:rFonts w:hint="eastAsia"/>
                <w:color w:val="auto"/>
                <w:szCs w:val="21"/>
                <w:highlight w:val="none"/>
                <w:lang w:val="en-US" w:eastAsia="zh-CN"/>
              </w:rPr>
              <w:t>位于</w:t>
            </w:r>
            <w:r>
              <w:rPr>
                <w:rFonts w:hint="eastAsia"/>
                <w:color w:val="auto"/>
              </w:rPr>
              <w:t>3</w:t>
            </w:r>
            <w:r>
              <w:rPr>
                <w:rFonts w:hint="eastAsia" w:ascii="Times New Roman" w:hAnsi="Times New Roman" w:eastAsia="宋体" w:cs="Times New Roman"/>
                <w:color w:val="auto"/>
                <w:szCs w:val="21"/>
                <w:highlight w:val="none"/>
                <w:lang w:val="en-US" w:eastAsia="zh-CN"/>
              </w:rPr>
              <w:t>#门口西侧，总容积</w:t>
            </w:r>
            <w:r>
              <w:rPr>
                <w:rFonts w:hint="eastAsia" w:cs="Times New Roman"/>
                <w:color w:val="auto"/>
                <w:szCs w:val="21"/>
                <w:highlight w:val="none"/>
                <w:lang w:val="en-US" w:eastAsia="zh-CN"/>
              </w:rPr>
              <w:t>200</w:t>
            </w:r>
            <w:r>
              <w:rPr>
                <w:rFonts w:hint="eastAsia" w:ascii="Times New Roman" w:hAnsi="Times New Roman" w:eastAsia="宋体" w:cs="Times New Roman"/>
                <w:color w:val="auto"/>
                <w:szCs w:val="21"/>
                <w:highlight w:val="none"/>
                <w:lang w:val="en-US" w:eastAsia="zh-CN"/>
              </w:rPr>
              <w:t>m</w:t>
            </w:r>
            <w:r>
              <w:rPr>
                <w:rFonts w:hint="eastAsia" w:ascii="Times New Roman" w:hAnsi="Times New Roman" w:eastAsia="宋体" w:cs="Times New Roman"/>
                <w:color w:val="auto"/>
                <w:szCs w:val="21"/>
                <w:highlight w:val="none"/>
                <w:vertAlign w:val="superscript"/>
                <w:lang w:val="en-US" w:eastAsia="zh-CN"/>
              </w:rPr>
              <w:t>3</w:t>
            </w:r>
            <w:r>
              <w:rPr>
                <w:rFonts w:hint="eastAsia" w:ascii="Times New Roman" w:hAnsi="Times New Roman" w:eastAsia="宋体" w:cs="Times New Roman"/>
                <w:color w:val="auto"/>
                <w:szCs w:val="21"/>
                <w:highlight w:val="none"/>
                <w:vertAlign w:val="baseline"/>
                <w:lang w:val="en-US" w:eastAsia="zh-CN"/>
              </w:rPr>
              <w:t>）</w:t>
            </w:r>
          </w:p>
        </w:tc>
        <w:tc>
          <w:tcPr>
            <w:tcW w:w="2143" w:type="dxa"/>
            <w:noWrap w:val="0"/>
            <w:vAlign w:val="center"/>
          </w:tcPr>
          <w:p w14:paraId="78CCA796">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eastAsia"/>
                <w:color w:val="auto"/>
                <w:szCs w:val="21"/>
                <w:highlight w:val="none"/>
              </w:rPr>
            </w:pPr>
            <w:r>
              <w:rPr>
                <w:rFonts w:hint="eastAsia"/>
                <w:color w:val="auto"/>
                <w:szCs w:val="21"/>
                <w:highlight w:val="none"/>
              </w:rPr>
              <w:t>《污水综合排放标准》(GB8978-1996)中三级标准</w:t>
            </w:r>
          </w:p>
          <w:p w14:paraId="20A0CAB7">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rFonts w:hint="eastAsia"/>
                <w:color w:val="auto"/>
                <w:szCs w:val="21"/>
                <w:highlight w:val="none"/>
              </w:rPr>
              <w:t>《污水排入城镇下水道水质标准》（GB/T31962-2015）中</w:t>
            </w:r>
            <w:r>
              <w:rPr>
                <w:rFonts w:hint="eastAsia"/>
                <w:color w:val="auto"/>
                <w:szCs w:val="21"/>
                <w:highlight w:val="none"/>
                <w:lang w:val="en-US" w:eastAsia="zh-CN"/>
              </w:rPr>
              <w:t>A</w:t>
            </w:r>
            <w:r>
              <w:rPr>
                <w:rFonts w:hint="eastAsia"/>
                <w:color w:val="auto"/>
                <w:szCs w:val="21"/>
                <w:highlight w:val="none"/>
              </w:rPr>
              <w:t>级标准</w:t>
            </w:r>
          </w:p>
        </w:tc>
      </w:tr>
      <w:tr w14:paraId="3EC6D6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14" w:type="dxa"/>
            <w:noWrap w:val="0"/>
            <w:vAlign w:val="center"/>
          </w:tcPr>
          <w:p w14:paraId="4B84747C">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color w:val="auto"/>
                <w:sz w:val="24"/>
                <w:szCs w:val="24"/>
              </w:rPr>
              <w:t>声环境</w:t>
            </w:r>
          </w:p>
        </w:tc>
        <w:tc>
          <w:tcPr>
            <w:tcW w:w="1684" w:type="dxa"/>
            <w:noWrap w:val="0"/>
            <w:vAlign w:val="center"/>
          </w:tcPr>
          <w:p w14:paraId="753D5C71">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default" w:eastAsia="宋体"/>
                <w:color w:val="auto"/>
                <w:sz w:val="24"/>
                <w:szCs w:val="24"/>
                <w:lang w:val="en-US" w:eastAsia="zh-CN"/>
              </w:rPr>
            </w:pPr>
            <w:r>
              <w:rPr>
                <w:rFonts w:hint="eastAsia"/>
                <w:color w:val="auto"/>
                <w:sz w:val="24"/>
                <w:szCs w:val="24"/>
                <w:lang w:val="en-US" w:eastAsia="zh-CN"/>
              </w:rPr>
              <w:t>研发设备</w:t>
            </w:r>
          </w:p>
        </w:tc>
        <w:tc>
          <w:tcPr>
            <w:tcW w:w="1519" w:type="dxa"/>
            <w:noWrap w:val="0"/>
            <w:vAlign w:val="center"/>
          </w:tcPr>
          <w:p w14:paraId="7690ACE5">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rFonts w:hint="eastAsia"/>
                <w:color w:val="auto"/>
                <w:szCs w:val="21"/>
                <w:highlight w:val="none"/>
              </w:rPr>
              <w:t>等效连续A声级</w:t>
            </w:r>
          </w:p>
        </w:tc>
        <w:tc>
          <w:tcPr>
            <w:tcW w:w="1991" w:type="dxa"/>
            <w:noWrap w:val="0"/>
            <w:vAlign w:val="center"/>
          </w:tcPr>
          <w:p w14:paraId="2BD09E2A">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rFonts w:hint="eastAsia"/>
                <w:color w:val="auto"/>
                <w:szCs w:val="21"/>
                <w:highlight w:val="none"/>
              </w:rPr>
              <w:t>选用低噪声设备、墙体隔声等</w:t>
            </w:r>
          </w:p>
        </w:tc>
        <w:tc>
          <w:tcPr>
            <w:tcW w:w="2143" w:type="dxa"/>
            <w:noWrap w:val="0"/>
            <w:vAlign w:val="center"/>
          </w:tcPr>
          <w:p w14:paraId="6C98C5F9">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default" w:eastAsia="宋体"/>
                <w:color w:val="auto"/>
                <w:sz w:val="24"/>
                <w:szCs w:val="24"/>
                <w:lang w:val="en-US" w:eastAsia="zh-CN"/>
              </w:rPr>
            </w:pPr>
            <w:r>
              <w:rPr>
                <w:color w:val="auto"/>
                <w:kern w:val="0"/>
                <w:szCs w:val="21"/>
                <w:highlight w:val="none"/>
              </w:rPr>
              <w:t>《工业企业厂界环境噪声排放标准》（GB12348-2008）中的</w:t>
            </w:r>
            <w:r>
              <w:rPr>
                <w:rFonts w:hint="eastAsia"/>
                <w:color w:val="auto"/>
                <w:kern w:val="0"/>
                <w:szCs w:val="21"/>
                <w:highlight w:val="none"/>
                <w:lang w:val="en-US" w:eastAsia="zh-CN"/>
              </w:rPr>
              <w:t>2</w:t>
            </w:r>
            <w:r>
              <w:rPr>
                <w:color w:val="auto"/>
                <w:kern w:val="0"/>
                <w:szCs w:val="21"/>
                <w:highlight w:val="none"/>
              </w:rPr>
              <w:t>类标准</w:t>
            </w:r>
            <w:r>
              <w:rPr>
                <w:rFonts w:hint="eastAsia"/>
                <w:color w:val="auto"/>
                <w:kern w:val="0"/>
                <w:szCs w:val="21"/>
                <w:highlight w:val="none"/>
                <w:lang w:val="en-US" w:eastAsia="zh-CN"/>
              </w:rPr>
              <w:t>及4类</w:t>
            </w:r>
          </w:p>
        </w:tc>
      </w:tr>
      <w:tr w14:paraId="15D785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14" w:type="dxa"/>
            <w:noWrap w:val="0"/>
            <w:vAlign w:val="center"/>
          </w:tcPr>
          <w:p w14:paraId="08660D1A">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color w:val="auto"/>
                <w:sz w:val="24"/>
                <w:szCs w:val="24"/>
              </w:rPr>
              <w:t>电磁辐射</w:t>
            </w:r>
          </w:p>
        </w:tc>
        <w:tc>
          <w:tcPr>
            <w:tcW w:w="1684" w:type="dxa"/>
            <w:noWrap w:val="0"/>
            <w:vAlign w:val="center"/>
          </w:tcPr>
          <w:p w14:paraId="0740B409">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rFonts w:hint="eastAsia"/>
                <w:color w:val="auto"/>
                <w:sz w:val="24"/>
                <w:szCs w:val="24"/>
              </w:rPr>
              <w:t>/</w:t>
            </w:r>
          </w:p>
        </w:tc>
        <w:tc>
          <w:tcPr>
            <w:tcW w:w="1519" w:type="dxa"/>
            <w:noWrap w:val="0"/>
            <w:vAlign w:val="center"/>
          </w:tcPr>
          <w:p w14:paraId="7CB1128C">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rFonts w:hint="eastAsia"/>
                <w:color w:val="auto"/>
                <w:sz w:val="24"/>
                <w:szCs w:val="24"/>
              </w:rPr>
              <w:t>/</w:t>
            </w:r>
          </w:p>
        </w:tc>
        <w:tc>
          <w:tcPr>
            <w:tcW w:w="1991" w:type="dxa"/>
            <w:noWrap w:val="0"/>
            <w:vAlign w:val="center"/>
          </w:tcPr>
          <w:p w14:paraId="40E69546">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rFonts w:hint="eastAsia"/>
                <w:color w:val="auto"/>
                <w:sz w:val="24"/>
                <w:szCs w:val="24"/>
              </w:rPr>
              <w:t>/</w:t>
            </w:r>
          </w:p>
        </w:tc>
        <w:tc>
          <w:tcPr>
            <w:tcW w:w="2143" w:type="dxa"/>
            <w:noWrap w:val="0"/>
            <w:vAlign w:val="center"/>
          </w:tcPr>
          <w:p w14:paraId="49DCD5CD">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rFonts w:hint="eastAsia"/>
                <w:color w:val="auto"/>
                <w:sz w:val="24"/>
                <w:szCs w:val="24"/>
              </w:rPr>
              <w:t>/</w:t>
            </w:r>
          </w:p>
        </w:tc>
      </w:tr>
      <w:tr w14:paraId="5B9D6A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14" w:type="dxa"/>
            <w:noWrap w:val="0"/>
            <w:vAlign w:val="center"/>
          </w:tcPr>
          <w:p w14:paraId="7FC7ACBF">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color w:val="auto"/>
                <w:sz w:val="24"/>
                <w:szCs w:val="24"/>
              </w:rPr>
              <w:t>固体废物</w:t>
            </w:r>
          </w:p>
        </w:tc>
        <w:tc>
          <w:tcPr>
            <w:tcW w:w="7337" w:type="dxa"/>
            <w:gridSpan w:val="4"/>
            <w:noWrap w:val="0"/>
            <w:vAlign w:val="center"/>
          </w:tcPr>
          <w:p w14:paraId="08042623">
            <w:pPr>
              <w:keepNext w:val="0"/>
              <w:keepLines w:val="0"/>
              <w:pageBreakBefore w:val="0"/>
              <w:widowControl w:val="0"/>
              <w:kinsoku/>
              <w:wordWrap/>
              <w:overflowPunct/>
              <w:topLinePunct w:val="0"/>
              <w:autoSpaceDE/>
              <w:autoSpaceDN/>
              <w:bidi w:val="0"/>
              <w:adjustRightInd/>
              <w:snapToGrid/>
              <w:spacing w:line="480" w:lineRule="atLeast"/>
              <w:ind w:firstLine="0" w:firstLineChars="0"/>
              <w:jc w:val="both"/>
              <w:textAlignment w:val="auto"/>
              <w:rPr>
                <w:rFonts w:hint="default"/>
                <w:color w:val="auto"/>
                <w:sz w:val="24"/>
                <w:szCs w:val="24"/>
                <w:lang w:val="en-US"/>
              </w:rPr>
            </w:pPr>
            <w:r>
              <w:rPr>
                <w:color w:val="auto"/>
                <w:szCs w:val="21"/>
                <w:highlight w:val="none"/>
              </w:rPr>
              <w:t>各类危废分类收集</w:t>
            </w:r>
            <w:r>
              <w:rPr>
                <w:rFonts w:hint="eastAsia"/>
                <w:color w:val="auto"/>
                <w:szCs w:val="21"/>
                <w:highlight w:val="none"/>
              </w:rPr>
              <w:t>于</w:t>
            </w:r>
            <w:r>
              <w:rPr>
                <w:rFonts w:hint="eastAsia"/>
                <w:color w:val="auto"/>
                <w:szCs w:val="21"/>
                <w:highlight w:val="none"/>
                <w:lang w:eastAsia="zh-CN"/>
              </w:rPr>
              <w:t>危废贮存库</w:t>
            </w:r>
            <w:r>
              <w:rPr>
                <w:rFonts w:hint="eastAsia"/>
                <w:color w:val="auto"/>
                <w:szCs w:val="21"/>
                <w:highlight w:val="none"/>
              </w:rPr>
              <w:t>内（1间，建筑面积约</w:t>
            </w:r>
            <w:r>
              <w:rPr>
                <w:rFonts w:hint="eastAsia"/>
                <w:color w:val="auto"/>
                <w:szCs w:val="21"/>
                <w:highlight w:val="none"/>
                <w:lang w:val="en-US" w:eastAsia="zh-CN"/>
              </w:rPr>
              <w:t>15</w:t>
            </w:r>
            <w:r>
              <w:rPr>
                <w:rFonts w:hint="eastAsia"/>
                <w:color w:val="auto"/>
                <w:szCs w:val="21"/>
                <w:highlight w:val="none"/>
              </w:rPr>
              <w:t>m</w:t>
            </w:r>
            <w:r>
              <w:rPr>
                <w:rFonts w:hint="eastAsia"/>
                <w:color w:val="auto"/>
                <w:szCs w:val="21"/>
                <w:highlight w:val="none"/>
                <w:vertAlign w:val="superscript"/>
              </w:rPr>
              <w:t>2</w:t>
            </w:r>
            <w:r>
              <w:rPr>
                <w:rFonts w:hint="eastAsia"/>
                <w:color w:val="auto"/>
                <w:szCs w:val="21"/>
                <w:highlight w:val="none"/>
              </w:rPr>
              <w:t>），定期委托有资质单位转运处置；生产过程产生的废包材</w:t>
            </w:r>
            <w:r>
              <w:rPr>
                <w:rFonts w:hint="eastAsia"/>
                <w:color w:val="auto"/>
                <w:szCs w:val="21"/>
                <w:highlight w:val="none"/>
                <w:lang w:val="en-US" w:eastAsia="zh-CN"/>
              </w:rPr>
              <w:t>等</w:t>
            </w:r>
            <w:r>
              <w:rPr>
                <w:rFonts w:hint="eastAsia"/>
                <w:color w:val="auto"/>
                <w:szCs w:val="21"/>
                <w:highlight w:val="none"/>
              </w:rPr>
              <w:t>外售资源回收公司；</w:t>
            </w:r>
            <w:r>
              <w:rPr>
                <w:color w:val="auto"/>
                <w:szCs w:val="21"/>
                <w:highlight w:val="none"/>
              </w:rPr>
              <w:t>生活垃圾分类收集后委托环卫部门统一清运</w:t>
            </w:r>
            <w:r>
              <w:rPr>
                <w:rFonts w:hint="eastAsia"/>
                <w:color w:val="auto"/>
                <w:szCs w:val="21"/>
                <w:highlight w:val="none"/>
                <w:lang w:eastAsia="zh-CN"/>
              </w:rPr>
              <w:t>，</w:t>
            </w:r>
            <w:r>
              <w:rPr>
                <w:rFonts w:hint="eastAsia"/>
                <w:color w:val="auto"/>
                <w:szCs w:val="21"/>
                <w:highlight w:val="none"/>
                <w:lang w:val="en-US" w:eastAsia="zh-CN"/>
              </w:rPr>
              <w:t>废油脂委托有资质单位转运处置</w:t>
            </w:r>
            <w:r>
              <w:rPr>
                <w:color w:val="auto"/>
                <w:szCs w:val="21"/>
                <w:highlight w:val="none"/>
              </w:rPr>
              <w:t>。</w:t>
            </w:r>
          </w:p>
        </w:tc>
      </w:tr>
      <w:tr w14:paraId="48947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1714" w:type="dxa"/>
            <w:noWrap w:val="0"/>
            <w:vAlign w:val="center"/>
          </w:tcPr>
          <w:p w14:paraId="1CB035BC">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color w:val="auto"/>
                <w:sz w:val="24"/>
                <w:szCs w:val="24"/>
              </w:rPr>
              <w:t>土壤及地下水</w:t>
            </w:r>
          </w:p>
          <w:p w14:paraId="04B73BFD">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color w:val="auto"/>
                <w:sz w:val="24"/>
                <w:szCs w:val="24"/>
              </w:rPr>
              <w:t>污染防治措施</w:t>
            </w:r>
          </w:p>
        </w:tc>
        <w:tc>
          <w:tcPr>
            <w:tcW w:w="7337" w:type="dxa"/>
            <w:gridSpan w:val="4"/>
            <w:noWrap w:val="0"/>
            <w:vAlign w:val="center"/>
          </w:tcPr>
          <w:p w14:paraId="03276849">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eastAsia"/>
                <w:color w:val="auto"/>
                <w:sz w:val="24"/>
                <w:szCs w:val="24"/>
              </w:rPr>
            </w:pPr>
            <w:r>
              <w:rPr>
                <w:rFonts w:hint="default" w:ascii="Times New Roman" w:hAnsi="Times New Roman" w:eastAsia="宋体" w:cs="Times New Roman"/>
                <w:color w:val="auto"/>
                <w:sz w:val="24"/>
                <w:szCs w:val="24"/>
                <w:highlight w:val="none"/>
                <w:lang w:eastAsia="zh-CN"/>
              </w:rPr>
              <w:t>地面已硬化防渗，</w:t>
            </w:r>
            <w:r>
              <w:rPr>
                <w:rFonts w:hint="default" w:ascii="Times New Roman" w:hAnsi="Times New Roman" w:eastAsia="宋体" w:cs="Times New Roman"/>
                <w:color w:val="auto"/>
                <w:sz w:val="24"/>
                <w:highlight w:val="none"/>
              </w:rPr>
              <w:t>严格控制</w:t>
            </w:r>
            <w:r>
              <w:rPr>
                <w:rFonts w:hint="eastAsia" w:cs="Times New Roman"/>
                <w:color w:val="auto"/>
                <w:sz w:val="24"/>
                <w:highlight w:val="none"/>
                <w:lang w:val="en-US" w:eastAsia="zh-CN"/>
              </w:rPr>
              <w:t>风险物质出现</w:t>
            </w:r>
            <w:r>
              <w:rPr>
                <w:rFonts w:hint="default" w:ascii="Times New Roman" w:hAnsi="Times New Roman" w:eastAsia="宋体" w:cs="Times New Roman"/>
                <w:color w:val="auto"/>
                <w:sz w:val="24"/>
                <w:highlight w:val="none"/>
              </w:rPr>
              <w:t>跑、冒、滴、漏等现象</w:t>
            </w:r>
            <w:r>
              <w:rPr>
                <w:rFonts w:hint="eastAsia" w:ascii="Times New Roman" w:hAnsi="Times New Roman" w:eastAsia="宋体" w:cs="Times New Roman"/>
                <w:color w:val="auto"/>
                <w:sz w:val="24"/>
                <w:highlight w:val="none"/>
                <w:lang w:eastAsia="zh-CN"/>
              </w:rPr>
              <w:t>；对于</w:t>
            </w:r>
            <w:r>
              <w:rPr>
                <w:rFonts w:hint="eastAsia" w:eastAsia="宋体" w:cs="Times New Roman"/>
                <w:color w:val="auto"/>
                <w:sz w:val="24"/>
                <w:highlight w:val="none"/>
                <w:lang w:eastAsia="zh-CN"/>
              </w:rPr>
              <w:t>实验</w:t>
            </w:r>
            <w:r>
              <w:rPr>
                <w:rFonts w:hint="eastAsia" w:ascii="Times New Roman" w:hAnsi="Times New Roman" w:eastAsia="宋体" w:cs="Times New Roman"/>
                <w:color w:val="auto"/>
                <w:sz w:val="24"/>
                <w:highlight w:val="none"/>
                <w:lang w:eastAsia="zh-CN"/>
              </w:rPr>
              <w:t>的</w:t>
            </w:r>
            <w:r>
              <w:rPr>
                <w:rFonts w:hint="eastAsia" w:cs="Times New Roman"/>
                <w:color w:val="auto"/>
                <w:sz w:val="24"/>
                <w:highlight w:val="none"/>
                <w:lang w:val="en-US" w:eastAsia="zh-CN"/>
              </w:rPr>
              <w:t>风险溶剂</w:t>
            </w:r>
            <w:r>
              <w:rPr>
                <w:rFonts w:hint="eastAsia" w:ascii="Times New Roman" w:hAnsi="Times New Roman" w:eastAsia="宋体" w:cs="Times New Roman"/>
                <w:color w:val="auto"/>
                <w:sz w:val="24"/>
                <w:highlight w:val="none"/>
                <w:lang w:eastAsia="zh-CN"/>
              </w:rPr>
              <w:t>，严格管控，杜绝污染土壤。</w:t>
            </w:r>
            <w:r>
              <w:rPr>
                <w:rFonts w:hint="default" w:ascii="Times New Roman" w:hAnsi="Times New Roman" w:eastAsia="宋体" w:cs="Times New Roman"/>
                <w:color w:val="auto"/>
                <w:sz w:val="24"/>
                <w:highlight w:val="none"/>
              </w:rPr>
              <w:t>厂区建立完善的管理制度，有专人负责进行管理。</w:t>
            </w:r>
          </w:p>
        </w:tc>
      </w:tr>
      <w:tr w14:paraId="40A15F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1714" w:type="dxa"/>
            <w:noWrap w:val="0"/>
            <w:vAlign w:val="center"/>
          </w:tcPr>
          <w:p w14:paraId="76FCC0CE">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color w:val="auto"/>
                <w:sz w:val="24"/>
                <w:szCs w:val="24"/>
              </w:rPr>
            </w:pPr>
            <w:r>
              <w:rPr>
                <w:color w:val="auto"/>
                <w:sz w:val="24"/>
                <w:szCs w:val="24"/>
              </w:rPr>
              <w:t>生态保护措施</w:t>
            </w:r>
          </w:p>
        </w:tc>
        <w:tc>
          <w:tcPr>
            <w:tcW w:w="7337" w:type="dxa"/>
            <w:gridSpan w:val="4"/>
            <w:noWrap w:val="0"/>
            <w:vAlign w:val="center"/>
          </w:tcPr>
          <w:p w14:paraId="3313B0F2">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eastAsia"/>
                <w:color w:val="auto"/>
                <w:sz w:val="24"/>
                <w:szCs w:val="24"/>
              </w:rPr>
            </w:pPr>
            <w:r>
              <w:rPr>
                <w:rFonts w:hint="eastAsia"/>
                <w:color w:val="auto"/>
                <w:sz w:val="24"/>
                <w:szCs w:val="24"/>
              </w:rPr>
              <w:t>/</w:t>
            </w:r>
          </w:p>
        </w:tc>
      </w:tr>
      <w:tr w14:paraId="3AD47C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14" w:type="dxa"/>
            <w:noWrap w:val="0"/>
            <w:vAlign w:val="center"/>
          </w:tcPr>
          <w:p w14:paraId="7AE16A76">
            <w:pPr>
              <w:pStyle w:val="30"/>
              <w:keepNext w:val="0"/>
              <w:keepLines w:val="0"/>
              <w:pageBreakBefore w:val="0"/>
              <w:widowControl w:val="0"/>
              <w:kinsoku/>
              <w:wordWrap/>
              <w:overflowPunct/>
              <w:topLinePunct w:val="0"/>
              <w:autoSpaceDE/>
              <w:autoSpaceDN/>
              <w:bidi w:val="0"/>
              <w:adjustRightInd/>
              <w:snapToGrid/>
              <w:spacing w:line="520" w:lineRule="atLeast"/>
              <w:ind w:left="0" w:leftChars="0" w:firstLine="0" w:firstLineChars="0"/>
              <w:jc w:val="center"/>
              <w:textAlignment w:val="auto"/>
              <w:rPr>
                <w:color w:val="auto"/>
              </w:rPr>
            </w:pPr>
            <w:r>
              <w:rPr>
                <w:color w:val="auto"/>
              </w:rPr>
              <w:t>环境风险</w:t>
            </w:r>
          </w:p>
          <w:p w14:paraId="4AF022E0">
            <w:pPr>
              <w:pStyle w:val="30"/>
              <w:keepNext w:val="0"/>
              <w:keepLines w:val="0"/>
              <w:pageBreakBefore w:val="0"/>
              <w:widowControl w:val="0"/>
              <w:kinsoku/>
              <w:wordWrap/>
              <w:overflowPunct/>
              <w:topLinePunct w:val="0"/>
              <w:autoSpaceDE/>
              <w:autoSpaceDN/>
              <w:bidi w:val="0"/>
              <w:adjustRightInd/>
              <w:snapToGrid/>
              <w:spacing w:line="520" w:lineRule="atLeast"/>
              <w:ind w:left="0" w:leftChars="0" w:firstLine="0" w:firstLineChars="0"/>
              <w:jc w:val="center"/>
              <w:textAlignment w:val="auto"/>
              <w:rPr>
                <w:color w:val="auto"/>
              </w:rPr>
            </w:pPr>
            <w:r>
              <w:rPr>
                <w:color w:val="auto"/>
              </w:rPr>
              <w:t>防范措施</w:t>
            </w:r>
          </w:p>
        </w:tc>
        <w:tc>
          <w:tcPr>
            <w:tcW w:w="7337" w:type="dxa"/>
            <w:gridSpan w:val="4"/>
            <w:noWrap w:val="0"/>
            <w:vAlign w:val="center"/>
          </w:tcPr>
          <w:p w14:paraId="5D3FBE2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a、</w:t>
            </w:r>
            <w:r>
              <w:rPr>
                <w:rFonts w:hint="default" w:ascii="Times New Roman" w:hAnsi="Times New Roman" w:eastAsia="宋体" w:cs="Times New Roman"/>
                <w:color w:val="auto"/>
                <w:sz w:val="24"/>
                <w:szCs w:val="24"/>
                <w:lang w:eastAsia="zh-CN"/>
              </w:rPr>
              <w:t>项目厂区内均硬化处理，风险物质存储于</w:t>
            </w:r>
            <w:r>
              <w:rPr>
                <w:rFonts w:hint="eastAsia" w:cs="Times New Roman"/>
                <w:color w:val="auto"/>
                <w:sz w:val="24"/>
                <w:szCs w:val="24"/>
                <w:lang w:val="en-US" w:eastAsia="zh-CN"/>
              </w:rPr>
              <w:t>库房</w:t>
            </w:r>
            <w:r>
              <w:rPr>
                <w:rFonts w:hint="eastAsia" w:ascii="Times New Roman" w:hAnsi="Times New Roman" w:eastAsia="宋体" w:cs="Times New Roman"/>
                <w:color w:val="auto"/>
                <w:sz w:val="24"/>
                <w:szCs w:val="24"/>
                <w:lang w:val="en-US" w:eastAsia="zh-CN"/>
              </w:rPr>
              <w:t>及危废贮存库</w:t>
            </w:r>
            <w:r>
              <w:rPr>
                <w:rFonts w:hint="default" w:ascii="Times New Roman" w:hAnsi="Times New Roman" w:eastAsia="宋体" w:cs="Times New Roman"/>
                <w:color w:val="auto"/>
                <w:sz w:val="24"/>
                <w:szCs w:val="24"/>
                <w:lang w:eastAsia="zh-CN"/>
              </w:rPr>
              <w:t>内，</w:t>
            </w:r>
            <w:r>
              <w:rPr>
                <w:rFonts w:hint="eastAsia" w:ascii="Times New Roman" w:hAnsi="Times New Roman" w:eastAsia="宋体" w:cs="Times New Roman"/>
                <w:color w:val="auto"/>
                <w:sz w:val="24"/>
                <w:szCs w:val="24"/>
                <w:lang w:eastAsia="zh-CN"/>
              </w:rPr>
              <w:t>且项目内存储的各类风险物质储存量较小，风险物质泄漏易于收集。</w:t>
            </w:r>
          </w:p>
          <w:p w14:paraId="515C1D84">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b、</w:t>
            </w:r>
            <w:r>
              <w:rPr>
                <w:rFonts w:hint="eastAsia" w:ascii="Times New Roman" w:hAnsi="Times New Roman" w:eastAsia="宋体" w:cs="Times New Roman"/>
                <w:color w:val="auto"/>
                <w:sz w:val="24"/>
                <w:szCs w:val="24"/>
                <w:lang w:eastAsia="zh-CN"/>
              </w:rPr>
              <w:t>定期对</w:t>
            </w:r>
            <w:r>
              <w:rPr>
                <w:rFonts w:hint="eastAsia" w:ascii="Times New Roman" w:hAnsi="Times New Roman" w:eastAsia="宋体" w:cs="Times New Roman"/>
                <w:color w:val="auto"/>
                <w:sz w:val="24"/>
                <w:szCs w:val="24"/>
                <w:lang w:val="en-US" w:eastAsia="zh-CN"/>
              </w:rPr>
              <w:t>化学品库</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eastAsia="zh-CN"/>
              </w:rPr>
              <w:t>危废贮存库等进行检查、维修，以保证设施的完好</w:t>
            </w:r>
            <w:r>
              <w:rPr>
                <w:rFonts w:hint="default" w:ascii="Times New Roman" w:hAnsi="Times New Roman" w:eastAsia="宋体" w:cs="Times New Roman"/>
                <w:color w:val="auto"/>
                <w:sz w:val="24"/>
                <w:szCs w:val="24"/>
                <w:lang w:eastAsia="zh-CN"/>
              </w:rPr>
              <w:t>。</w:t>
            </w:r>
          </w:p>
          <w:p w14:paraId="7E6B956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c</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GB" w:eastAsia="zh-CN"/>
              </w:rPr>
              <w:t>加强管理工作，</w:t>
            </w:r>
            <w:r>
              <w:rPr>
                <w:rFonts w:hint="eastAsia" w:ascii="Times New Roman" w:hAnsi="Times New Roman" w:eastAsia="宋体" w:cs="Times New Roman"/>
                <w:color w:val="auto"/>
                <w:sz w:val="24"/>
                <w:szCs w:val="24"/>
                <w:lang w:val="en-US" w:eastAsia="zh-CN"/>
              </w:rPr>
              <w:t>化学品库</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eastAsia="zh-CN"/>
              </w:rPr>
              <w:t>危废贮存库</w:t>
            </w:r>
            <w:r>
              <w:rPr>
                <w:rFonts w:hint="default" w:ascii="Times New Roman" w:hAnsi="Times New Roman" w:eastAsia="宋体" w:cs="Times New Roman"/>
                <w:color w:val="auto"/>
                <w:sz w:val="24"/>
                <w:szCs w:val="24"/>
                <w:lang w:val="en-GB" w:eastAsia="zh-CN"/>
              </w:rPr>
              <w:t>等</w:t>
            </w:r>
            <w:r>
              <w:rPr>
                <w:rFonts w:hint="eastAsia" w:ascii="Times New Roman" w:hAnsi="Times New Roman" w:eastAsia="宋体" w:cs="Times New Roman"/>
                <w:color w:val="auto"/>
                <w:sz w:val="24"/>
                <w:szCs w:val="24"/>
                <w:lang w:val="en-GB" w:eastAsia="zh-CN"/>
              </w:rPr>
              <w:t>应有专人管理，管理人员应具备应急处理能力。同时应具备应急的器械或有关用具，</w:t>
            </w:r>
            <w:r>
              <w:rPr>
                <w:rFonts w:hint="default" w:ascii="Times New Roman" w:hAnsi="Times New Roman" w:eastAsia="宋体" w:cs="Times New Roman"/>
                <w:color w:val="auto"/>
                <w:sz w:val="24"/>
                <w:szCs w:val="24"/>
                <w:lang w:val="en-GB" w:eastAsia="zh-CN"/>
              </w:rPr>
              <w:t>制定安全生产管理制度</w:t>
            </w:r>
            <w:r>
              <w:rPr>
                <w:rFonts w:hint="default" w:ascii="Times New Roman" w:hAnsi="Times New Roman" w:eastAsia="宋体" w:cs="Times New Roman"/>
                <w:color w:val="auto"/>
                <w:sz w:val="24"/>
                <w:szCs w:val="24"/>
                <w:lang w:eastAsia="zh-CN"/>
              </w:rPr>
              <w:t>。</w:t>
            </w:r>
          </w:p>
          <w:p w14:paraId="01F6B573">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ascii="Times New Roman" w:hAnsi="Times New Roman" w:eastAsia="宋体" w:cs="Times New Roman"/>
                <w:snapToGrid w:val="0"/>
                <w:color w:val="auto"/>
                <w:kern w:val="2"/>
                <w:sz w:val="24"/>
                <w:szCs w:val="24"/>
                <w:lang w:val="en-US" w:eastAsia="zh-CN" w:bidi="ar-SA"/>
              </w:rPr>
            </w:pPr>
            <w:r>
              <w:rPr>
                <w:rFonts w:hint="default" w:ascii="Times New Roman" w:hAnsi="Times New Roman" w:eastAsia="宋体" w:cs="Times New Roman"/>
                <w:color w:val="auto"/>
                <w:sz w:val="24"/>
                <w:szCs w:val="24"/>
                <w:lang w:val="en-US" w:eastAsia="zh-CN"/>
              </w:rPr>
              <w:t>d</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编制突发环境事件应急预案</w:t>
            </w:r>
            <w:r>
              <w:rPr>
                <w:rFonts w:hint="eastAsia"/>
                <w:bCs/>
                <w:color w:val="auto"/>
                <w:sz w:val="24"/>
                <w:highlight w:val="none"/>
                <w:lang w:val="en-US" w:eastAsia="zh-CN"/>
              </w:rPr>
              <w:t>并报主管部门进行备案，按照预案要求配备应急人员及应急物资，定期安排演练。</w:t>
            </w:r>
          </w:p>
        </w:tc>
      </w:tr>
      <w:tr w14:paraId="1D5E1C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87" w:hRule="atLeast"/>
          <w:jc w:val="center"/>
        </w:trPr>
        <w:tc>
          <w:tcPr>
            <w:tcW w:w="1714" w:type="dxa"/>
            <w:noWrap w:val="0"/>
            <w:vAlign w:val="center"/>
          </w:tcPr>
          <w:p w14:paraId="0C8F0AEC">
            <w:pPr>
              <w:pStyle w:val="30"/>
              <w:keepNext w:val="0"/>
              <w:keepLines w:val="0"/>
              <w:pageBreakBefore w:val="0"/>
              <w:widowControl w:val="0"/>
              <w:kinsoku/>
              <w:wordWrap/>
              <w:overflowPunct/>
              <w:topLinePunct w:val="0"/>
              <w:autoSpaceDE/>
              <w:autoSpaceDN/>
              <w:bidi w:val="0"/>
              <w:adjustRightInd/>
              <w:snapToGrid/>
              <w:spacing w:line="520" w:lineRule="atLeast"/>
              <w:ind w:left="0" w:leftChars="0" w:firstLine="0" w:firstLineChars="0"/>
              <w:jc w:val="center"/>
              <w:textAlignment w:val="auto"/>
              <w:rPr>
                <w:color w:val="auto"/>
              </w:rPr>
            </w:pPr>
            <w:r>
              <w:rPr>
                <w:color w:val="auto"/>
              </w:rPr>
              <w:t>其他环境</w:t>
            </w:r>
          </w:p>
          <w:p w14:paraId="38A0469B">
            <w:pPr>
              <w:pStyle w:val="30"/>
              <w:keepNext w:val="0"/>
              <w:keepLines w:val="0"/>
              <w:pageBreakBefore w:val="0"/>
              <w:widowControl w:val="0"/>
              <w:kinsoku/>
              <w:wordWrap/>
              <w:overflowPunct/>
              <w:topLinePunct w:val="0"/>
              <w:autoSpaceDE/>
              <w:autoSpaceDN/>
              <w:bidi w:val="0"/>
              <w:adjustRightInd/>
              <w:snapToGrid/>
              <w:spacing w:line="520" w:lineRule="atLeast"/>
              <w:ind w:left="0" w:leftChars="0" w:firstLine="0" w:firstLineChars="0"/>
              <w:jc w:val="center"/>
              <w:textAlignment w:val="auto"/>
              <w:rPr>
                <w:color w:val="auto"/>
              </w:rPr>
            </w:pPr>
            <w:r>
              <w:rPr>
                <w:color w:val="auto"/>
              </w:rPr>
              <w:t>管理要求</w:t>
            </w:r>
          </w:p>
        </w:tc>
        <w:tc>
          <w:tcPr>
            <w:tcW w:w="7337" w:type="dxa"/>
            <w:gridSpan w:val="4"/>
            <w:noWrap w:val="0"/>
            <w:vAlign w:val="center"/>
          </w:tcPr>
          <w:p w14:paraId="2E22E1B2">
            <w:pPr>
              <w:pStyle w:val="26"/>
              <w:keepNext w:val="0"/>
              <w:keepLines w:val="0"/>
              <w:pageBreakBefore w:val="0"/>
              <w:widowControl w:val="0"/>
              <w:kinsoku/>
              <w:wordWrap/>
              <w:overflowPunct/>
              <w:topLinePunct w:val="0"/>
              <w:autoSpaceDE/>
              <w:autoSpaceDN/>
              <w:bidi w:val="0"/>
              <w:adjustRightInd/>
              <w:snapToGrid/>
              <w:spacing w:line="480" w:lineRule="atLeast"/>
              <w:ind w:firstLine="0" w:firstLineChars="0"/>
              <w:jc w:val="both"/>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1、排污许可：建设单位应根据《固定污染源排污许可分类管理名录》（2019年版）、《排污许可证申请与核发技术规范 总则》（HJ942-2018）等，进行排污许可</w:t>
            </w:r>
            <w:r>
              <w:rPr>
                <w:rFonts w:hint="eastAsia" w:cs="Times New Roman"/>
                <w:color w:val="auto"/>
                <w:lang w:val="en-US" w:eastAsia="zh-CN"/>
              </w:rPr>
              <w:t>申请</w:t>
            </w:r>
            <w:r>
              <w:rPr>
                <w:rFonts w:hint="eastAsia" w:ascii="Times New Roman" w:hAnsi="Times New Roman" w:eastAsia="宋体" w:cs="Times New Roman"/>
                <w:color w:val="auto"/>
                <w:lang w:val="en-US" w:eastAsia="zh-CN"/>
              </w:rPr>
              <w:t>。</w:t>
            </w:r>
          </w:p>
          <w:p w14:paraId="29A7E69B">
            <w:pPr>
              <w:pStyle w:val="26"/>
              <w:keepNext w:val="0"/>
              <w:keepLines w:val="0"/>
              <w:pageBreakBefore w:val="0"/>
              <w:widowControl w:val="0"/>
              <w:kinsoku/>
              <w:wordWrap/>
              <w:overflowPunct/>
              <w:topLinePunct w:val="0"/>
              <w:autoSpaceDE/>
              <w:autoSpaceDN/>
              <w:bidi w:val="0"/>
              <w:adjustRightInd/>
              <w:snapToGrid/>
              <w:spacing w:line="480" w:lineRule="atLeast"/>
              <w:ind w:firstLine="0" w:firstLineChars="0"/>
              <w:jc w:val="both"/>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竣工环境保护设施验收：建设项目竣工后、正式投入生产或运行前，建设单位应按照《关于发布&lt;建设项目竣工环境保护验收暂行办法&gt;的公告》（国环规环评〔2017〕4号）及国务院环境保护行政主管部门规定的标准和程序，对配套建设的环境保护设施进行验收，编制验收报告。</w:t>
            </w:r>
          </w:p>
          <w:p w14:paraId="49EEE636">
            <w:pPr>
              <w:pStyle w:val="26"/>
              <w:keepNext w:val="0"/>
              <w:keepLines w:val="0"/>
              <w:pageBreakBefore w:val="0"/>
              <w:widowControl w:val="0"/>
              <w:kinsoku/>
              <w:wordWrap/>
              <w:overflowPunct/>
              <w:topLinePunct w:val="0"/>
              <w:autoSpaceDE/>
              <w:autoSpaceDN/>
              <w:bidi w:val="0"/>
              <w:adjustRightInd/>
              <w:snapToGrid/>
              <w:spacing w:line="480" w:lineRule="atLeast"/>
              <w:ind w:firstLine="0" w:firstLineChars="0"/>
              <w:jc w:val="both"/>
              <w:textAlignment w:val="auto"/>
              <w:rPr>
                <w:rFonts w:hint="eastAsia" w:ascii="Times New Roman" w:hAnsi="Times New Roman" w:eastAsia="宋体" w:cs="Times New Roman"/>
                <w:color w:val="auto"/>
                <w:lang w:val="en-US" w:eastAsia="zh-CN"/>
              </w:rPr>
            </w:pPr>
          </w:p>
        </w:tc>
      </w:tr>
    </w:tbl>
    <w:p w14:paraId="237A1CA2">
      <w:pPr>
        <w:pStyle w:val="14"/>
        <w:jc w:val="center"/>
        <w:outlineLvl w:val="0"/>
        <w:rPr>
          <w:rFonts w:ascii="Times New Roman" w:hAnsi="Times New Roman" w:eastAsia="黑体"/>
          <w:snapToGrid w:val="0"/>
          <w:color w:val="auto"/>
          <w:sz w:val="30"/>
          <w:szCs w:val="30"/>
        </w:rPr>
      </w:pPr>
      <w:r>
        <w:rPr>
          <w:snapToGrid w:val="0"/>
          <w:color w:val="auto"/>
        </w:rPr>
        <w:br w:type="page"/>
      </w:r>
      <w:r>
        <w:rPr>
          <w:rFonts w:ascii="Times New Roman" w:hAnsi="Times New Roman" w:eastAsia="黑体"/>
          <w:snapToGrid w:val="0"/>
          <w:color w:val="auto"/>
          <w:sz w:val="30"/>
          <w:szCs w:val="30"/>
        </w:rPr>
        <w:t>六、结论</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727282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58" w:hRule="atLeast"/>
          <w:jc w:val="center"/>
        </w:trPr>
        <w:tc>
          <w:tcPr>
            <w:tcW w:w="8865" w:type="dxa"/>
            <w:noWrap w:val="0"/>
            <w:vAlign w:val="center"/>
          </w:tcPr>
          <w:p w14:paraId="34B19F6C">
            <w:pPr>
              <w:keepNext w:val="0"/>
              <w:keepLines w:val="0"/>
              <w:widowControl/>
              <w:suppressLineNumbers w:val="0"/>
              <w:ind w:left="0" w:leftChars="0" w:firstLine="480" w:firstLineChars="200"/>
              <w:jc w:val="both"/>
              <w:rPr>
                <w:color w:val="auto"/>
              </w:rPr>
            </w:pPr>
            <w:r>
              <w:rPr>
                <w:rFonts w:hint="eastAsia"/>
                <w:color w:val="auto"/>
              </w:rPr>
              <w:t>从环境</w:t>
            </w:r>
            <w:r>
              <w:rPr>
                <w:rFonts w:hint="eastAsia"/>
                <w:color w:val="auto"/>
                <w:lang w:eastAsia="zh-CN"/>
              </w:rPr>
              <w:t>保护</w:t>
            </w:r>
            <w:r>
              <w:rPr>
                <w:rFonts w:hint="eastAsia"/>
                <w:color w:val="auto"/>
              </w:rPr>
              <w:t>角度分析，该项目</w:t>
            </w:r>
            <w:r>
              <w:rPr>
                <w:rFonts w:hint="eastAsia"/>
                <w:color w:val="auto"/>
                <w:lang w:eastAsia="zh-CN"/>
              </w:rPr>
              <w:t>环境影响</w:t>
            </w:r>
            <w:r>
              <w:rPr>
                <w:rFonts w:hint="eastAsia"/>
                <w:color w:val="auto"/>
              </w:rPr>
              <w:t>可行。</w:t>
            </w:r>
          </w:p>
        </w:tc>
      </w:tr>
    </w:tbl>
    <w:p w14:paraId="12543623">
      <w:pPr>
        <w:rPr>
          <w:color w:val="auto"/>
        </w:rPr>
        <w:sectPr>
          <w:pgSz w:w="11906" w:h="16838"/>
          <w:pgMar w:top="1701" w:right="1531" w:bottom="1701" w:left="1531" w:header="851" w:footer="850" w:gutter="0"/>
          <w:pgBorders>
            <w:top w:val="none" w:sz="0" w:space="0"/>
            <w:left w:val="none" w:sz="0" w:space="0"/>
            <w:bottom w:val="none" w:sz="0" w:space="0"/>
            <w:right w:val="none" w:sz="0" w:space="0"/>
          </w:pgBorders>
          <w:cols w:space="720" w:num="1"/>
          <w:docGrid w:type="linesAndChars" w:linePitch="312" w:charSpace="0"/>
        </w:sectPr>
      </w:pPr>
    </w:p>
    <w:p w14:paraId="21D39C8C">
      <w:pPr>
        <w:pStyle w:val="14"/>
        <w:keepNext w:val="0"/>
        <w:keepLines w:val="0"/>
        <w:pageBreakBefore w:val="0"/>
        <w:widowControl/>
        <w:kinsoku/>
        <w:wordWrap/>
        <w:overflowPunct/>
        <w:topLinePunct w:val="0"/>
        <w:autoSpaceDE/>
        <w:autoSpaceDN/>
        <w:bidi w:val="0"/>
        <w:adjustRightInd/>
        <w:snapToGrid/>
        <w:spacing w:line="400" w:lineRule="exact"/>
        <w:ind w:firstLine="600"/>
        <w:jc w:val="both"/>
        <w:textAlignment w:val="auto"/>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附表</w:t>
      </w:r>
    </w:p>
    <w:p w14:paraId="4014E02F">
      <w:pPr>
        <w:pStyle w:val="14"/>
        <w:keepNext w:val="0"/>
        <w:keepLines w:val="0"/>
        <w:pageBreakBefore w:val="0"/>
        <w:widowControl/>
        <w:kinsoku/>
        <w:wordWrap/>
        <w:overflowPunct/>
        <w:topLinePunct w:val="0"/>
        <w:autoSpaceDE/>
        <w:autoSpaceDN/>
        <w:bidi w:val="0"/>
        <w:adjustRightInd/>
        <w:snapToGrid/>
        <w:spacing w:line="400" w:lineRule="exact"/>
        <w:ind w:firstLine="600"/>
        <w:jc w:val="center"/>
        <w:textAlignment w:val="auto"/>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建设项目污染物排放量汇总表</w:t>
      </w:r>
    </w:p>
    <w:tbl>
      <w:tblPr>
        <w:tblStyle w:val="16"/>
        <w:tblW w:w="507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3"/>
        <w:gridCol w:w="1332"/>
        <w:gridCol w:w="1635"/>
        <w:gridCol w:w="1155"/>
        <w:gridCol w:w="1575"/>
        <w:gridCol w:w="1455"/>
        <w:gridCol w:w="1545"/>
        <w:gridCol w:w="1939"/>
        <w:gridCol w:w="1485"/>
      </w:tblGrid>
      <w:tr w14:paraId="57EA45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tcBorders>
              <w:tl2br w:val="single" w:color="auto" w:sz="4" w:space="0"/>
            </w:tcBorders>
            <w:noWrap w:val="0"/>
            <w:tcMar>
              <w:left w:w="28" w:type="dxa"/>
              <w:right w:w="28" w:type="dxa"/>
            </w:tcMar>
            <w:vAlign w:val="center"/>
          </w:tcPr>
          <w:p w14:paraId="24F4A7FD">
            <w:pPr>
              <w:spacing w:beforeLines="0" w:afterLines="0" w:line="240" w:lineRule="auto"/>
              <w:ind w:firstLine="0" w:firstLineChars="0"/>
              <w:jc w:val="right"/>
              <w:rPr>
                <w:rFonts w:ascii="Times New Roman" w:eastAsia="黑体"/>
                <w:snapToGrid w:val="0"/>
                <w:color w:val="auto"/>
                <w:spacing w:val="-6"/>
                <w:kern w:val="21"/>
                <w:szCs w:val="21"/>
              </w:rPr>
            </w:pPr>
            <w:r>
              <w:rPr>
                <w:rFonts w:ascii="Times New Roman" w:eastAsia="黑体"/>
                <w:snapToGrid w:val="0"/>
                <w:color w:val="auto"/>
                <w:spacing w:val="-6"/>
                <w:kern w:val="21"/>
                <w:szCs w:val="21"/>
              </w:rPr>
              <w:t>项目</w:t>
            </w:r>
          </w:p>
          <w:p w14:paraId="617C1244">
            <w:pPr>
              <w:spacing w:beforeLines="0" w:afterLines="0" w:line="240" w:lineRule="auto"/>
              <w:ind w:firstLine="0" w:firstLineChars="0"/>
              <w:jc w:val="left"/>
              <w:rPr>
                <w:rFonts w:ascii="Times New Roman" w:eastAsia="黑体"/>
                <w:snapToGrid w:val="0"/>
                <w:color w:val="auto"/>
                <w:spacing w:val="-6"/>
                <w:kern w:val="21"/>
                <w:szCs w:val="21"/>
              </w:rPr>
            </w:pPr>
            <w:r>
              <w:rPr>
                <w:rFonts w:ascii="Times New Roman" w:eastAsia="黑体"/>
                <w:snapToGrid w:val="0"/>
                <w:color w:val="auto"/>
                <w:spacing w:val="-6"/>
                <w:kern w:val="21"/>
                <w:szCs w:val="21"/>
              </w:rPr>
              <w:t>分类</w:t>
            </w:r>
          </w:p>
        </w:tc>
        <w:tc>
          <w:tcPr>
            <w:tcW w:w="485" w:type="pct"/>
            <w:noWrap w:val="0"/>
            <w:tcMar>
              <w:left w:w="28" w:type="dxa"/>
              <w:right w:w="28" w:type="dxa"/>
            </w:tcMar>
            <w:vAlign w:val="center"/>
          </w:tcPr>
          <w:p w14:paraId="14DCEFE0">
            <w:pPr>
              <w:adjustRightInd w:val="0"/>
              <w:snapToGrid w:val="0"/>
              <w:spacing w:line="240" w:lineRule="auto"/>
              <w:ind w:firstLine="0" w:firstLineChars="0"/>
              <w:jc w:val="center"/>
              <w:rPr>
                <w:rFonts w:hint="eastAsia" w:ascii="Times New Roman" w:hAnsi="Times New Roman" w:eastAsia="宋体" w:cs="Times New Roman"/>
                <w:b/>
                <w:bCs/>
                <w:snapToGrid w:val="0"/>
                <w:color w:val="auto"/>
                <w:kern w:val="21"/>
                <w:sz w:val="21"/>
                <w:szCs w:val="21"/>
                <w:lang w:val="en-US" w:eastAsia="zh-CN"/>
              </w:rPr>
            </w:pPr>
            <w:r>
              <w:rPr>
                <w:rFonts w:hint="eastAsia" w:ascii="Times New Roman" w:hAnsi="Times New Roman" w:eastAsia="宋体" w:cs="Times New Roman"/>
                <w:b/>
                <w:bCs/>
                <w:snapToGrid w:val="0"/>
                <w:color w:val="auto"/>
                <w:kern w:val="21"/>
                <w:sz w:val="21"/>
                <w:szCs w:val="21"/>
                <w:lang w:val="en-US" w:eastAsia="zh-CN"/>
              </w:rPr>
              <w:t>污染物名称</w:t>
            </w:r>
          </w:p>
        </w:tc>
        <w:tc>
          <w:tcPr>
            <w:tcW w:w="596" w:type="pct"/>
            <w:noWrap w:val="0"/>
            <w:tcMar>
              <w:left w:w="28" w:type="dxa"/>
              <w:right w:w="28" w:type="dxa"/>
            </w:tcMar>
            <w:vAlign w:val="center"/>
          </w:tcPr>
          <w:p w14:paraId="0171A3FF">
            <w:pPr>
              <w:adjustRightInd w:val="0"/>
              <w:snapToGrid w:val="0"/>
              <w:spacing w:line="240" w:lineRule="auto"/>
              <w:ind w:firstLine="0" w:firstLineChars="0"/>
              <w:jc w:val="center"/>
              <w:rPr>
                <w:rFonts w:hint="eastAsia" w:ascii="Times New Roman" w:hAnsi="Times New Roman" w:eastAsia="宋体" w:cs="Times New Roman"/>
                <w:b/>
                <w:bCs/>
                <w:snapToGrid w:val="0"/>
                <w:color w:val="auto"/>
                <w:kern w:val="21"/>
                <w:sz w:val="21"/>
                <w:szCs w:val="21"/>
                <w:lang w:val="en-US" w:eastAsia="zh-CN"/>
              </w:rPr>
            </w:pPr>
            <w:r>
              <w:rPr>
                <w:rFonts w:hint="eastAsia" w:ascii="Times New Roman" w:hAnsi="Times New Roman" w:eastAsia="宋体" w:cs="Times New Roman"/>
                <w:b/>
                <w:bCs/>
                <w:snapToGrid w:val="0"/>
                <w:color w:val="auto"/>
                <w:kern w:val="21"/>
                <w:sz w:val="21"/>
                <w:szCs w:val="21"/>
                <w:lang w:val="en-US" w:eastAsia="zh-CN"/>
              </w:rPr>
              <w:t>现有工程</w:t>
            </w:r>
          </w:p>
          <w:p w14:paraId="6CF084D1">
            <w:pPr>
              <w:adjustRightInd w:val="0"/>
              <w:snapToGrid w:val="0"/>
              <w:spacing w:line="240" w:lineRule="auto"/>
              <w:ind w:firstLine="0" w:firstLineChars="0"/>
              <w:jc w:val="center"/>
              <w:rPr>
                <w:rFonts w:hint="eastAsia" w:ascii="Times New Roman" w:hAnsi="Times New Roman" w:eastAsia="宋体" w:cs="Times New Roman"/>
                <w:b/>
                <w:bCs/>
                <w:snapToGrid w:val="0"/>
                <w:color w:val="auto"/>
                <w:kern w:val="21"/>
                <w:sz w:val="21"/>
                <w:szCs w:val="21"/>
                <w:lang w:val="en-US" w:eastAsia="zh-CN"/>
              </w:rPr>
            </w:pPr>
            <w:r>
              <w:rPr>
                <w:rFonts w:hint="eastAsia" w:ascii="Times New Roman" w:hAnsi="Times New Roman" w:eastAsia="宋体" w:cs="Times New Roman"/>
                <w:b/>
                <w:bCs/>
                <w:snapToGrid w:val="0"/>
                <w:color w:val="auto"/>
                <w:kern w:val="21"/>
                <w:sz w:val="21"/>
                <w:szCs w:val="21"/>
                <w:lang w:val="en-US" w:eastAsia="zh-CN"/>
              </w:rPr>
              <w:t>排放量（固体废物产生量）</w:t>
            </w:r>
            <w:r>
              <w:rPr>
                <w:rFonts w:hint="eastAsia" w:ascii="Times New Roman" w:hAnsi="Times New Roman" w:eastAsia="宋体" w:cs="Times New Roman"/>
                <w:b/>
                <w:bCs/>
                <w:snapToGrid w:val="0"/>
                <w:color w:val="auto"/>
                <w:kern w:val="21"/>
                <w:sz w:val="21"/>
                <w:szCs w:val="21"/>
                <w:lang w:val="en-US" w:eastAsia="zh-CN"/>
              </w:rPr>
              <w:fldChar w:fldCharType="begin"/>
            </w:r>
            <w:r>
              <w:rPr>
                <w:rFonts w:hint="eastAsia" w:ascii="Times New Roman" w:hAnsi="Times New Roman" w:eastAsia="宋体" w:cs="Times New Roman"/>
                <w:b/>
                <w:bCs/>
                <w:snapToGrid w:val="0"/>
                <w:color w:val="auto"/>
                <w:kern w:val="21"/>
                <w:sz w:val="21"/>
                <w:szCs w:val="21"/>
                <w:lang w:val="en-US" w:eastAsia="zh-CN"/>
              </w:rPr>
              <w:instrText xml:space="preserve"> = 1 \* GB3 \* MERGEFORMAT </w:instrText>
            </w:r>
            <w:r>
              <w:rPr>
                <w:rFonts w:hint="eastAsia" w:ascii="Times New Roman" w:hAnsi="Times New Roman" w:eastAsia="宋体" w:cs="Times New Roman"/>
                <w:b/>
                <w:bCs/>
                <w:snapToGrid w:val="0"/>
                <w:color w:val="auto"/>
                <w:kern w:val="21"/>
                <w:sz w:val="21"/>
                <w:szCs w:val="21"/>
                <w:lang w:val="en-US" w:eastAsia="zh-CN"/>
              </w:rPr>
              <w:fldChar w:fldCharType="separate"/>
            </w:r>
            <w:r>
              <w:rPr>
                <w:rFonts w:hint="eastAsia" w:ascii="Times New Roman" w:hAnsi="Times New Roman" w:eastAsia="宋体" w:cs="Times New Roman"/>
                <w:b/>
                <w:bCs/>
                <w:snapToGrid w:val="0"/>
                <w:color w:val="auto"/>
                <w:kern w:val="21"/>
                <w:sz w:val="21"/>
                <w:szCs w:val="21"/>
                <w:lang w:val="en-US" w:eastAsia="zh-CN"/>
              </w:rPr>
              <w:t>①</w:t>
            </w:r>
            <w:r>
              <w:rPr>
                <w:rFonts w:hint="eastAsia" w:ascii="Times New Roman" w:hAnsi="Times New Roman" w:eastAsia="宋体" w:cs="Times New Roman"/>
                <w:b/>
                <w:bCs/>
                <w:snapToGrid w:val="0"/>
                <w:color w:val="auto"/>
                <w:kern w:val="21"/>
                <w:sz w:val="21"/>
                <w:szCs w:val="21"/>
                <w:lang w:val="en-US" w:eastAsia="zh-CN"/>
              </w:rPr>
              <w:fldChar w:fldCharType="end"/>
            </w:r>
          </w:p>
        </w:tc>
        <w:tc>
          <w:tcPr>
            <w:tcW w:w="421" w:type="pct"/>
            <w:noWrap w:val="0"/>
            <w:tcMar>
              <w:left w:w="28" w:type="dxa"/>
              <w:right w:w="28" w:type="dxa"/>
            </w:tcMar>
            <w:vAlign w:val="center"/>
          </w:tcPr>
          <w:p w14:paraId="42A9C3F3">
            <w:pPr>
              <w:adjustRightInd w:val="0"/>
              <w:snapToGrid w:val="0"/>
              <w:spacing w:line="240" w:lineRule="auto"/>
              <w:ind w:firstLine="0" w:firstLineChars="0"/>
              <w:jc w:val="center"/>
              <w:rPr>
                <w:rFonts w:hint="eastAsia"/>
                <w:b/>
                <w:bCs/>
                <w:snapToGrid w:val="0"/>
                <w:color w:val="auto"/>
                <w:kern w:val="21"/>
                <w:sz w:val="21"/>
                <w:szCs w:val="21"/>
                <w:lang w:val="en-US" w:eastAsia="zh-CN"/>
              </w:rPr>
            </w:pPr>
            <w:r>
              <w:rPr>
                <w:rFonts w:hint="eastAsia"/>
                <w:b/>
                <w:bCs/>
                <w:snapToGrid w:val="0"/>
                <w:color w:val="auto"/>
                <w:kern w:val="21"/>
                <w:sz w:val="21"/>
                <w:szCs w:val="21"/>
                <w:lang w:val="en-US" w:eastAsia="zh-CN"/>
              </w:rPr>
              <w:t>现有工程</w:t>
            </w:r>
          </w:p>
          <w:p w14:paraId="7AA46F4F">
            <w:pPr>
              <w:adjustRightInd w:val="0"/>
              <w:snapToGrid w:val="0"/>
              <w:spacing w:line="240" w:lineRule="auto"/>
              <w:ind w:firstLine="0" w:firstLineChars="0"/>
              <w:jc w:val="center"/>
              <w:rPr>
                <w:rFonts w:hint="eastAsia"/>
                <w:b/>
                <w:bCs/>
                <w:snapToGrid w:val="0"/>
                <w:color w:val="auto"/>
                <w:kern w:val="21"/>
                <w:sz w:val="21"/>
                <w:szCs w:val="21"/>
                <w:lang w:val="en-US" w:eastAsia="zh-CN"/>
              </w:rPr>
            </w:pPr>
            <w:r>
              <w:rPr>
                <w:rFonts w:hint="eastAsia"/>
                <w:b/>
                <w:bCs/>
                <w:snapToGrid w:val="0"/>
                <w:color w:val="auto"/>
                <w:kern w:val="21"/>
                <w:sz w:val="21"/>
                <w:szCs w:val="21"/>
                <w:lang w:val="en-US" w:eastAsia="zh-CN"/>
              </w:rPr>
              <w:t>许可排放量</w:t>
            </w:r>
            <w:r>
              <w:rPr>
                <w:rFonts w:hint="eastAsia"/>
                <w:b/>
                <w:bCs/>
                <w:snapToGrid w:val="0"/>
                <w:color w:val="auto"/>
                <w:kern w:val="21"/>
                <w:sz w:val="21"/>
                <w:szCs w:val="21"/>
                <w:lang w:val="en-US" w:eastAsia="zh-CN"/>
              </w:rPr>
              <w:fldChar w:fldCharType="begin"/>
            </w:r>
            <w:r>
              <w:rPr>
                <w:rFonts w:hint="eastAsia"/>
                <w:b/>
                <w:bCs/>
                <w:snapToGrid w:val="0"/>
                <w:color w:val="auto"/>
                <w:kern w:val="21"/>
                <w:sz w:val="21"/>
                <w:szCs w:val="21"/>
                <w:lang w:val="en-US" w:eastAsia="zh-CN"/>
              </w:rPr>
              <w:instrText xml:space="preserve"> = 2 \* GB3 \* MERGEFORMAT </w:instrText>
            </w:r>
            <w:r>
              <w:rPr>
                <w:rFonts w:hint="eastAsia"/>
                <w:b/>
                <w:bCs/>
                <w:snapToGrid w:val="0"/>
                <w:color w:val="auto"/>
                <w:kern w:val="21"/>
                <w:sz w:val="21"/>
                <w:szCs w:val="21"/>
                <w:lang w:val="en-US" w:eastAsia="zh-CN"/>
              </w:rPr>
              <w:fldChar w:fldCharType="separate"/>
            </w:r>
            <w:r>
              <w:rPr>
                <w:rFonts w:hint="eastAsia"/>
                <w:b/>
                <w:bCs/>
                <w:snapToGrid w:val="0"/>
                <w:color w:val="auto"/>
                <w:kern w:val="21"/>
                <w:sz w:val="21"/>
                <w:szCs w:val="21"/>
                <w:lang w:val="en-US" w:eastAsia="zh-CN"/>
              </w:rPr>
              <w:t>②</w:t>
            </w:r>
            <w:r>
              <w:rPr>
                <w:rFonts w:hint="eastAsia"/>
                <w:b/>
                <w:bCs/>
                <w:snapToGrid w:val="0"/>
                <w:color w:val="auto"/>
                <w:kern w:val="21"/>
                <w:sz w:val="21"/>
                <w:szCs w:val="21"/>
                <w:lang w:val="en-US" w:eastAsia="zh-CN"/>
              </w:rPr>
              <w:fldChar w:fldCharType="end"/>
            </w:r>
          </w:p>
        </w:tc>
        <w:tc>
          <w:tcPr>
            <w:tcW w:w="574" w:type="pct"/>
            <w:noWrap w:val="0"/>
            <w:tcMar>
              <w:left w:w="28" w:type="dxa"/>
              <w:right w:w="28" w:type="dxa"/>
            </w:tcMar>
            <w:vAlign w:val="center"/>
          </w:tcPr>
          <w:p w14:paraId="3626BA3A">
            <w:pPr>
              <w:adjustRightInd w:val="0"/>
              <w:snapToGrid w:val="0"/>
              <w:spacing w:line="240" w:lineRule="auto"/>
              <w:ind w:firstLine="0" w:firstLineChars="0"/>
              <w:jc w:val="center"/>
              <w:rPr>
                <w:rFonts w:hint="eastAsia"/>
                <w:b/>
                <w:bCs/>
                <w:snapToGrid w:val="0"/>
                <w:color w:val="auto"/>
                <w:kern w:val="21"/>
                <w:sz w:val="21"/>
                <w:szCs w:val="21"/>
                <w:lang w:val="en-US" w:eastAsia="zh-CN"/>
              </w:rPr>
            </w:pPr>
            <w:r>
              <w:rPr>
                <w:rFonts w:hint="eastAsia"/>
                <w:b/>
                <w:bCs/>
                <w:snapToGrid w:val="0"/>
                <w:color w:val="auto"/>
                <w:kern w:val="21"/>
                <w:sz w:val="21"/>
                <w:szCs w:val="21"/>
                <w:lang w:val="en-US" w:eastAsia="zh-CN"/>
              </w:rPr>
              <w:t>在建工程</w:t>
            </w:r>
          </w:p>
          <w:p w14:paraId="7A0CCE0A">
            <w:pPr>
              <w:adjustRightInd w:val="0"/>
              <w:snapToGrid w:val="0"/>
              <w:spacing w:line="240" w:lineRule="auto"/>
              <w:ind w:firstLine="0" w:firstLineChars="0"/>
              <w:jc w:val="center"/>
              <w:rPr>
                <w:rFonts w:hint="eastAsia"/>
                <w:b/>
                <w:bCs/>
                <w:snapToGrid w:val="0"/>
                <w:color w:val="auto"/>
                <w:kern w:val="21"/>
                <w:sz w:val="21"/>
                <w:szCs w:val="21"/>
                <w:lang w:val="en-US" w:eastAsia="zh-CN"/>
              </w:rPr>
            </w:pPr>
            <w:r>
              <w:rPr>
                <w:rFonts w:hint="eastAsia"/>
                <w:b/>
                <w:bCs/>
                <w:snapToGrid w:val="0"/>
                <w:color w:val="auto"/>
                <w:kern w:val="21"/>
                <w:sz w:val="21"/>
                <w:szCs w:val="21"/>
                <w:lang w:val="en-US" w:eastAsia="zh-CN"/>
              </w:rPr>
              <w:t>排放量（固体废物产生量）</w:t>
            </w:r>
            <w:r>
              <w:rPr>
                <w:rFonts w:hint="eastAsia"/>
                <w:b/>
                <w:bCs/>
                <w:snapToGrid w:val="0"/>
                <w:color w:val="auto"/>
                <w:kern w:val="21"/>
                <w:sz w:val="21"/>
                <w:szCs w:val="21"/>
                <w:lang w:val="en-US" w:eastAsia="zh-CN"/>
              </w:rPr>
              <w:fldChar w:fldCharType="begin"/>
            </w:r>
            <w:r>
              <w:rPr>
                <w:rFonts w:hint="eastAsia"/>
                <w:b/>
                <w:bCs/>
                <w:snapToGrid w:val="0"/>
                <w:color w:val="auto"/>
                <w:kern w:val="21"/>
                <w:sz w:val="21"/>
                <w:szCs w:val="21"/>
                <w:lang w:val="en-US" w:eastAsia="zh-CN"/>
              </w:rPr>
              <w:instrText xml:space="preserve"> = 3 \* GB3 \* MERGEFORMAT </w:instrText>
            </w:r>
            <w:r>
              <w:rPr>
                <w:rFonts w:hint="eastAsia"/>
                <w:b/>
                <w:bCs/>
                <w:snapToGrid w:val="0"/>
                <w:color w:val="auto"/>
                <w:kern w:val="21"/>
                <w:sz w:val="21"/>
                <w:szCs w:val="21"/>
                <w:lang w:val="en-US" w:eastAsia="zh-CN"/>
              </w:rPr>
              <w:fldChar w:fldCharType="separate"/>
            </w:r>
            <w:r>
              <w:rPr>
                <w:rFonts w:hint="eastAsia"/>
                <w:b/>
                <w:bCs/>
                <w:snapToGrid w:val="0"/>
                <w:color w:val="auto"/>
                <w:kern w:val="21"/>
                <w:sz w:val="21"/>
                <w:szCs w:val="21"/>
                <w:lang w:val="en-US" w:eastAsia="zh-CN"/>
              </w:rPr>
              <w:t>③</w:t>
            </w:r>
            <w:r>
              <w:rPr>
                <w:rFonts w:hint="eastAsia"/>
                <w:b/>
                <w:bCs/>
                <w:snapToGrid w:val="0"/>
                <w:color w:val="auto"/>
                <w:kern w:val="21"/>
                <w:sz w:val="21"/>
                <w:szCs w:val="21"/>
                <w:lang w:val="en-US" w:eastAsia="zh-CN"/>
              </w:rPr>
              <w:fldChar w:fldCharType="end"/>
            </w:r>
          </w:p>
        </w:tc>
        <w:tc>
          <w:tcPr>
            <w:tcW w:w="530" w:type="pct"/>
            <w:noWrap w:val="0"/>
            <w:tcMar>
              <w:left w:w="28" w:type="dxa"/>
              <w:right w:w="28" w:type="dxa"/>
            </w:tcMar>
            <w:vAlign w:val="center"/>
          </w:tcPr>
          <w:p w14:paraId="775621FC">
            <w:pPr>
              <w:adjustRightInd w:val="0"/>
              <w:snapToGrid w:val="0"/>
              <w:spacing w:line="240" w:lineRule="auto"/>
              <w:ind w:firstLine="0" w:firstLineChars="0"/>
              <w:jc w:val="center"/>
              <w:rPr>
                <w:rFonts w:hint="eastAsia"/>
                <w:b/>
                <w:bCs/>
                <w:snapToGrid w:val="0"/>
                <w:color w:val="auto"/>
                <w:kern w:val="21"/>
                <w:sz w:val="21"/>
                <w:szCs w:val="21"/>
                <w:lang w:val="en-US" w:eastAsia="zh-CN"/>
              </w:rPr>
            </w:pPr>
            <w:r>
              <w:rPr>
                <w:rFonts w:hint="eastAsia"/>
                <w:b/>
                <w:bCs/>
                <w:snapToGrid w:val="0"/>
                <w:color w:val="auto"/>
                <w:kern w:val="21"/>
                <w:sz w:val="21"/>
                <w:szCs w:val="21"/>
                <w:lang w:val="en-US" w:eastAsia="zh-CN"/>
              </w:rPr>
              <w:t>本项目</w:t>
            </w:r>
          </w:p>
          <w:p w14:paraId="27B5B748">
            <w:pPr>
              <w:adjustRightInd w:val="0"/>
              <w:snapToGrid w:val="0"/>
              <w:spacing w:line="240" w:lineRule="auto"/>
              <w:ind w:firstLine="0" w:firstLineChars="0"/>
              <w:jc w:val="center"/>
              <w:rPr>
                <w:rFonts w:hint="eastAsia"/>
                <w:b/>
                <w:bCs/>
                <w:snapToGrid w:val="0"/>
                <w:color w:val="auto"/>
                <w:kern w:val="21"/>
                <w:sz w:val="21"/>
                <w:szCs w:val="21"/>
                <w:lang w:val="en-US" w:eastAsia="zh-CN"/>
              </w:rPr>
            </w:pPr>
            <w:r>
              <w:rPr>
                <w:rFonts w:hint="eastAsia"/>
                <w:b/>
                <w:bCs/>
                <w:snapToGrid w:val="0"/>
                <w:color w:val="auto"/>
                <w:kern w:val="21"/>
                <w:sz w:val="21"/>
                <w:szCs w:val="21"/>
                <w:lang w:val="en-US" w:eastAsia="zh-CN"/>
              </w:rPr>
              <w:t>排放量（固体废物产生量）</w:t>
            </w:r>
            <w:r>
              <w:rPr>
                <w:rFonts w:hint="eastAsia"/>
                <w:b/>
                <w:bCs/>
                <w:snapToGrid w:val="0"/>
                <w:color w:val="auto"/>
                <w:kern w:val="21"/>
                <w:sz w:val="21"/>
                <w:szCs w:val="21"/>
                <w:lang w:val="en-US" w:eastAsia="zh-CN"/>
              </w:rPr>
              <w:fldChar w:fldCharType="begin"/>
            </w:r>
            <w:r>
              <w:rPr>
                <w:rFonts w:hint="eastAsia"/>
                <w:b/>
                <w:bCs/>
                <w:snapToGrid w:val="0"/>
                <w:color w:val="auto"/>
                <w:kern w:val="21"/>
                <w:sz w:val="21"/>
                <w:szCs w:val="21"/>
                <w:lang w:val="en-US" w:eastAsia="zh-CN"/>
              </w:rPr>
              <w:instrText xml:space="preserve"> = 4 \* GB3 \* MERGEFORMAT </w:instrText>
            </w:r>
            <w:r>
              <w:rPr>
                <w:rFonts w:hint="eastAsia"/>
                <w:b/>
                <w:bCs/>
                <w:snapToGrid w:val="0"/>
                <w:color w:val="auto"/>
                <w:kern w:val="21"/>
                <w:sz w:val="21"/>
                <w:szCs w:val="21"/>
                <w:lang w:val="en-US" w:eastAsia="zh-CN"/>
              </w:rPr>
              <w:fldChar w:fldCharType="separate"/>
            </w:r>
            <w:r>
              <w:rPr>
                <w:rFonts w:hint="eastAsia"/>
                <w:b/>
                <w:bCs/>
                <w:snapToGrid w:val="0"/>
                <w:color w:val="auto"/>
                <w:kern w:val="21"/>
                <w:sz w:val="21"/>
                <w:szCs w:val="21"/>
                <w:lang w:val="en-US" w:eastAsia="zh-CN"/>
              </w:rPr>
              <w:t>④</w:t>
            </w:r>
            <w:r>
              <w:rPr>
                <w:rFonts w:hint="eastAsia"/>
                <w:b/>
                <w:bCs/>
                <w:snapToGrid w:val="0"/>
                <w:color w:val="auto"/>
                <w:kern w:val="21"/>
                <w:sz w:val="21"/>
                <w:szCs w:val="21"/>
                <w:lang w:val="en-US" w:eastAsia="zh-CN"/>
              </w:rPr>
              <w:fldChar w:fldCharType="end"/>
            </w:r>
          </w:p>
        </w:tc>
        <w:tc>
          <w:tcPr>
            <w:tcW w:w="563" w:type="pct"/>
            <w:noWrap w:val="0"/>
            <w:tcMar>
              <w:left w:w="28" w:type="dxa"/>
              <w:right w:w="28" w:type="dxa"/>
            </w:tcMar>
            <w:vAlign w:val="center"/>
          </w:tcPr>
          <w:p w14:paraId="4985ABED">
            <w:pPr>
              <w:adjustRightInd w:val="0"/>
              <w:snapToGrid w:val="0"/>
              <w:spacing w:line="240" w:lineRule="auto"/>
              <w:ind w:firstLine="0" w:firstLineChars="0"/>
              <w:jc w:val="center"/>
              <w:rPr>
                <w:rFonts w:hint="eastAsia"/>
                <w:b/>
                <w:bCs/>
                <w:snapToGrid w:val="0"/>
                <w:color w:val="auto"/>
                <w:kern w:val="21"/>
                <w:sz w:val="21"/>
                <w:szCs w:val="21"/>
                <w:lang w:val="en-US" w:eastAsia="zh-CN"/>
              </w:rPr>
            </w:pPr>
            <w:r>
              <w:rPr>
                <w:rFonts w:hint="eastAsia"/>
                <w:b/>
                <w:bCs/>
                <w:snapToGrid w:val="0"/>
                <w:color w:val="auto"/>
                <w:kern w:val="21"/>
                <w:sz w:val="21"/>
                <w:szCs w:val="21"/>
                <w:lang w:val="en-US" w:eastAsia="zh-CN"/>
              </w:rPr>
              <w:t>以新带老削减量</w:t>
            </w:r>
          </w:p>
          <w:p w14:paraId="38D43535">
            <w:pPr>
              <w:adjustRightInd w:val="0"/>
              <w:snapToGrid w:val="0"/>
              <w:spacing w:line="240" w:lineRule="auto"/>
              <w:ind w:firstLine="0" w:firstLineChars="0"/>
              <w:jc w:val="center"/>
              <w:rPr>
                <w:rFonts w:hint="eastAsia"/>
                <w:b/>
                <w:bCs/>
                <w:snapToGrid w:val="0"/>
                <w:color w:val="auto"/>
                <w:kern w:val="21"/>
                <w:sz w:val="21"/>
                <w:szCs w:val="21"/>
                <w:lang w:val="en-US" w:eastAsia="zh-CN"/>
              </w:rPr>
            </w:pPr>
            <w:r>
              <w:rPr>
                <w:rFonts w:hint="eastAsia"/>
                <w:b/>
                <w:bCs/>
                <w:snapToGrid w:val="0"/>
                <w:color w:val="auto"/>
                <w:kern w:val="21"/>
                <w:sz w:val="21"/>
                <w:szCs w:val="21"/>
                <w:lang w:val="en-US" w:eastAsia="zh-CN"/>
              </w:rPr>
              <w:t>（新建项目不填）</w:t>
            </w:r>
            <w:r>
              <w:rPr>
                <w:rFonts w:hint="eastAsia"/>
                <w:b/>
                <w:bCs/>
                <w:snapToGrid w:val="0"/>
                <w:color w:val="auto"/>
                <w:kern w:val="21"/>
                <w:sz w:val="21"/>
                <w:szCs w:val="21"/>
                <w:lang w:val="en-US" w:eastAsia="zh-CN"/>
              </w:rPr>
              <w:fldChar w:fldCharType="begin"/>
            </w:r>
            <w:r>
              <w:rPr>
                <w:rFonts w:hint="eastAsia"/>
                <w:b/>
                <w:bCs/>
                <w:snapToGrid w:val="0"/>
                <w:color w:val="auto"/>
                <w:kern w:val="21"/>
                <w:sz w:val="21"/>
                <w:szCs w:val="21"/>
                <w:lang w:val="en-US" w:eastAsia="zh-CN"/>
              </w:rPr>
              <w:instrText xml:space="preserve"> = 5 \* GB3 \* MERGEFORMAT </w:instrText>
            </w:r>
            <w:r>
              <w:rPr>
                <w:rFonts w:hint="eastAsia"/>
                <w:b/>
                <w:bCs/>
                <w:snapToGrid w:val="0"/>
                <w:color w:val="auto"/>
                <w:kern w:val="21"/>
                <w:sz w:val="21"/>
                <w:szCs w:val="21"/>
                <w:lang w:val="en-US" w:eastAsia="zh-CN"/>
              </w:rPr>
              <w:fldChar w:fldCharType="separate"/>
            </w:r>
            <w:r>
              <w:rPr>
                <w:rFonts w:hint="eastAsia"/>
                <w:b/>
                <w:bCs/>
                <w:snapToGrid w:val="0"/>
                <w:color w:val="auto"/>
                <w:kern w:val="21"/>
                <w:sz w:val="21"/>
                <w:szCs w:val="21"/>
                <w:lang w:val="en-US" w:eastAsia="zh-CN"/>
              </w:rPr>
              <w:t>⑤</w:t>
            </w:r>
            <w:r>
              <w:rPr>
                <w:rFonts w:hint="eastAsia"/>
                <w:b/>
                <w:bCs/>
                <w:snapToGrid w:val="0"/>
                <w:color w:val="auto"/>
                <w:kern w:val="21"/>
                <w:sz w:val="21"/>
                <w:szCs w:val="21"/>
                <w:lang w:val="en-US" w:eastAsia="zh-CN"/>
              </w:rPr>
              <w:fldChar w:fldCharType="end"/>
            </w:r>
          </w:p>
        </w:tc>
        <w:tc>
          <w:tcPr>
            <w:tcW w:w="707" w:type="pct"/>
            <w:noWrap w:val="0"/>
            <w:tcMar>
              <w:left w:w="28" w:type="dxa"/>
              <w:right w:w="28" w:type="dxa"/>
            </w:tcMar>
            <w:vAlign w:val="center"/>
          </w:tcPr>
          <w:p w14:paraId="48398E1E">
            <w:pPr>
              <w:adjustRightInd w:val="0"/>
              <w:snapToGrid w:val="0"/>
              <w:spacing w:line="240" w:lineRule="auto"/>
              <w:ind w:firstLine="0" w:firstLineChars="0"/>
              <w:jc w:val="center"/>
              <w:rPr>
                <w:rFonts w:hint="eastAsia"/>
                <w:b/>
                <w:bCs/>
                <w:snapToGrid w:val="0"/>
                <w:color w:val="auto"/>
                <w:kern w:val="21"/>
                <w:sz w:val="21"/>
                <w:szCs w:val="21"/>
                <w:lang w:val="en-US" w:eastAsia="zh-CN"/>
              </w:rPr>
            </w:pPr>
            <w:r>
              <w:rPr>
                <w:rFonts w:hint="eastAsia"/>
                <w:b/>
                <w:bCs/>
                <w:snapToGrid w:val="0"/>
                <w:color w:val="auto"/>
                <w:kern w:val="21"/>
                <w:sz w:val="21"/>
                <w:szCs w:val="21"/>
                <w:lang w:val="en-US" w:eastAsia="zh-CN"/>
              </w:rPr>
              <w:t>本项目建成后</w:t>
            </w:r>
          </w:p>
          <w:p w14:paraId="58B8E720">
            <w:pPr>
              <w:adjustRightInd w:val="0"/>
              <w:snapToGrid w:val="0"/>
              <w:spacing w:line="240" w:lineRule="auto"/>
              <w:ind w:firstLine="0" w:firstLineChars="0"/>
              <w:jc w:val="center"/>
              <w:rPr>
                <w:rFonts w:hint="eastAsia"/>
                <w:b/>
                <w:bCs/>
                <w:snapToGrid w:val="0"/>
                <w:color w:val="auto"/>
                <w:kern w:val="21"/>
                <w:sz w:val="21"/>
                <w:szCs w:val="21"/>
                <w:lang w:val="en-US" w:eastAsia="zh-CN"/>
              </w:rPr>
            </w:pPr>
            <w:r>
              <w:rPr>
                <w:rFonts w:hint="eastAsia"/>
                <w:b/>
                <w:bCs/>
                <w:snapToGrid w:val="0"/>
                <w:color w:val="auto"/>
                <w:kern w:val="21"/>
                <w:sz w:val="21"/>
                <w:szCs w:val="21"/>
                <w:lang w:val="en-US" w:eastAsia="zh-CN"/>
              </w:rPr>
              <w:t>全厂排放量（固体废物产生量）</w:t>
            </w:r>
            <w:r>
              <w:rPr>
                <w:rFonts w:hint="eastAsia"/>
                <w:b/>
                <w:bCs/>
                <w:snapToGrid w:val="0"/>
                <w:color w:val="auto"/>
                <w:kern w:val="21"/>
                <w:sz w:val="21"/>
                <w:szCs w:val="21"/>
                <w:lang w:val="en-US" w:eastAsia="zh-CN"/>
              </w:rPr>
              <w:fldChar w:fldCharType="begin"/>
            </w:r>
            <w:r>
              <w:rPr>
                <w:rFonts w:hint="eastAsia"/>
                <w:b/>
                <w:bCs/>
                <w:snapToGrid w:val="0"/>
                <w:color w:val="auto"/>
                <w:kern w:val="21"/>
                <w:sz w:val="21"/>
                <w:szCs w:val="21"/>
                <w:lang w:val="en-US" w:eastAsia="zh-CN"/>
              </w:rPr>
              <w:instrText xml:space="preserve"> = 6 \* GB3 \* MERGEFORMAT </w:instrText>
            </w:r>
            <w:r>
              <w:rPr>
                <w:rFonts w:hint="eastAsia"/>
                <w:b/>
                <w:bCs/>
                <w:snapToGrid w:val="0"/>
                <w:color w:val="auto"/>
                <w:kern w:val="21"/>
                <w:sz w:val="21"/>
                <w:szCs w:val="21"/>
                <w:lang w:val="en-US" w:eastAsia="zh-CN"/>
              </w:rPr>
              <w:fldChar w:fldCharType="separate"/>
            </w:r>
            <w:r>
              <w:rPr>
                <w:rFonts w:hint="eastAsia"/>
                <w:b/>
                <w:bCs/>
                <w:snapToGrid w:val="0"/>
                <w:color w:val="auto"/>
                <w:kern w:val="21"/>
                <w:sz w:val="21"/>
                <w:szCs w:val="21"/>
                <w:lang w:val="en-US" w:eastAsia="zh-CN"/>
              </w:rPr>
              <w:t>⑥</w:t>
            </w:r>
            <w:r>
              <w:rPr>
                <w:rFonts w:hint="eastAsia"/>
                <w:b/>
                <w:bCs/>
                <w:snapToGrid w:val="0"/>
                <w:color w:val="auto"/>
                <w:kern w:val="21"/>
                <w:sz w:val="21"/>
                <w:szCs w:val="21"/>
                <w:lang w:val="en-US" w:eastAsia="zh-CN"/>
              </w:rPr>
              <w:fldChar w:fldCharType="end"/>
            </w:r>
          </w:p>
        </w:tc>
        <w:tc>
          <w:tcPr>
            <w:tcW w:w="541" w:type="pct"/>
            <w:noWrap w:val="0"/>
            <w:tcMar>
              <w:left w:w="28" w:type="dxa"/>
              <w:right w:w="28" w:type="dxa"/>
            </w:tcMar>
            <w:vAlign w:val="center"/>
          </w:tcPr>
          <w:p w14:paraId="1CFB5E9E">
            <w:pPr>
              <w:adjustRightInd w:val="0"/>
              <w:snapToGrid w:val="0"/>
              <w:spacing w:line="240" w:lineRule="auto"/>
              <w:ind w:firstLine="0" w:firstLineChars="0"/>
              <w:jc w:val="center"/>
              <w:rPr>
                <w:rFonts w:hint="eastAsia"/>
                <w:b/>
                <w:bCs/>
                <w:snapToGrid w:val="0"/>
                <w:color w:val="auto"/>
                <w:kern w:val="21"/>
                <w:sz w:val="21"/>
                <w:szCs w:val="21"/>
                <w:lang w:val="en-US" w:eastAsia="zh-CN"/>
              </w:rPr>
            </w:pPr>
            <w:r>
              <w:rPr>
                <w:rFonts w:hint="eastAsia"/>
                <w:b/>
                <w:bCs/>
                <w:snapToGrid w:val="0"/>
                <w:color w:val="auto"/>
                <w:kern w:val="21"/>
                <w:sz w:val="21"/>
                <w:szCs w:val="21"/>
                <w:lang w:val="en-US" w:eastAsia="zh-CN"/>
              </w:rPr>
              <w:t>变化量</w:t>
            </w:r>
          </w:p>
          <w:p w14:paraId="214ADB72">
            <w:pPr>
              <w:adjustRightInd w:val="0"/>
              <w:snapToGrid w:val="0"/>
              <w:spacing w:line="240" w:lineRule="auto"/>
              <w:ind w:firstLine="0" w:firstLineChars="0"/>
              <w:jc w:val="center"/>
              <w:rPr>
                <w:rFonts w:hint="eastAsia"/>
                <w:b/>
                <w:bCs/>
                <w:snapToGrid w:val="0"/>
                <w:color w:val="auto"/>
                <w:kern w:val="21"/>
                <w:sz w:val="21"/>
                <w:szCs w:val="21"/>
                <w:lang w:val="en-US" w:eastAsia="zh-CN"/>
              </w:rPr>
            </w:pPr>
            <w:r>
              <w:rPr>
                <w:rFonts w:hint="eastAsia"/>
                <w:b/>
                <w:bCs/>
                <w:snapToGrid w:val="0"/>
                <w:color w:val="auto"/>
                <w:kern w:val="21"/>
                <w:sz w:val="21"/>
                <w:szCs w:val="21"/>
                <w:lang w:val="en-US" w:eastAsia="zh-CN"/>
              </w:rPr>
              <w:fldChar w:fldCharType="begin"/>
            </w:r>
            <w:r>
              <w:rPr>
                <w:rFonts w:hint="eastAsia"/>
                <w:b/>
                <w:bCs/>
                <w:snapToGrid w:val="0"/>
                <w:color w:val="auto"/>
                <w:kern w:val="21"/>
                <w:sz w:val="21"/>
                <w:szCs w:val="21"/>
                <w:lang w:val="en-US" w:eastAsia="zh-CN"/>
              </w:rPr>
              <w:instrText xml:space="preserve"> = 7 \* GB3 \* MERGEFORMAT </w:instrText>
            </w:r>
            <w:r>
              <w:rPr>
                <w:rFonts w:hint="eastAsia"/>
                <w:b/>
                <w:bCs/>
                <w:snapToGrid w:val="0"/>
                <w:color w:val="auto"/>
                <w:kern w:val="21"/>
                <w:sz w:val="21"/>
                <w:szCs w:val="21"/>
                <w:lang w:val="en-US" w:eastAsia="zh-CN"/>
              </w:rPr>
              <w:fldChar w:fldCharType="separate"/>
            </w:r>
            <w:r>
              <w:rPr>
                <w:rFonts w:hint="eastAsia"/>
                <w:b/>
                <w:bCs/>
                <w:snapToGrid w:val="0"/>
                <w:color w:val="auto"/>
                <w:kern w:val="21"/>
                <w:sz w:val="21"/>
                <w:szCs w:val="21"/>
                <w:lang w:val="en-US" w:eastAsia="zh-CN"/>
              </w:rPr>
              <w:t>⑦</w:t>
            </w:r>
            <w:r>
              <w:rPr>
                <w:rFonts w:hint="eastAsia"/>
                <w:b/>
                <w:bCs/>
                <w:snapToGrid w:val="0"/>
                <w:color w:val="auto"/>
                <w:kern w:val="21"/>
                <w:sz w:val="21"/>
                <w:szCs w:val="21"/>
                <w:lang w:val="en-US" w:eastAsia="zh-CN"/>
              </w:rPr>
              <w:fldChar w:fldCharType="end"/>
            </w:r>
          </w:p>
        </w:tc>
      </w:tr>
      <w:tr w14:paraId="52D456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577" w:type="pct"/>
            <w:vMerge w:val="restart"/>
            <w:noWrap w:val="0"/>
            <w:vAlign w:val="center"/>
          </w:tcPr>
          <w:p w14:paraId="69D6DF19">
            <w:pPr>
              <w:spacing w:line="360" w:lineRule="atLeast"/>
              <w:ind w:firstLine="0" w:firstLineChars="0"/>
              <w:jc w:val="center"/>
              <w:rPr>
                <w:rFonts w:hint="eastAsia" w:eastAsia="宋体"/>
                <w:color w:val="auto"/>
                <w:sz w:val="21"/>
                <w:szCs w:val="21"/>
              </w:rPr>
            </w:pPr>
            <w:r>
              <w:rPr>
                <w:rFonts w:hint="eastAsia" w:eastAsia="宋体"/>
                <w:color w:val="auto"/>
                <w:sz w:val="21"/>
                <w:szCs w:val="21"/>
              </w:rPr>
              <w:t>废气</w:t>
            </w:r>
          </w:p>
        </w:tc>
        <w:tc>
          <w:tcPr>
            <w:tcW w:w="485" w:type="pct"/>
            <w:shd w:val="clear" w:color="auto" w:fill="auto"/>
            <w:noWrap w:val="0"/>
            <w:vAlign w:val="center"/>
          </w:tcPr>
          <w:p w14:paraId="7A1C477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pacing w:val="-11"/>
                <w:sz w:val="21"/>
                <w:szCs w:val="21"/>
                <w:highlight w:val="none"/>
                <w:lang w:val="en-US" w:eastAsia="zh-CN"/>
              </w:rPr>
              <w:t>氯化氢</w:t>
            </w:r>
          </w:p>
        </w:tc>
        <w:tc>
          <w:tcPr>
            <w:tcW w:w="596" w:type="pct"/>
            <w:shd w:val="clear" w:color="auto" w:fill="auto"/>
            <w:noWrap w:val="0"/>
            <w:vAlign w:val="center"/>
          </w:tcPr>
          <w:p w14:paraId="06B412B5">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421" w:type="pct"/>
            <w:shd w:val="clear" w:color="auto" w:fill="auto"/>
            <w:noWrap w:val="0"/>
            <w:vAlign w:val="center"/>
          </w:tcPr>
          <w:p w14:paraId="1682B775">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574" w:type="pct"/>
            <w:noWrap w:val="0"/>
            <w:vAlign w:val="center"/>
          </w:tcPr>
          <w:p w14:paraId="0AF5EB1D">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530" w:type="pct"/>
            <w:noWrap w:val="0"/>
            <w:vAlign w:val="center"/>
          </w:tcPr>
          <w:p w14:paraId="4C5EE19F">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0.00152</w:t>
            </w:r>
          </w:p>
        </w:tc>
        <w:tc>
          <w:tcPr>
            <w:tcW w:w="563" w:type="pct"/>
            <w:noWrap w:val="0"/>
            <w:vAlign w:val="center"/>
          </w:tcPr>
          <w:p w14:paraId="1E3BB034">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707" w:type="pct"/>
            <w:noWrap w:val="0"/>
            <w:vAlign w:val="center"/>
          </w:tcPr>
          <w:p w14:paraId="44C4F4EB">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0.00152</w:t>
            </w:r>
          </w:p>
        </w:tc>
        <w:tc>
          <w:tcPr>
            <w:tcW w:w="541" w:type="pct"/>
            <w:noWrap w:val="0"/>
            <w:vAlign w:val="center"/>
          </w:tcPr>
          <w:p w14:paraId="1AF79D7D">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7E6376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77" w:type="pct"/>
            <w:vMerge w:val="continue"/>
            <w:noWrap w:val="0"/>
            <w:vAlign w:val="center"/>
          </w:tcPr>
          <w:p w14:paraId="3EDD024C">
            <w:pPr>
              <w:spacing w:line="360" w:lineRule="atLeast"/>
              <w:ind w:firstLine="0" w:firstLineChars="0"/>
              <w:jc w:val="center"/>
              <w:rPr>
                <w:rFonts w:hint="eastAsia" w:eastAsia="宋体"/>
                <w:color w:val="auto"/>
                <w:sz w:val="21"/>
                <w:szCs w:val="21"/>
              </w:rPr>
            </w:pPr>
          </w:p>
        </w:tc>
        <w:tc>
          <w:tcPr>
            <w:tcW w:w="485" w:type="pct"/>
            <w:shd w:val="clear" w:color="auto" w:fill="auto"/>
            <w:noWrap w:val="0"/>
            <w:vAlign w:val="center"/>
          </w:tcPr>
          <w:p w14:paraId="5B382279">
            <w:pPr>
              <w:spacing w:line="360" w:lineRule="atLeast"/>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pacing w:val="-11"/>
                <w:sz w:val="21"/>
                <w:szCs w:val="21"/>
                <w:highlight w:val="none"/>
                <w:lang w:val="en-US" w:eastAsia="zh-CN"/>
              </w:rPr>
              <w:t>氮氧化物</w:t>
            </w:r>
          </w:p>
        </w:tc>
        <w:tc>
          <w:tcPr>
            <w:tcW w:w="596" w:type="pct"/>
            <w:shd w:val="clear" w:color="auto" w:fill="auto"/>
            <w:noWrap w:val="0"/>
            <w:vAlign w:val="center"/>
          </w:tcPr>
          <w:p w14:paraId="6583AE9F">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421" w:type="pct"/>
            <w:shd w:val="clear" w:color="auto" w:fill="auto"/>
            <w:noWrap w:val="0"/>
            <w:vAlign w:val="center"/>
          </w:tcPr>
          <w:p w14:paraId="63C66316">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574" w:type="pct"/>
            <w:noWrap w:val="0"/>
            <w:vAlign w:val="center"/>
          </w:tcPr>
          <w:p w14:paraId="46B6629C">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530" w:type="pct"/>
            <w:noWrap w:val="0"/>
            <w:vAlign w:val="center"/>
          </w:tcPr>
          <w:p w14:paraId="714546F9">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0.0014</w:t>
            </w:r>
          </w:p>
        </w:tc>
        <w:tc>
          <w:tcPr>
            <w:tcW w:w="563" w:type="pct"/>
            <w:noWrap w:val="0"/>
            <w:vAlign w:val="center"/>
          </w:tcPr>
          <w:p w14:paraId="79219A7C">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707" w:type="pct"/>
            <w:noWrap w:val="0"/>
            <w:vAlign w:val="center"/>
          </w:tcPr>
          <w:p w14:paraId="10022DA1">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0.065</w:t>
            </w:r>
          </w:p>
        </w:tc>
        <w:tc>
          <w:tcPr>
            <w:tcW w:w="541" w:type="pct"/>
            <w:noWrap w:val="0"/>
            <w:vAlign w:val="center"/>
          </w:tcPr>
          <w:p w14:paraId="02552615">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70E1AE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577" w:type="pct"/>
            <w:vMerge w:val="continue"/>
            <w:noWrap w:val="0"/>
            <w:vAlign w:val="center"/>
          </w:tcPr>
          <w:p w14:paraId="09283A69">
            <w:pPr>
              <w:spacing w:line="360" w:lineRule="atLeast"/>
              <w:ind w:firstLine="0" w:firstLineChars="0"/>
              <w:jc w:val="center"/>
              <w:rPr>
                <w:rFonts w:hint="eastAsia" w:eastAsia="宋体"/>
                <w:color w:val="auto"/>
                <w:sz w:val="21"/>
                <w:szCs w:val="21"/>
              </w:rPr>
            </w:pPr>
          </w:p>
        </w:tc>
        <w:tc>
          <w:tcPr>
            <w:tcW w:w="485" w:type="pct"/>
            <w:shd w:val="clear" w:color="auto" w:fill="auto"/>
            <w:noWrap w:val="0"/>
            <w:vAlign w:val="center"/>
          </w:tcPr>
          <w:p w14:paraId="14BC459C">
            <w:pPr>
              <w:spacing w:line="360" w:lineRule="atLeast"/>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宋体" w:hAnsi="宋体" w:cs="宋体"/>
                <w:i w:val="0"/>
                <w:iCs w:val="0"/>
                <w:color w:val="auto"/>
                <w:sz w:val="21"/>
                <w:szCs w:val="21"/>
                <w:highlight w:val="none"/>
                <w:u w:val="none"/>
                <w:lang w:val="en-US" w:eastAsia="zh-CN"/>
              </w:rPr>
              <w:t>非甲烷总烃</w:t>
            </w:r>
          </w:p>
        </w:tc>
        <w:tc>
          <w:tcPr>
            <w:tcW w:w="596" w:type="pct"/>
            <w:shd w:val="clear" w:color="auto" w:fill="auto"/>
            <w:noWrap w:val="0"/>
            <w:vAlign w:val="center"/>
          </w:tcPr>
          <w:p w14:paraId="354AD3E8">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421" w:type="pct"/>
            <w:shd w:val="clear" w:color="auto" w:fill="auto"/>
            <w:noWrap w:val="0"/>
            <w:vAlign w:val="center"/>
          </w:tcPr>
          <w:p w14:paraId="216B0013">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574" w:type="pct"/>
            <w:noWrap w:val="0"/>
            <w:vAlign w:val="center"/>
          </w:tcPr>
          <w:p w14:paraId="2F19F9A6">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530" w:type="pct"/>
            <w:noWrap w:val="0"/>
            <w:vAlign w:val="center"/>
          </w:tcPr>
          <w:p w14:paraId="0B26A73C">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0.0184</w:t>
            </w:r>
          </w:p>
        </w:tc>
        <w:tc>
          <w:tcPr>
            <w:tcW w:w="563" w:type="pct"/>
            <w:noWrap w:val="0"/>
            <w:vAlign w:val="center"/>
          </w:tcPr>
          <w:p w14:paraId="55D6D7B0">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707" w:type="pct"/>
            <w:noWrap w:val="0"/>
            <w:vAlign w:val="center"/>
          </w:tcPr>
          <w:p w14:paraId="142F5B76">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0.0184</w:t>
            </w:r>
          </w:p>
        </w:tc>
        <w:tc>
          <w:tcPr>
            <w:tcW w:w="541" w:type="pct"/>
            <w:noWrap w:val="0"/>
            <w:vAlign w:val="center"/>
          </w:tcPr>
          <w:p w14:paraId="585412D1">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518DBF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7" w:type="pct"/>
            <w:vMerge w:val="continue"/>
            <w:noWrap w:val="0"/>
            <w:vAlign w:val="center"/>
          </w:tcPr>
          <w:p w14:paraId="58D71CCB">
            <w:pPr>
              <w:spacing w:line="360" w:lineRule="atLeast"/>
              <w:ind w:firstLine="0" w:firstLineChars="0"/>
              <w:jc w:val="center"/>
              <w:rPr>
                <w:rFonts w:hint="eastAsia" w:eastAsia="宋体"/>
                <w:color w:val="auto"/>
                <w:sz w:val="21"/>
                <w:szCs w:val="21"/>
              </w:rPr>
            </w:pPr>
          </w:p>
        </w:tc>
        <w:tc>
          <w:tcPr>
            <w:tcW w:w="485" w:type="pct"/>
            <w:shd w:val="clear" w:color="auto" w:fill="auto"/>
            <w:noWrap w:val="0"/>
            <w:vAlign w:val="center"/>
          </w:tcPr>
          <w:p w14:paraId="690919EF">
            <w:pPr>
              <w:spacing w:line="360" w:lineRule="atLeast"/>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宋体" w:hAnsi="宋体" w:cs="宋体"/>
                <w:i w:val="0"/>
                <w:iCs w:val="0"/>
                <w:color w:val="auto"/>
                <w:sz w:val="21"/>
                <w:szCs w:val="21"/>
                <w:highlight w:val="none"/>
                <w:u w:val="none"/>
                <w:lang w:val="en-US" w:eastAsia="zh-CN"/>
              </w:rPr>
              <w:t>焊接烟尘</w:t>
            </w:r>
          </w:p>
        </w:tc>
        <w:tc>
          <w:tcPr>
            <w:tcW w:w="596" w:type="pct"/>
            <w:shd w:val="clear" w:color="auto" w:fill="auto"/>
            <w:noWrap w:val="0"/>
            <w:vAlign w:val="center"/>
          </w:tcPr>
          <w:p w14:paraId="50546444">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421" w:type="pct"/>
            <w:shd w:val="clear" w:color="auto" w:fill="auto"/>
            <w:noWrap w:val="0"/>
            <w:vAlign w:val="center"/>
          </w:tcPr>
          <w:p w14:paraId="3B1CC033">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574" w:type="pct"/>
            <w:noWrap w:val="0"/>
            <w:vAlign w:val="center"/>
          </w:tcPr>
          <w:p w14:paraId="59DD7081">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530" w:type="pct"/>
            <w:noWrap w:val="0"/>
            <w:vAlign w:val="center"/>
          </w:tcPr>
          <w:p w14:paraId="2C333429">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0.00016</w:t>
            </w:r>
          </w:p>
        </w:tc>
        <w:tc>
          <w:tcPr>
            <w:tcW w:w="563" w:type="pct"/>
            <w:noWrap w:val="0"/>
            <w:vAlign w:val="center"/>
          </w:tcPr>
          <w:p w14:paraId="770A346A">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707" w:type="pct"/>
            <w:noWrap w:val="0"/>
            <w:vAlign w:val="center"/>
          </w:tcPr>
          <w:p w14:paraId="4CE41E08">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0.00016</w:t>
            </w:r>
          </w:p>
        </w:tc>
        <w:tc>
          <w:tcPr>
            <w:tcW w:w="541" w:type="pct"/>
            <w:noWrap w:val="0"/>
            <w:vAlign w:val="center"/>
          </w:tcPr>
          <w:p w14:paraId="3BBFD907">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7FEF0A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577" w:type="pct"/>
            <w:vMerge w:val="continue"/>
            <w:noWrap w:val="0"/>
            <w:vAlign w:val="center"/>
          </w:tcPr>
          <w:p w14:paraId="3B157C79">
            <w:pPr>
              <w:spacing w:line="360" w:lineRule="atLeast"/>
              <w:ind w:firstLine="0" w:firstLineChars="0"/>
              <w:jc w:val="center"/>
              <w:rPr>
                <w:rFonts w:hint="eastAsia" w:eastAsia="宋体"/>
                <w:color w:val="auto"/>
                <w:sz w:val="21"/>
                <w:szCs w:val="21"/>
              </w:rPr>
            </w:pPr>
          </w:p>
        </w:tc>
        <w:tc>
          <w:tcPr>
            <w:tcW w:w="485" w:type="pct"/>
            <w:shd w:val="clear" w:color="auto" w:fill="auto"/>
            <w:noWrap w:val="0"/>
            <w:vAlign w:val="center"/>
          </w:tcPr>
          <w:p w14:paraId="643D32E0">
            <w:pPr>
              <w:spacing w:line="360" w:lineRule="atLeast"/>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宋体" w:hAnsi="宋体" w:cs="宋体"/>
                <w:i w:val="0"/>
                <w:iCs w:val="0"/>
                <w:color w:val="auto"/>
                <w:sz w:val="21"/>
                <w:szCs w:val="21"/>
                <w:highlight w:val="none"/>
                <w:u w:val="none"/>
                <w:lang w:val="en-US" w:eastAsia="zh-CN"/>
              </w:rPr>
              <w:t>餐厅油烟</w:t>
            </w:r>
          </w:p>
        </w:tc>
        <w:tc>
          <w:tcPr>
            <w:tcW w:w="596" w:type="pct"/>
            <w:shd w:val="clear" w:color="auto" w:fill="auto"/>
            <w:noWrap w:val="0"/>
            <w:vAlign w:val="center"/>
          </w:tcPr>
          <w:p w14:paraId="1696C817">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421" w:type="pct"/>
            <w:shd w:val="clear" w:color="auto" w:fill="auto"/>
            <w:noWrap w:val="0"/>
            <w:vAlign w:val="center"/>
          </w:tcPr>
          <w:p w14:paraId="2270DDA7">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574" w:type="pct"/>
            <w:noWrap w:val="0"/>
            <w:vAlign w:val="center"/>
          </w:tcPr>
          <w:p w14:paraId="38D34918">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530" w:type="pct"/>
            <w:noWrap w:val="0"/>
            <w:vAlign w:val="center"/>
          </w:tcPr>
          <w:p w14:paraId="1F6D8EED">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0.081</w:t>
            </w:r>
          </w:p>
        </w:tc>
        <w:tc>
          <w:tcPr>
            <w:tcW w:w="563" w:type="pct"/>
            <w:noWrap w:val="0"/>
            <w:vAlign w:val="center"/>
          </w:tcPr>
          <w:p w14:paraId="065D496B">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707" w:type="pct"/>
            <w:noWrap w:val="0"/>
            <w:vAlign w:val="center"/>
          </w:tcPr>
          <w:p w14:paraId="46B41384">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0.081</w:t>
            </w:r>
          </w:p>
        </w:tc>
        <w:tc>
          <w:tcPr>
            <w:tcW w:w="541" w:type="pct"/>
            <w:noWrap w:val="0"/>
            <w:vAlign w:val="center"/>
          </w:tcPr>
          <w:p w14:paraId="29FF553A">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5F4D78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577" w:type="pct"/>
            <w:vMerge w:val="restart"/>
            <w:noWrap w:val="0"/>
            <w:vAlign w:val="center"/>
          </w:tcPr>
          <w:p w14:paraId="23B1320F">
            <w:pPr>
              <w:spacing w:line="360" w:lineRule="atLeast"/>
              <w:ind w:firstLine="0" w:firstLineChars="0"/>
              <w:jc w:val="center"/>
              <w:rPr>
                <w:rFonts w:hint="eastAsia" w:eastAsia="宋体"/>
                <w:color w:val="auto"/>
                <w:sz w:val="21"/>
                <w:szCs w:val="21"/>
              </w:rPr>
            </w:pPr>
            <w:r>
              <w:rPr>
                <w:rFonts w:hint="eastAsia" w:eastAsia="宋体"/>
                <w:color w:val="auto"/>
                <w:sz w:val="21"/>
                <w:szCs w:val="21"/>
              </w:rPr>
              <w:t>废水</w:t>
            </w:r>
          </w:p>
        </w:tc>
        <w:tc>
          <w:tcPr>
            <w:tcW w:w="485" w:type="pct"/>
            <w:noWrap w:val="0"/>
            <w:vAlign w:val="center"/>
          </w:tcPr>
          <w:p w14:paraId="6C872C0E">
            <w:pPr>
              <w:spacing w:line="360" w:lineRule="atLeast"/>
              <w:ind w:firstLine="0" w:firstLineChars="0"/>
              <w:jc w:val="center"/>
              <w:rPr>
                <w:color w:val="auto"/>
                <w:sz w:val="21"/>
                <w:szCs w:val="21"/>
                <w:highlight w:val="none"/>
              </w:rPr>
            </w:pPr>
            <w:r>
              <w:rPr>
                <w:rFonts w:hint="eastAsia"/>
                <w:sz w:val="21"/>
                <w:szCs w:val="21"/>
                <w:highlight w:val="none"/>
              </w:rPr>
              <w:t>COD</w:t>
            </w:r>
          </w:p>
        </w:tc>
        <w:tc>
          <w:tcPr>
            <w:tcW w:w="596" w:type="pct"/>
            <w:noWrap w:val="0"/>
            <w:vAlign w:val="center"/>
          </w:tcPr>
          <w:p w14:paraId="2B8DEDF2">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421" w:type="pct"/>
            <w:noWrap w:val="0"/>
            <w:vAlign w:val="center"/>
          </w:tcPr>
          <w:p w14:paraId="09925D17">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574" w:type="pct"/>
            <w:noWrap w:val="0"/>
            <w:vAlign w:val="center"/>
          </w:tcPr>
          <w:p w14:paraId="6F9E30E8">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530" w:type="pct"/>
            <w:noWrap w:val="0"/>
            <w:vAlign w:val="center"/>
          </w:tcPr>
          <w:p w14:paraId="752BB0C0">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19.03</w:t>
            </w:r>
          </w:p>
        </w:tc>
        <w:tc>
          <w:tcPr>
            <w:tcW w:w="563" w:type="pct"/>
            <w:noWrap w:val="0"/>
            <w:vAlign w:val="center"/>
          </w:tcPr>
          <w:p w14:paraId="3A356375">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707" w:type="pct"/>
            <w:shd w:val="clear" w:color="auto" w:fill="auto"/>
            <w:noWrap w:val="0"/>
            <w:vAlign w:val="center"/>
          </w:tcPr>
          <w:p w14:paraId="357DB0F4">
            <w:pPr>
              <w:spacing w:line="360" w:lineRule="atLeas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19.4</w:t>
            </w:r>
          </w:p>
        </w:tc>
        <w:tc>
          <w:tcPr>
            <w:tcW w:w="541" w:type="pct"/>
            <w:noWrap w:val="0"/>
            <w:vAlign w:val="center"/>
          </w:tcPr>
          <w:p w14:paraId="4EA388B2">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14A1CC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77" w:type="pct"/>
            <w:vMerge w:val="continue"/>
            <w:noWrap w:val="0"/>
            <w:vAlign w:val="center"/>
          </w:tcPr>
          <w:p w14:paraId="39D615DC">
            <w:pPr>
              <w:spacing w:line="360" w:lineRule="atLeast"/>
              <w:ind w:firstLine="0" w:firstLineChars="0"/>
              <w:jc w:val="center"/>
              <w:rPr>
                <w:rFonts w:hint="eastAsia" w:eastAsia="宋体"/>
                <w:color w:val="auto"/>
                <w:sz w:val="21"/>
                <w:szCs w:val="21"/>
              </w:rPr>
            </w:pPr>
          </w:p>
        </w:tc>
        <w:tc>
          <w:tcPr>
            <w:tcW w:w="485" w:type="pct"/>
            <w:noWrap w:val="0"/>
            <w:vAlign w:val="center"/>
          </w:tcPr>
          <w:p w14:paraId="69BEA307">
            <w:pPr>
              <w:spacing w:line="360" w:lineRule="atLeast"/>
              <w:ind w:firstLine="0" w:firstLineChars="0"/>
              <w:jc w:val="center"/>
              <w:rPr>
                <w:color w:val="auto"/>
                <w:sz w:val="21"/>
                <w:szCs w:val="21"/>
                <w:highlight w:val="none"/>
              </w:rPr>
            </w:pPr>
            <w:r>
              <w:rPr>
                <w:rFonts w:hint="eastAsia"/>
                <w:sz w:val="21"/>
                <w:szCs w:val="21"/>
                <w:highlight w:val="none"/>
              </w:rPr>
              <w:t>B</w:t>
            </w:r>
            <w:r>
              <w:rPr>
                <w:sz w:val="21"/>
                <w:szCs w:val="21"/>
                <w:highlight w:val="none"/>
              </w:rPr>
              <w:t>OD</w:t>
            </w:r>
            <w:r>
              <w:rPr>
                <w:sz w:val="21"/>
                <w:szCs w:val="21"/>
                <w:highlight w:val="none"/>
                <w:vertAlign w:val="subscript"/>
              </w:rPr>
              <w:t>5</w:t>
            </w:r>
          </w:p>
        </w:tc>
        <w:tc>
          <w:tcPr>
            <w:tcW w:w="596" w:type="pct"/>
            <w:noWrap w:val="0"/>
            <w:vAlign w:val="center"/>
          </w:tcPr>
          <w:p w14:paraId="38781B82">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421" w:type="pct"/>
            <w:noWrap w:val="0"/>
            <w:vAlign w:val="center"/>
          </w:tcPr>
          <w:p w14:paraId="67D27977">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574" w:type="pct"/>
            <w:noWrap w:val="0"/>
            <w:vAlign w:val="center"/>
          </w:tcPr>
          <w:p w14:paraId="1DFA5687">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530" w:type="pct"/>
            <w:noWrap w:val="0"/>
            <w:vAlign w:val="center"/>
          </w:tcPr>
          <w:p w14:paraId="019659C6">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11.42</w:t>
            </w:r>
          </w:p>
        </w:tc>
        <w:tc>
          <w:tcPr>
            <w:tcW w:w="563" w:type="pct"/>
            <w:noWrap w:val="0"/>
            <w:vAlign w:val="center"/>
          </w:tcPr>
          <w:p w14:paraId="0773A0B2">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707" w:type="pct"/>
            <w:shd w:val="clear" w:color="auto" w:fill="auto"/>
            <w:noWrap w:val="0"/>
            <w:vAlign w:val="center"/>
          </w:tcPr>
          <w:p w14:paraId="5A32A5AF">
            <w:pPr>
              <w:spacing w:line="360" w:lineRule="atLeas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11.64</w:t>
            </w:r>
          </w:p>
        </w:tc>
        <w:tc>
          <w:tcPr>
            <w:tcW w:w="541" w:type="pct"/>
            <w:noWrap w:val="0"/>
            <w:vAlign w:val="center"/>
          </w:tcPr>
          <w:p w14:paraId="04DB553B">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1E1B9E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Merge w:val="continue"/>
            <w:noWrap w:val="0"/>
            <w:vAlign w:val="center"/>
          </w:tcPr>
          <w:p w14:paraId="1C3E3E55">
            <w:pPr>
              <w:spacing w:line="360" w:lineRule="atLeast"/>
              <w:ind w:firstLine="0" w:firstLineChars="0"/>
              <w:jc w:val="center"/>
              <w:rPr>
                <w:rFonts w:hint="eastAsia" w:eastAsia="宋体"/>
                <w:color w:val="auto"/>
                <w:sz w:val="21"/>
                <w:szCs w:val="21"/>
              </w:rPr>
            </w:pPr>
          </w:p>
        </w:tc>
        <w:tc>
          <w:tcPr>
            <w:tcW w:w="485" w:type="pct"/>
            <w:noWrap w:val="0"/>
            <w:vAlign w:val="center"/>
          </w:tcPr>
          <w:p w14:paraId="506F1B74">
            <w:pPr>
              <w:spacing w:line="360" w:lineRule="atLeast"/>
              <w:ind w:firstLine="0" w:firstLineChars="0"/>
              <w:jc w:val="center"/>
              <w:rPr>
                <w:color w:val="auto"/>
                <w:sz w:val="21"/>
                <w:szCs w:val="21"/>
                <w:highlight w:val="none"/>
              </w:rPr>
            </w:pPr>
            <w:r>
              <w:rPr>
                <w:rFonts w:hint="eastAsia"/>
                <w:sz w:val="21"/>
                <w:szCs w:val="21"/>
                <w:highlight w:val="none"/>
              </w:rPr>
              <w:t>S</w:t>
            </w:r>
            <w:r>
              <w:rPr>
                <w:sz w:val="21"/>
                <w:szCs w:val="21"/>
                <w:highlight w:val="none"/>
              </w:rPr>
              <w:t>S</w:t>
            </w:r>
          </w:p>
        </w:tc>
        <w:tc>
          <w:tcPr>
            <w:tcW w:w="596" w:type="pct"/>
            <w:noWrap w:val="0"/>
            <w:vAlign w:val="center"/>
          </w:tcPr>
          <w:p w14:paraId="2DB45686">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421" w:type="pct"/>
            <w:noWrap w:val="0"/>
            <w:vAlign w:val="center"/>
          </w:tcPr>
          <w:p w14:paraId="72CCB3DF">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574" w:type="pct"/>
            <w:noWrap w:val="0"/>
            <w:vAlign w:val="center"/>
          </w:tcPr>
          <w:p w14:paraId="08F29398">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530" w:type="pct"/>
            <w:noWrap w:val="0"/>
            <w:vAlign w:val="center"/>
          </w:tcPr>
          <w:p w14:paraId="02F95F4F">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15.22</w:t>
            </w:r>
          </w:p>
        </w:tc>
        <w:tc>
          <w:tcPr>
            <w:tcW w:w="563" w:type="pct"/>
            <w:noWrap w:val="0"/>
            <w:vAlign w:val="center"/>
          </w:tcPr>
          <w:p w14:paraId="7F555C8F">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707" w:type="pct"/>
            <w:shd w:val="clear" w:color="auto" w:fill="auto"/>
            <w:noWrap w:val="0"/>
            <w:vAlign w:val="center"/>
          </w:tcPr>
          <w:p w14:paraId="231FF8D1">
            <w:pPr>
              <w:spacing w:line="360" w:lineRule="atLeas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15.52</w:t>
            </w:r>
          </w:p>
        </w:tc>
        <w:tc>
          <w:tcPr>
            <w:tcW w:w="541" w:type="pct"/>
            <w:noWrap w:val="0"/>
            <w:vAlign w:val="center"/>
          </w:tcPr>
          <w:p w14:paraId="0FC7F702">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1CDEBC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Merge w:val="continue"/>
            <w:noWrap w:val="0"/>
            <w:vAlign w:val="center"/>
          </w:tcPr>
          <w:p w14:paraId="57F36115">
            <w:pPr>
              <w:spacing w:line="360" w:lineRule="atLeast"/>
              <w:ind w:firstLine="0" w:firstLineChars="0"/>
              <w:jc w:val="center"/>
              <w:rPr>
                <w:rFonts w:hint="eastAsia" w:eastAsia="宋体"/>
                <w:color w:val="auto"/>
                <w:sz w:val="21"/>
                <w:szCs w:val="21"/>
              </w:rPr>
            </w:pPr>
          </w:p>
        </w:tc>
        <w:tc>
          <w:tcPr>
            <w:tcW w:w="485" w:type="pct"/>
            <w:noWrap w:val="0"/>
            <w:vAlign w:val="center"/>
          </w:tcPr>
          <w:p w14:paraId="47127CBC">
            <w:pPr>
              <w:spacing w:line="360" w:lineRule="atLeast"/>
              <w:ind w:firstLine="0" w:firstLineChars="0"/>
              <w:jc w:val="center"/>
              <w:rPr>
                <w:color w:val="auto"/>
                <w:sz w:val="21"/>
                <w:szCs w:val="21"/>
                <w:highlight w:val="none"/>
              </w:rPr>
            </w:pPr>
            <w:r>
              <w:rPr>
                <w:rFonts w:hint="eastAsia"/>
                <w:sz w:val="21"/>
                <w:szCs w:val="21"/>
                <w:highlight w:val="none"/>
              </w:rPr>
              <w:t>氨氮</w:t>
            </w:r>
          </w:p>
        </w:tc>
        <w:tc>
          <w:tcPr>
            <w:tcW w:w="596" w:type="pct"/>
            <w:noWrap w:val="0"/>
            <w:vAlign w:val="center"/>
          </w:tcPr>
          <w:p w14:paraId="210C3804">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421" w:type="pct"/>
            <w:noWrap w:val="0"/>
            <w:vAlign w:val="center"/>
          </w:tcPr>
          <w:p w14:paraId="02AE7656">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574" w:type="pct"/>
            <w:noWrap w:val="0"/>
            <w:vAlign w:val="center"/>
          </w:tcPr>
          <w:p w14:paraId="3C813512">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530" w:type="pct"/>
            <w:noWrap w:val="0"/>
            <w:vAlign w:val="center"/>
          </w:tcPr>
          <w:p w14:paraId="6BAD8C49">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1.71</w:t>
            </w:r>
          </w:p>
        </w:tc>
        <w:tc>
          <w:tcPr>
            <w:tcW w:w="563" w:type="pct"/>
            <w:noWrap w:val="0"/>
            <w:vAlign w:val="center"/>
          </w:tcPr>
          <w:p w14:paraId="54B56F75">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707" w:type="pct"/>
            <w:shd w:val="clear" w:color="auto" w:fill="auto"/>
            <w:noWrap w:val="0"/>
            <w:vAlign w:val="center"/>
          </w:tcPr>
          <w:p w14:paraId="3A0A0172">
            <w:pPr>
              <w:spacing w:line="360" w:lineRule="atLeas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1.75</w:t>
            </w:r>
          </w:p>
        </w:tc>
        <w:tc>
          <w:tcPr>
            <w:tcW w:w="541" w:type="pct"/>
            <w:noWrap w:val="0"/>
            <w:vAlign w:val="center"/>
          </w:tcPr>
          <w:p w14:paraId="044ECC95">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3FBC53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Merge w:val="continue"/>
            <w:noWrap w:val="0"/>
            <w:vAlign w:val="center"/>
          </w:tcPr>
          <w:p w14:paraId="48656F7A">
            <w:pPr>
              <w:spacing w:line="360" w:lineRule="atLeast"/>
              <w:ind w:firstLine="0" w:firstLineChars="0"/>
              <w:jc w:val="center"/>
              <w:rPr>
                <w:rFonts w:hint="eastAsia" w:eastAsia="宋体"/>
                <w:color w:val="auto"/>
                <w:sz w:val="21"/>
                <w:szCs w:val="21"/>
              </w:rPr>
            </w:pPr>
          </w:p>
        </w:tc>
        <w:tc>
          <w:tcPr>
            <w:tcW w:w="485" w:type="pct"/>
            <w:noWrap w:val="0"/>
            <w:vAlign w:val="center"/>
          </w:tcPr>
          <w:p w14:paraId="50D9A547">
            <w:pPr>
              <w:spacing w:line="360" w:lineRule="atLeast"/>
              <w:ind w:firstLine="0" w:firstLineChars="0"/>
              <w:jc w:val="center"/>
              <w:rPr>
                <w:rFonts w:hint="eastAsia"/>
                <w:sz w:val="21"/>
                <w:szCs w:val="21"/>
                <w:highlight w:val="none"/>
              </w:rPr>
            </w:pPr>
            <w:r>
              <w:rPr>
                <w:rFonts w:hint="eastAsia"/>
                <w:sz w:val="21"/>
                <w:szCs w:val="21"/>
                <w:highlight w:val="none"/>
              </w:rPr>
              <w:t>TN</w:t>
            </w:r>
          </w:p>
        </w:tc>
        <w:tc>
          <w:tcPr>
            <w:tcW w:w="596" w:type="pct"/>
            <w:noWrap w:val="0"/>
            <w:vAlign w:val="center"/>
          </w:tcPr>
          <w:p w14:paraId="49BEB0C8">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421" w:type="pct"/>
            <w:noWrap w:val="0"/>
            <w:vAlign w:val="center"/>
          </w:tcPr>
          <w:p w14:paraId="7036F352">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574" w:type="pct"/>
            <w:noWrap w:val="0"/>
            <w:vAlign w:val="center"/>
          </w:tcPr>
          <w:p w14:paraId="79D76B10">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p>
        </w:tc>
        <w:tc>
          <w:tcPr>
            <w:tcW w:w="530" w:type="pct"/>
            <w:noWrap w:val="0"/>
            <w:vAlign w:val="center"/>
          </w:tcPr>
          <w:p w14:paraId="1CA1CCD8">
            <w:pPr>
              <w:spacing w:line="360" w:lineRule="atLeas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2.66</w:t>
            </w:r>
          </w:p>
        </w:tc>
        <w:tc>
          <w:tcPr>
            <w:tcW w:w="563" w:type="pct"/>
            <w:noWrap w:val="0"/>
            <w:vAlign w:val="center"/>
          </w:tcPr>
          <w:p w14:paraId="1158B297">
            <w:pPr>
              <w:spacing w:line="360" w:lineRule="atLeas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707" w:type="pct"/>
            <w:shd w:val="clear" w:color="auto" w:fill="auto"/>
            <w:noWrap w:val="0"/>
            <w:vAlign w:val="center"/>
          </w:tcPr>
          <w:p w14:paraId="2479D53F">
            <w:pPr>
              <w:spacing w:line="360" w:lineRule="atLeas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2.72</w:t>
            </w:r>
          </w:p>
        </w:tc>
        <w:tc>
          <w:tcPr>
            <w:tcW w:w="541" w:type="pct"/>
            <w:noWrap w:val="0"/>
            <w:vAlign w:val="center"/>
          </w:tcPr>
          <w:p w14:paraId="0B0A6B31">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459EC6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Merge w:val="continue"/>
            <w:noWrap w:val="0"/>
            <w:vAlign w:val="center"/>
          </w:tcPr>
          <w:p w14:paraId="23D2870D">
            <w:pPr>
              <w:spacing w:line="360" w:lineRule="atLeast"/>
              <w:ind w:firstLine="0" w:firstLineChars="0"/>
              <w:jc w:val="center"/>
              <w:rPr>
                <w:rFonts w:hint="eastAsia" w:eastAsia="宋体"/>
                <w:color w:val="auto"/>
                <w:sz w:val="21"/>
                <w:szCs w:val="21"/>
              </w:rPr>
            </w:pPr>
          </w:p>
        </w:tc>
        <w:tc>
          <w:tcPr>
            <w:tcW w:w="485" w:type="pct"/>
            <w:noWrap w:val="0"/>
            <w:vAlign w:val="center"/>
          </w:tcPr>
          <w:p w14:paraId="571B390A">
            <w:pPr>
              <w:spacing w:line="360" w:lineRule="atLeast"/>
              <w:ind w:firstLine="0" w:firstLineChars="0"/>
              <w:jc w:val="center"/>
              <w:rPr>
                <w:rFonts w:hint="eastAsia"/>
                <w:sz w:val="21"/>
                <w:szCs w:val="21"/>
              </w:rPr>
            </w:pPr>
            <w:r>
              <w:rPr>
                <w:rFonts w:hint="eastAsia"/>
                <w:sz w:val="21"/>
                <w:szCs w:val="21"/>
              </w:rPr>
              <w:t>TP</w:t>
            </w:r>
          </w:p>
        </w:tc>
        <w:tc>
          <w:tcPr>
            <w:tcW w:w="596" w:type="pct"/>
            <w:noWrap w:val="0"/>
            <w:vAlign w:val="center"/>
          </w:tcPr>
          <w:p w14:paraId="0E4C15EC">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421" w:type="pct"/>
            <w:noWrap w:val="0"/>
            <w:vAlign w:val="center"/>
          </w:tcPr>
          <w:p w14:paraId="4A9A930D">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74" w:type="pct"/>
            <w:noWrap w:val="0"/>
            <w:vAlign w:val="center"/>
          </w:tcPr>
          <w:p w14:paraId="48183327">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30" w:type="pct"/>
            <w:noWrap w:val="0"/>
            <w:vAlign w:val="center"/>
          </w:tcPr>
          <w:p w14:paraId="570EBBE8">
            <w:pPr>
              <w:spacing w:line="360" w:lineRule="atLeas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0.30</w:t>
            </w:r>
          </w:p>
        </w:tc>
        <w:tc>
          <w:tcPr>
            <w:tcW w:w="563" w:type="pct"/>
            <w:noWrap w:val="0"/>
            <w:vAlign w:val="center"/>
          </w:tcPr>
          <w:p w14:paraId="1FC13B2E">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c>
          <w:tcPr>
            <w:tcW w:w="707" w:type="pct"/>
            <w:shd w:val="clear" w:color="auto" w:fill="auto"/>
            <w:noWrap w:val="0"/>
            <w:vAlign w:val="center"/>
          </w:tcPr>
          <w:p w14:paraId="761FC853">
            <w:pPr>
              <w:spacing w:line="360" w:lineRule="atLeas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0.31</w:t>
            </w:r>
          </w:p>
        </w:tc>
        <w:tc>
          <w:tcPr>
            <w:tcW w:w="541" w:type="pct"/>
            <w:noWrap w:val="0"/>
            <w:vAlign w:val="center"/>
          </w:tcPr>
          <w:p w14:paraId="71033F34">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44AE72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Merge w:val="continue"/>
            <w:noWrap w:val="0"/>
            <w:vAlign w:val="center"/>
          </w:tcPr>
          <w:p w14:paraId="425814E1">
            <w:pPr>
              <w:spacing w:line="360" w:lineRule="atLeast"/>
              <w:ind w:firstLine="0" w:firstLineChars="0"/>
              <w:jc w:val="center"/>
              <w:rPr>
                <w:rFonts w:hint="eastAsia" w:eastAsia="宋体"/>
                <w:color w:val="auto"/>
                <w:sz w:val="21"/>
                <w:szCs w:val="21"/>
              </w:rPr>
            </w:pPr>
          </w:p>
        </w:tc>
        <w:tc>
          <w:tcPr>
            <w:tcW w:w="485" w:type="pct"/>
            <w:noWrap w:val="0"/>
            <w:vAlign w:val="center"/>
          </w:tcPr>
          <w:p w14:paraId="5DE5B190">
            <w:pPr>
              <w:spacing w:line="360" w:lineRule="atLeast"/>
              <w:ind w:firstLine="0" w:firstLineChars="0"/>
              <w:jc w:val="center"/>
              <w:rPr>
                <w:rFonts w:hint="eastAsia"/>
                <w:sz w:val="21"/>
                <w:szCs w:val="21"/>
              </w:rPr>
            </w:pPr>
            <w:r>
              <w:rPr>
                <w:rFonts w:hint="eastAsia"/>
                <w:sz w:val="21"/>
                <w:szCs w:val="21"/>
                <w:lang w:val="en-US" w:eastAsia="zh-CN"/>
              </w:rPr>
              <w:t>动物油</w:t>
            </w:r>
          </w:p>
        </w:tc>
        <w:tc>
          <w:tcPr>
            <w:tcW w:w="596" w:type="pct"/>
            <w:noWrap w:val="0"/>
            <w:vAlign w:val="center"/>
          </w:tcPr>
          <w:p w14:paraId="32FE61EA">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421" w:type="pct"/>
            <w:noWrap w:val="0"/>
            <w:vAlign w:val="center"/>
          </w:tcPr>
          <w:p w14:paraId="4FC7F709">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74" w:type="pct"/>
            <w:noWrap w:val="0"/>
            <w:vAlign w:val="center"/>
          </w:tcPr>
          <w:p w14:paraId="37DCF5B7">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30" w:type="pct"/>
            <w:noWrap w:val="0"/>
            <w:vAlign w:val="center"/>
          </w:tcPr>
          <w:p w14:paraId="65317583">
            <w:pPr>
              <w:spacing w:line="360" w:lineRule="atLeas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3.81</w:t>
            </w:r>
          </w:p>
        </w:tc>
        <w:tc>
          <w:tcPr>
            <w:tcW w:w="563" w:type="pct"/>
            <w:noWrap w:val="0"/>
            <w:vAlign w:val="center"/>
          </w:tcPr>
          <w:p w14:paraId="6290A09F">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c>
          <w:tcPr>
            <w:tcW w:w="707" w:type="pct"/>
            <w:shd w:val="clear" w:color="auto" w:fill="auto"/>
            <w:noWrap w:val="0"/>
            <w:vAlign w:val="center"/>
          </w:tcPr>
          <w:p w14:paraId="24AFE91F">
            <w:pPr>
              <w:spacing w:line="360" w:lineRule="atLeas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3.81</w:t>
            </w:r>
          </w:p>
        </w:tc>
        <w:tc>
          <w:tcPr>
            <w:tcW w:w="541" w:type="pct"/>
            <w:noWrap w:val="0"/>
            <w:vAlign w:val="center"/>
          </w:tcPr>
          <w:p w14:paraId="7201F45D">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78F259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Merge w:val="restart"/>
            <w:noWrap w:val="0"/>
            <w:vAlign w:val="center"/>
          </w:tcPr>
          <w:p w14:paraId="6CEA669B">
            <w:pPr>
              <w:spacing w:line="360" w:lineRule="atLeast"/>
              <w:ind w:firstLine="0" w:firstLineChars="0"/>
              <w:jc w:val="center"/>
              <w:rPr>
                <w:rFonts w:hint="eastAsia" w:eastAsia="宋体"/>
                <w:color w:val="auto"/>
                <w:sz w:val="21"/>
                <w:szCs w:val="21"/>
              </w:rPr>
            </w:pPr>
            <w:r>
              <w:rPr>
                <w:rFonts w:hint="eastAsia"/>
                <w:color w:val="auto"/>
                <w:sz w:val="21"/>
                <w:szCs w:val="21"/>
                <w:lang w:val="en-US" w:eastAsia="zh-CN"/>
              </w:rPr>
              <w:t>固体</w:t>
            </w:r>
            <w:r>
              <w:rPr>
                <w:rFonts w:hint="eastAsia" w:eastAsia="宋体"/>
                <w:color w:val="auto"/>
                <w:sz w:val="21"/>
                <w:szCs w:val="21"/>
              </w:rPr>
              <w:t>废物</w:t>
            </w:r>
          </w:p>
        </w:tc>
        <w:tc>
          <w:tcPr>
            <w:tcW w:w="485" w:type="pct"/>
            <w:shd w:val="clear" w:color="auto" w:fill="auto"/>
            <w:noWrap w:val="0"/>
            <w:vAlign w:val="center"/>
          </w:tcPr>
          <w:p w14:paraId="5132B76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一般固废</w:t>
            </w:r>
          </w:p>
        </w:tc>
        <w:tc>
          <w:tcPr>
            <w:tcW w:w="596" w:type="pct"/>
            <w:noWrap w:val="0"/>
            <w:vAlign w:val="center"/>
          </w:tcPr>
          <w:p w14:paraId="1A0228C0">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421" w:type="pct"/>
            <w:noWrap w:val="0"/>
            <w:vAlign w:val="center"/>
          </w:tcPr>
          <w:p w14:paraId="51232325">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74" w:type="pct"/>
            <w:noWrap w:val="0"/>
            <w:vAlign w:val="center"/>
          </w:tcPr>
          <w:p w14:paraId="69807DAA">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30" w:type="pct"/>
            <w:shd w:val="clear" w:color="auto" w:fill="auto"/>
            <w:noWrap w:val="0"/>
            <w:vAlign w:val="center"/>
          </w:tcPr>
          <w:p w14:paraId="44FA695F">
            <w:pPr>
              <w:spacing w:line="360" w:lineRule="atLeas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563" w:type="pct"/>
            <w:noWrap w:val="0"/>
            <w:vAlign w:val="center"/>
          </w:tcPr>
          <w:p w14:paraId="75CC7884">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c>
          <w:tcPr>
            <w:tcW w:w="707" w:type="pct"/>
            <w:shd w:val="clear" w:color="auto" w:fill="auto"/>
            <w:noWrap w:val="0"/>
            <w:vAlign w:val="center"/>
          </w:tcPr>
          <w:p w14:paraId="0D4FFBAB">
            <w:pPr>
              <w:spacing w:line="360" w:lineRule="atLeast"/>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541" w:type="pct"/>
            <w:shd w:val="clear" w:color="auto" w:fill="auto"/>
            <w:noWrap w:val="0"/>
            <w:vAlign w:val="center"/>
          </w:tcPr>
          <w:p w14:paraId="4D672C2F">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7072FE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Merge w:val="continue"/>
            <w:noWrap w:val="0"/>
            <w:vAlign w:val="center"/>
          </w:tcPr>
          <w:p w14:paraId="1AE85C71">
            <w:pPr>
              <w:spacing w:line="360" w:lineRule="atLeast"/>
              <w:ind w:firstLine="0" w:firstLineChars="0"/>
              <w:jc w:val="center"/>
              <w:rPr>
                <w:rFonts w:hint="eastAsia" w:eastAsia="宋体"/>
                <w:color w:val="auto"/>
                <w:sz w:val="21"/>
                <w:szCs w:val="21"/>
              </w:rPr>
            </w:pPr>
          </w:p>
        </w:tc>
        <w:tc>
          <w:tcPr>
            <w:tcW w:w="485" w:type="pct"/>
            <w:shd w:val="clear" w:color="auto" w:fill="auto"/>
            <w:noWrap w:val="0"/>
            <w:vAlign w:val="center"/>
          </w:tcPr>
          <w:p w14:paraId="446D1F4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危险废物</w:t>
            </w:r>
          </w:p>
        </w:tc>
        <w:tc>
          <w:tcPr>
            <w:tcW w:w="596" w:type="pct"/>
            <w:noWrap w:val="0"/>
            <w:vAlign w:val="center"/>
          </w:tcPr>
          <w:p w14:paraId="59893B1D">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421" w:type="pct"/>
            <w:noWrap w:val="0"/>
            <w:vAlign w:val="center"/>
          </w:tcPr>
          <w:p w14:paraId="3C074A3E">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c>
          <w:tcPr>
            <w:tcW w:w="574" w:type="pct"/>
            <w:noWrap w:val="0"/>
            <w:vAlign w:val="center"/>
          </w:tcPr>
          <w:p w14:paraId="543BDBC1">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c>
          <w:tcPr>
            <w:tcW w:w="530" w:type="pct"/>
            <w:shd w:val="clear" w:color="auto" w:fill="auto"/>
            <w:noWrap w:val="0"/>
            <w:vAlign w:val="center"/>
          </w:tcPr>
          <w:p w14:paraId="42BE12D2">
            <w:pPr>
              <w:spacing w:line="360" w:lineRule="atLeas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6.2</w:t>
            </w:r>
          </w:p>
        </w:tc>
        <w:tc>
          <w:tcPr>
            <w:tcW w:w="563" w:type="pct"/>
            <w:noWrap w:val="0"/>
            <w:vAlign w:val="center"/>
          </w:tcPr>
          <w:p w14:paraId="29664A48">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c>
          <w:tcPr>
            <w:tcW w:w="707" w:type="pct"/>
            <w:shd w:val="clear" w:color="auto" w:fill="auto"/>
            <w:noWrap w:val="0"/>
            <w:vAlign w:val="center"/>
          </w:tcPr>
          <w:p w14:paraId="68CED2FA">
            <w:pPr>
              <w:spacing w:line="360" w:lineRule="atLeas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6.2</w:t>
            </w:r>
          </w:p>
        </w:tc>
        <w:tc>
          <w:tcPr>
            <w:tcW w:w="541" w:type="pct"/>
            <w:shd w:val="clear" w:color="auto" w:fill="auto"/>
            <w:noWrap w:val="0"/>
            <w:vAlign w:val="center"/>
          </w:tcPr>
          <w:p w14:paraId="564241BE">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635D0B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Merge w:val="continue"/>
            <w:noWrap w:val="0"/>
            <w:vAlign w:val="center"/>
          </w:tcPr>
          <w:p w14:paraId="57041AFD">
            <w:pPr>
              <w:spacing w:line="360" w:lineRule="atLeast"/>
              <w:ind w:firstLine="0" w:firstLineChars="0"/>
              <w:jc w:val="center"/>
              <w:rPr>
                <w:rFonts w:hint="eastAsia" w:eastAsia="宋体"/>
                <w:color w:val="auto"/>
                <w:sz w:val="21"/>
                <w:szCs w:val="21"/>
              </w:rPr>
            </w:pPr>
          </w:p>
        </w:tc>
        <w:tc>
          <w:tcPr>
            <w:tcW w:w="485" w:type="pct"/>
            <w:shd w:val="clear" w:color="auto" w:fill="auto"/>
            <w:noWrap w:val="0"/>
            <w:vAlign w:val="center"/>
          </w:tcPr>
          <w:p w14:paraId="3510AD7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生活垃圾</w:t>
            </w:r>
          </w:p>
        </w:tc>
        <w:tc>
          <w:tcPr>
            <w:tcW w:w="596" w:type="pct"/>
            <w:noWrap w:val="0"/>
            <w:vAlign w:val="center"/>
          </w:tcPr>
          <w:p w14:paraId="68B9886E">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421" w:type="pct"/>
            <w:noWrap w:val="0"/>
            <w:vAlign w:val="center"/>
          </w:tcPr>
          <w:p w14:paraId="656E423A">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74" w:type="pct"/>
            <w:noWrap w:val="0"/>
            <w:vAlign w:val="center"/>
          </w:tcPr>
          <w:p w14:paraId="1B85FB9D">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30" w:type="pct"/>
            <w:shd w:val="clear" w:color="auto" w:fill="auto"/>
            <w:noWrap w:val="0"/>
            <w:vAlign w:val="center"/>
          </w:tcPr>
          <w:p w14:paraId="0E471577">
            <w:pPr>
              <w:spacing w:line="360" w:lineRule="atLeas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301.2</w:t>
            </w:r>
          </w:p>
        </w:tc>
        <w:tc>
          <w:tcPr>
            <w:tcW w:w="563" w:type="pct"/>
            <w:noWrap w:val="0"/>
            <w:vAlign w:val="center"/>
          </w:tcPr>
          <w:p w14:paraId="699CFB45">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707" w:type="pct"/>
            <w:shd w:val="clear" w:color="auto" w:fill="auto"/>
            <w:noWrap w:val="0"/>
            <w:vAlign w:val="center"/>
          </w:tcPr>
          <w:p w14:paraId="61A56147">
            <w:pPr>
              <w:spacing w:line="360" w:lineRule="atLeas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301.2</w:t>
            </w:r>
          </w:p>
        </w:tc>
        <w:tc>
          <w:tcPr>
            <w:tcW w:w="541" w:type="pct"/>
            <w:shd w:val="clear" w:color="auto" w:fill="auto"/>
            <w:noWrap w:val="0"/>
            <w:vAlign w:val="center"/>
          </w:tcPr>
          <w:p w14:paraId="34476E94">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r>
      <w:tr w14:paraId="079F3F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Merge w:val="continue"/>
            <w:noWrap w:val="0"/>
            <w:vAlign w:val="center"/>
          </w:tcPr>
          <w:p w14:paraId="3F8A3045">
            <w:pPr>
              <w:spacing w:line="360" w:lineRule="atLeast"/>
              <w:ind w:firstLine="0" w:firstLineChars="0"/>
              <w:jc w:val="center"/>
              <w:rPr>
                <w:rFonts w:hint="eastAsia" w:eastAsia="宋体"/>
                <w:color w:val="auto"/>
                <w:sz w:val="21"/>
                <w:szCs w:val="21"/>
              </w:rPr>
            </w:pPr>
          </w:p>
        </w:tc>
        <w:tc>
          <w:tcPr>
            <w:tcW w:w="485" w:type="pct"/>
            <w:shd w:val="clear" w:color="auto" w:fill="auto"/>
            <w:noWrap w:val="0"/>
            <w:vAlign w:val="center"/>
          </w:tcPr>
          <w:p w14:paraId="1AA8D8C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废油脂</w:t>
            </w:r>
          </w:p>
        </w:tc>
        <w:tc>
          <w:tcPr>
            <w:tcW w:w="596" w:type="pct"/>
            <w:noWrap w:val="0"/>
            <w:vAlign w:val="center"/>
          </w:tcPr>
          <w:p w14:paraId="3F77EC69">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421" w:type="pct"/>
            <w:noWrap w:val="0"/>
            <w:vAlign w:val="center"/>
          </w:tcPr>
          <w:p w14:paraId="57478C04">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74" w:type="pct"/>
            <w:noWrap w:val="0"/>
            <w:vAlign w:val="center"/>
          </w:tcPr>
          <w:p w14:paraId="40354AA5">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30" w:type="pct"/>
            <w:shd w:val="clear" w:color="auto" w:fill="auto"/>
            <w:noWrap w:val="0"/>
            <w:vAlign w:val="center"/>
          </w:tcPr>
          <w:p w14:paraId="6049666C">
            <w:pPr>
              <w:spacing w:line="360" w:lineRule="atLeas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0.8</w:t>
            </w:r>
          </w:p>
        </w:tc>
        <w:tc>
          <w:tcPr>
            <w:tcW w:w="563" w:type="pct"/>
            <w:noWrap w:val="0"/>
            <w:vAlign w:val="center"/>
          </w:tcPr>
          <w:p w14:paraId="66489D42">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707" w:type="pct"/>
            <w:shd w:val="clear" w:color="auto" w:fill="auto"/>
            <w:noWrap w:val="0"/>
            <w:vAlign w:val="center"/>
          </w:tcPr>
          <w:p w14:paraId="07E67782">
            <w:pPr>
              <w:spacing w:line="360" w:lineRule="atLeast"/>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0.8</w:t>
            </w:r>
          </w:p>
        </w:tc>
        <w:tc>
          <w:tcPr>
            <w:tcW w:w="541" w:type="pct"/>
            <w:shd w:val="clear" w:color="auto" w:fill="auto"/>
            <w:noWrap w:val="0"/>
            <w:vAlign w:val="center"/>
          </w:tcPr>
          <w:p w14:paraId="1CC620F6">
            <w:pPr>
              <w:spacing w:line="360" w:lineRule="atLeast"/>
              <w:ind w:firstLine="0" w:firstLineChars="0"/>
              <w:jc w:val="center"/>
              <w:rPr>
                <w:rFonts w:hint="default"/>
                <w:color w:val="auto"/>
                <w:sz w:val="21"/>
                <w:szCs w:val="21"/>
                <w:lang w:val="en-US" w:eastAsia="zh-CN"/>
              </w:rPr>
            </w:pPr>
          </w:p>
        </w:tc>
      </w:tr>
      <w:tr w14:paraId="056D01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Merge w:val="continue"/>
            <w:noWrap w:val="0"/>
            <w:vAlign w:val="center"/>
          </w:tcPr>
          <w:p w14:paraId="04BE714A">
            <w:pPr>
              <w:spacing w:line="360" w:lineRule="atLeast"/>
              <w:ind w:firstLine="0" w:firstLineChars="0"/>
              <w:jc w:val="center"/>
              <w:rPr>
                <w:rFonts w:hint="eastAsia" w:eastAsia="宋体"/>
                <w:color w:val="auto"/>
                <w:sz w:val="21"/>
                <w:szCs w:val="21"/>
              </w:rPr>
            </w:pPr>
          </w:p>
        </w:tc>
        <w:tc>
          <w:tcPr>
            <w:tcW w:w="485" w:type="pct"/>
            <w:shd w:val="clear" w:color="auto" w:fill="auto"/>
            <w:noWrap w:val="0"/>
            <w:vAlign w:val="center"/>
          </w:tcPr>
          <w:p w14:paraId="47173D9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olor w:val="auto"/>
                <w:sz w:val="21"/>
                <w:szCs w:val="21"/>
                <w:lang w:eastAsia="zh-CN"/>
              </w:rPr>
            </w:pPr>
          </w:p>
        </w:tc>
        <w:tc>
          <w:tcPr>
            <w:tcW w:w="596" w:type="pct"/>
            <w:noWrap w:val="0"/>
            <w:vAlign w:val="center"/>
          </w:tcPr>
          <w:p w14:paraId="0DFD1156">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421" w:type="pct"/>
            <w:noWrap w:val="0"/>
            <w:vAlign w:val="center"/>
          </w:tcPr>
          <w:p w14:paraId="5862843F">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74" w:type="pct"/>
            <w:noWrap w:val="0"/>
            <w:vAlign w:val="center"/>
          </w:tcPr>
          <w:p w14:paraId="7F9067B2">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30" w:type="pct"/>
            <w:shd w:val="clear" w:color="auto" w:fill="auto"/>
            <w:noWrap w:val="0"/>
            <w:vAlign w:val="center"/>
          </w:tcPr>
          <w:p w14:paraId="3544B7D9">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563" w:type="pct"/>
            <w:noWrap w:val="0"/>
            <w:vAlign w:val="center"/>
          </w:tcPr>
          <w:p w14:paraId="2D3E9CD7">
            <w:pPr>
              <w:spacing w:line="360" w:lineRule="atLeast"/>
              <w:ind w:firstLine="0" w:firstLineChars="0"/>
              <w:jc w:val="center"/>
              <w:rPr>
                <w:rFonts w:hint="default" w:ascii="Times New Roman" w:hAnsi="Times New Roman" w:eastAsia="宋体" w:cs="Times New Roman"/>
                <w:color w:val="auto"/>
                <w:sz w:val="21"/>
                <w:szCs w:val="21"/>
                <w:lang w:val="en-US" w:eastAsia="zh-CN"/>
              </w:rPr>
            </w:pPr>
          </w:p>
        </w:tc>
        <w:tc>
          <w:tcPr>
            <w:tcW w:w="707" w:type="pct"/>
            <w:shd w:val="clear" w:color="auto" w:fill="auto"/>
            <w:noWrap w:val="0"/>
            <w:vAlign w:val="center"/>
          </w:tcPr>
          <w:p w14:paraId="6378087E">
            <w:pPr>
              <w:spacing w:line="360" w:lineRule="atLeast"/>
              <w:ind w:firstLine="0" w:firstLineChars="0"/>
              <w:jc w:val="center"/>
              <w:rPr>
                <w:rFonts w:hint="eastAsia" w:ascii="Times New Roman" w:hAnsi="Times New Roman" w:eastAsia="宋体" w:cs="Times New Roman"/>
                <w:color w:val="auto"/>
                <w:sz w:val="21"/>
                <w:szCs w:val="21"/>
                <w:lang w:val="en-US" w:eastAsia="zh-CN"/>
              </w:rPr>
            </w:pPr>
          </w:p>
        </w:tc>
        <w:tc>
          <w:tcPr>
            <w:tcW w:w="541" w:type="pct"/>
            <w:shd w:val="clear" w:color="auto" w:fill="auto"/>
            <w:noWrap w:val="0"/>
            <w:vAlign w:val="center"/>
          </w:tcPr>
          <w:p w14:paraId="17ABDFAE">
            <w:pPr>
              <w:spacing w:line="360" w:lineRule="atLeast"/>
              <w:ind w:firstLine="0" w:firstLineChars="0"/>
              <w:jc w:val="center"/>
              <w:rPr>
                <w:rFonts w:hint="eastAsia"/>
                <w:color w:val="auto"/>
                <w:sz w:val="21"/>
                <w:szCs w:val="21"/>
                <w:lang w:val="en-US" w:eastAsia="zh-CN"/>
              </w:rPr>
            </w:pPr>
          </w:p>
        </w:tc>
      </w:tr>
    </w:tbl>
    <w:p w14:paraId="385B6FE9">
      <w:pPr>
        <w:spacing w:before="192" w:beforeLines="80" w:after="24"/>
        <w:ind w:firstLine="420"/>
        <w:jc w:val="left"/>
        <w:rPr>
          <w:rFonts w:ascii="Times New Roman"/>
          <w:snapToGrid w:val="0"/>
          <w:color w:val="auto"/>
          <w:spacing w:val="-6"/>
          <w:kern w:val="21"/>
          <w:szCs w:val="21"/>
        </w:rPr>
      </w:pPr>
      <w:r>
        <w:rPr>
          <w:rFonts w:ascii="Times New Roman"/>
          <w:snapToGrid w:val="0"/>
          <w:color w:val="auto"/>
          <w:kern w:val="21"/>
          <w:szCs w:val="21"/>
        </w:rPr>
        <w:t>注：</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ascii="Times New Roman"/>
          <w:color w:val="auto"/>
          <w:szCs w:val="21"/>
        </w:rPr>
        <w:t>⑥</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ascii="Times New Roman"/>
          <w:color w:val="auto"/>
          <w:szCs w:val="21"/>
        </w:rPr>
        <w:t>①</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3 \* GB3 \* MERGEFORMAT </w:instrText>
      </w:r>
      <w:r>
        <w:rPr>
          <w:rFonts w:ascii="Times New Roman"/>
          <w:snapToGrid w:val="0"/>
          <w:color w:val="auto"/>
          <w:spacing w:val="-6"/>
          <w:kern w:val="21"/>
          <w:szCs w:val="21"/>
        </w:rPr>
        <w:fldChar w:fldCharType="separate"/>
      </w:r>
      <w:r>
        <w:rPr>
          <w:rFonts w:ascii="Times New Roman"/>
          <w:color w:val="auto"/>
          <w:szCs w:val="21"/>
        </w:rPr>
        <w:t>③</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4 \* GB3 \* MERGEFORMAT </w:instrText>
      </w:r>
      <w:r>
        <w:rPr>
          <w:rFonts w:ascii="Times New Roman"/>
          <w:snapToGrid w:val="0"/>
          <w:color w:val="auto"/>
          <w:spacing w:val="-6"/>
          <w:kern w:val="21"/>
          <w:szCs w:val="21"/>
        </w:rPr>
        <w:fldChar w:fldCharType="separate"/>
      </w:r>
      <w:r>
        <w:rPr>
          <w:rFonts w:ascii="Times New Roman"/>
          <w:color w:val="auto"/>
          <w:szCs w:val="21"/>
        </w:rPr>
        <w:t>④</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5 \* GB3 \* MERGEFORMAT </w:instrText>
      </w:r>
      <w:r>
        <w:rPr>
          <w:rFonts w:ascii="Times New Roman"/>
          <w:snapToGrid w:val="0"/>
          <w:color w:val="auto"/>
          <w:spacing w:val="-16"/>
          <w:kern w:val="21"/>
          <w:szCs w:val="21"/>
        </w:rPr>
        <w:fldChar w:fldCharType="separate"/>
      </w:r>
      <w:r>
        <w:rPr>
          <w:rFonts w:ascii="Times New Roman"/>
          <w:color w:val="auto"/>
          <w:szCs w:val="21"/>
        </w:rPr>
        <w:t>⑤</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7 \* GB3 \* MERGEFORMAT </w:instrText>
      </w:r>
      <w:r>
        <w:rPr>
          <w:rFonts w:ascii="Times New Roman"/>
          <w:snapToGrid w:val="0"/>
          <w:color w:val="auto"/>
          <w:spacing w:val="-6"/>
          <w:kern w:val="21"/>
          <w:szCs w:val="21"/>
        </w:rPr>
        <w:fldChar w:fldCharType="separate"/>
      </w:r>
      <w:r>
        <w:rPr>
          <w:rFonts w:ascii="Times New Roman"/>
          <w:color w:val="auto"/>
          <w:szCs w:val="21"/>
        </w:rPr>
        <w:t>⑦</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ascii="Times New Roman"/>
          <w:color w:val="auto"/>
          <w:szCs w:val="21"/>
        </w:rPr>
        <w:t>⑥</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ascii="Times New Roman"/>
          <w:color w:val="auto"/>
          <w:szCs w:val="21"/>
        </w:rPr>
        <w:t>①</w:t>
      </w:r>
      <w:r>
        <w:rPr>
          <w:rFonts w:ascii="Times New Roman"/>
          <w:snapToGrid w:val="0"/>
          <w:color w:val="auto"/>
          <w:spacing w:val="-6"/>
          <w:kern w:val="21"/>
          <w:szCs w:val="21"/>
        </w:rPr>
        <w:fldChar w:fldCharType="end"/>
      </w:r>
    </w:p>
    <w:p w14:paraId="42CB3603">
      <w:pPr>
        <w:ind w:left="0" w:leftChars="0" w:firstLine="0" w:firstLineChars="0"/>
        <w:rPr>
          <w:color w:val="auto"/>
        </w:rPr>
      </w:pPr>
    </w:p>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roma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TimesNewRomanPSMT">
    <w:altName w:val="Times New Roman"/>
    <w:panose1 w:val="00000000000000000000"/>
    <w:charset w:val="86"/>
    <w:family w:val="auto"/>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29057">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8408D">
    <w:pPr>
      <w:pStyle w:val="11"/>
      <w:framePr w:wrap="around" w:vAnchor="text" w:hAnchor="margin" w:xAlign="center" w:y="1"/>
      <w:ind w:firstLine="360"/>
      <w:rPr>
        <w:rStyle w:val="20"/>
      </w:rPr>
    </w:pPr>
    <w:r>
      <w:fldChar w:fldCharType="begin"/>
    </w:r>
    <w:r>
      <w:rPr>
        <w:rStyle w:val="20"/>
      </w:rPr>
      <w:instrText xml:space="preserve">PAGE  </w:instrText>
    </w:r>
    <w:r>
      <w:fldChar w:fldCharType="end"/>
    </w:r>
  </w:p>
  <w:p w14:paraId="13C34CEC">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E6812">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EECBC">
    <w:pPr>
      <w:pStyle w:val="11"/>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9F32A56">
                          <w:pPr>
                            <w:pStyle w:val="11"/>
                            <w:ind w:firstLine="360"/>
                          </w:pPr>
                          <w:r>
                            <w:fldChar w:fldCharType="begin"/>
                          </w:r>
                          <w:r>
                            <w:instrText xml:space="preserve">PAGE   \* MERGEFORMAT</w:instrText>
                          </w:r>
                          <w:r>
                            <w:fldChar w:fldCharType="separate"/>
                          </w:r>
                          <w:r>
                            <w:rPr>
                              <w:lang w:val="zh-CN"/>
                            </w:rPr>
                            <w:t>32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39F32A56">
                    <w:pPr>
                      <w:pStyle w:val="11"/>
                      <w:ind w:firstLine="360"/>
                    </w:pPr>
                    <w:r>
                      <w:fldChar w:fldCharType="begin"/>
                    </w:r>
                    <w:r>
                      <w:instrText xml:space="preserve">PAGE   \* MERGEFORMAT</w:instrText>
                    </w:r>
                    <w:r>
                      <w:fldChar w:fldCharType="separate"/>
                    </w:r>
                    <w:r>
                      <w:rPr>
                        <w:lang w:val="zh-CN"/>
                      </w:rPr>
                      <w:t>32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E4939">
    <w:pPr>
      <w:pStyle w:val="12"/>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0CE50A">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68355">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0BB8BF"/>
    <w:multiLevelType w:val="singleLevel"/>
    <w:tmpl w:val="1C0BB8BF"/>
    <w:lvl w:ilvl="0" w:tentative="0">
      <w:start w:val="2"/>
      <w:numFmt w:val="decimal"/>
      <w:suff w:val="nothing"/>
      <w:lvlText w:val="%1、"/>
      <w:lvlJc w:val="left"/>
    </w:lvl>
  </w:abstractNum>
  <w:abstractNum w:abstractNumId="1">
    <w:nsid w:val="2FA77660"/>
    <w:multiLevelType w:val="singleLevel"/>
    <w:tmpl w:val="2FA77660"/>
    <w:lvl w:ilvl="0" w:tentative="0">
      <w:start w:val="1"/>
      <w:numFmt w:val="decimal"/>
      <w:lvlText w:val="%1."/>
      <w:lvlJc w:val="left"/>
      <w:pPr>
        <w:tabs>
          <w:tab w:val="left" w:pos="312"/>
        </w:tabs>
      </w:pPr>
    </w:lvl>
  </w:abstractNum>
  <w:abstractNum w:abstractNumId="2">
    <w:nsid w:val="3760DD41"/>
    <w:multiLevelType w:val="singleLevel"/>
    <w:tmpl w:val="3760DD41"/>
    <w:lvl w:ilvl="0" w:tentative="0">
      <w:start w:val="1"/>
      <w:numFmt w:val="decimal"/>
      <w:suff w:val="nothing"/>
      <w:lvlText w:val="%1）"/>
      <w:lvlJc w:val="left"/>
    </w:lvl>
  </w:abstractNum>
  <w:abstractNum w:abstractNumId="3">
    <w:nsid w:val="79236B49"/>
    <w:multiLevelType w:val="singleLevel"/>
    <w:tmpl w:val="79236B49"/>
    <w:lvl w:ilvl="0" w:tentative="0">
      <w:start w:val="1"/>
      <w:numFmt w:val="decimal"/>
      <w:pStyle w:val="42"/>
      <w:suff w:val="nothing"/>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C1FF9"/>
    <w:rsid w:val="016C4AB3"/>
    <w:rsid w:val="018C652E"/>
    <w:rsid w:val="01D40DB2"/>
    <w:rsid w:val="02860E29"/>
    <w:rsid w:val="03454E04"/>
    <w:rsid w:val="04C9730D"/>
    <w:rsid w:val="053531EF"/>
    <w:rsid w:val="05904CD5"/>
    <w:rsid w:val="07A7581E"/>
    <w:rsid w:val="08481F12"/>
    <w:rsid w:val="09011783"/>
    <w:rsid w:val="09325038"/>
    <w:rsid w:val="0AF0487B"/>
    <w:rsid w:val="0B26416F"/>
    <w:rsid w:val="0C874038"/>
    <w:rsid w:val="0E7F72D7"/>
    <w:rsid w:val="0EF75A68"/>
    <w:rsid w:val="0F016EDF"/>
    <w:rsid w:val="0F130CAE"/>
    <w:rsid w:val="0FA856E2"/>
    <w:rsid w:val="10D96769"/>
    <w:rsid w:val="115A7068"/>
    <w:rsid w:val="116F534C"/>
    <w:rsid w:val="11EA3BD2"/>
    <w:rsid w:val="1201140C"/>
    <w:rsid w:val="1207030B"/>
    <w:rsid w:val="129A3326"/>
    <w:rsid w:val="12BD17B5"/>
    <w:rsid w:val="13A26AA4"/>
    <w:rsid w:val="13A754CE"/>
    <w:rsid w:val="14DE667D"/>
    <w:rsid w:val="150C1C67"/>
    <w:rsid w:val="154D1EAF"/>
    <w:rsid w:val="155D79F6"/>
    <w:rsid w:val="15A17EC4"/>
    <w:rsid w:val="15BD40D0"/>
    <w:rsid w:val="17983A48"/>
    <w:rsid w:val="1AC66832"/>
    <w:rsid w:val="1B127041"/>
    <w:rsid w:val="1B53683B"/>
    <w:rsid w:val="1B564048"/>
    <w:rsid w:val="1C2E0D24"/>
    <w:rsid w:val="1CB332D7"/>
    <w:rsid w:val="1D414354"/>
    <w:rsid w:val="1D5D7DC8"/>
    <w:rsid w:val="1D7F6E73"/>
    <w:rsid w:val="1E3501EE"/>
    <w:rsid w:val="1F146F03"/>
    <w:rsid w:val="1F4F5D78"/>
    <w:rsid w:val="1F522CEF"/>
    <w:rsid w:val="1FF74D95"/>
    <w:rsid w:val="20D9770E"/>
    <w:rsid w:val="20E23C94"/>
    <w:rsid w:val="20E95E67"/>
    <w:rsid w:val="212B632B"/>
    <w:rsid w:val="220E672A"/>
    <w:rsid w:val="22A11031"/>
    <w:rsid w:val="22DE4C52"/>
    <w:rsid w:val="22ED61B3"/>
    <w:rsid w:val="238D2429"/>
    <w:rsid w:val="26256981"/>
    <w:rsid w:val="26F417A2"/>
    <w:rsid w:val="2728668F"/>
    <w:rsid w:val="27FC1D53"/>
    <w:rsid w:val="292E15AE"/>
    <w:rsid w:val="29A033DE"/>
    <w:rsid w:val="2A384BE8"/>
    <w:rsid w:val="2A815802"/>
    <w:rsid w:val="2AB00E5E"/>
    <w:rsid w:val="2B6D57A6"/>
    <w:rsid w:val="2C602C01"/>
    <w:rsid w:val="2C717A00"/>
    <w:rsid w:val="2CCD0F35"/>
    <w:rsid w:val="2CF6373D"/>
    <w:rsid w:val="2E844BD3"/>
    <w:rsid w:val="2F3E34EB"/>
    <w:rsid w:val="2FC2572B"/>
    <w:rsid w:val="2FCB0F6D"/>
    <w:rsid w:val="30354AD0"/>
    <w:rsid w:val="30935BDB"/>
    <w:rsid w:val="31AF39BF"/>
    <w:rsid w:val="32C4213C"/>
    <w:rsid w:val="32C748CC"/>
    <w:rsid w:val="32D9119B"/>
    <w:rsid w:val="33385330"/>
    <w:rsid w:val="34594B05"/>
    <w:rsid w:val="3492540B"/>
    <w:rsid w:val="350A44D8"/>
    <w:rsid w:val="350A6232"/>
    <w:rsid w:val="3531169B"/>
    <w:rsid w:val="35FF3983"/>
    <w:rsid w:val="365B20E7"/>
    <w:rsid w:val="372F1852"/>
    <w:rsid w:val="37BC1481"/>
    <w:rsid w:val="37D573D0"/>
    <w:rsid w:val="388E6862"/>
    <w:rsid w:val="392C026D"/>
    <w:rsid w:val="39751C8D"/>
    <w:rsid w:val="3A6A5138"/>
    <w:rsid w:val="3AD02D8D"/>
    <w:rsid w:val="3C400835"/>
    <w:rsid w:val="3C7F70D3"/>
    <w:rsid w:val="3EFF456A"/>
    <w:rsid w:val="3FB5491E"/>
    <w:rsid w:val="402E2102"/>
    <w:rsid w:val="40E373EE"/>
    <w:rsid w:val="42211454"/>
    <w:rsid w:val="4236700F"/>
    <w:rsid w:val="42DC61F3"/>
    <w:rsid w:val="431E13DD"/>
    <w:rsid w:val="441C3C5F"/>
    <w:rsid w:val="44F31A88"/>
    <w:rsid w:val="45032B44"/>
    <w:rsid w:val="452E7A2C"/>
    <w:rsid w:val="45A44690"/>
    <w:rsid w:val="462F33D2"/>
    <w:rsid w:val="46D212C5"/>
    <w:rsid w:val="477A04AC"/>
    <w:rsid w:val="47C11391"/>
    <w:rsid w:val="487B1942"/>
    <w:rsid w:val="4890603C"/>
    <w:rsid w:val="48A203C6"/>
    <w:rsid w:val="4922577C"/>
    <w:rsid w:val="4A6655E7"/>
    <w:rsid w:val="4AC05AD6"/>
    <w:rsid w:val="4B030467"/>
    <w:rsid w:val="4B497747"/>
    <w:rsid w:val="4B787EC0"/>
    <w:rsid w:val="4BAA082C"/>
    <w:rsid w:val="4BBE3026"/>
    <w:rsid w:val="4BC435C8"/>
    <w:rsid w:val="4BE46496"/>
    <w:rsid w:val="4C0A3110"/>
    <w:rsid w:val="4C6556BD"/>
    <w:rsid w:val="4CA0795D"/>
    <w:rsid w:val="4D112219"/>
    <w:rsid w:val="4D3A202D"/>
    <w:rsid w:val="4D487C17"/>
    <w:rsid w:val="4DAD1F3C"/>
    <w:rsid w:val="4FFE1DD5"/>
    <w:rsid w:val="502401E6"/>
    <w:rsid w:val="508F3390"/>
    <w:rsid w:val="51816D45"/>
    <w:rsid w:val="519F1952"/>
    <w:rsid w:val="51BF1FF4"/>
    <w:rsid w:val="51F26CB7"/>
    <w:rsid w:val="523B5DD6"/>
    <w:rsid w:val="530A2B7E"/>
    <w:rsid w:val="550B1605"/>
    <w:rsid w:val="55327336"/>
    <w:rsid w:val="553D7E00"/>
    <w:rsid w:val="55AB5D35"/>
    <w:rsid w:val="55D40DA7"/>
    <w:rsid w:val="55EB337F"/>
    <w:rsid w:val="56162DB4"/>
    <w:rsid w:val="566D098B"/>
    <w:rsid w:val="56812EFE"/>
    <w:rsid w:val="568401E7"/>
    <w:rsid w:val="574B2853"/>
    <w:rsid w:val="579D6577"/>
    <w:rsid w:val="592513EA"/>
    <w:rsid w:val="59C9520A"/>
    <w:rsid w:val="5A5461A4"/>
    <w:rsid w:val="5AC43BB3"/>
    <w:rsid w:val="5C013209"/>
    <w:rsid w:val="5C193282"/>
    <w:rsid w:val="5C2235AA"/>
    <w:rsid w:val="5C48615E"/>
    <w:rsid w:val="5CB50EE0"/>
    <w:rsid w:val="5CED3EB9"/>
    <w:rsid w:val="5D293551"/>
    <w:rsid w:val="5DB34E04"/>
    <w:rsid w:val="5E356845"/>
    <w:rsid w:val="5F1122B2"/>
    <w:rsid w:val="5F273AEA"/>
    <w:rsid w:val="603C33DB"/>
    <w:rsid w:val="603D5158"/>
    <w:rsid w:val="605B0E4B"/>
    <w:rsid w:val="60EB1470"/>
    <w:rsid w:val="60F55FF3"/>
    <w:rsid w:val="612E7B7F"/>
    <w:rsid w:val="61874FB6"/>
    <w:rsid w:val="61D678F5"/>
    <w:rsid w:val="621867A5"/>
    <w:rsid w:val="63383615"/>
    <w:rsid w:val="63831BA6"/>
    <w:rsid w:val="64002322"/>
    <w:rsid w:val="64076DC9"/>
    <w:rsid w:val="64E81530"/>
    <w:rsid w:val="65597932"/>
    <w:rsid w:val="655F18CF"/>
    <w:rsid w:val="65DF45C8"/>
    <w:rsid w:val="668A1F51"/>
    <w:rsid w:val="66B17BAA"/>
    <w:rsid w:val="673024AC"/>
    <w:rsid w:val="677E1D8F"/>
    <w:rsid w:val="68754774"/>
    <w:rsid w:val="68ED3792"/>
    <w:rsid w:val="692F2FF3"/>
    <w:rsid w:val="69D57E13"/>
    <w:rsid w:val="6A25491D"/>
    <w:rsid w:val="6A4B66C3"/>
    <w:rsid w:val="6AB87A25"/>
    <w:rsid w:val="6B3B2D02"/>
    <w:rsid w:val="6BBD4E62"/>
    <w:rsid w:val="6BC05C41"/>
    <w:rsid w:val="6C2D703C"/>
    <w:rsid w:val="6C5333A3"/>
    <w:rsid w:val="6C552762"/>
    <w:rsid w:val="6D6D72CC"/>
    <w:rsid w:val="6D964A76"/>
    <w:rsid w:val="6F7629EC"/>
    <w:rsid w:val="6FDF300D"/>
    <w:rsid w:val="70AC46D5"/>
    <w:rsid w:val="710772E6"/>
    <w:rsid w:val="717353B8"/>
    <w:rsid w:val="71793B16"/>
    <w:rsid w:val="71D133EE"/>
    <w:rsid w:val="723534A5"/>
    <w:rsid w:val="73197AFA"/>
    <w:rsid w:val="73D634A1"/>
    <w:rsid w:val="759D2319"/>
    <w:rsid w:val="76313609"/>
    <w:rsid w:val="763F79DC"/>
    <w:rsid w:val="77001C97"/>
    <w:rsid w:val="777B1D40"/>
    <w:rsid w:val="77D56F8E"/>
    <w:rsid w:val="780954C8"/>
    <w:rsid w:val="787B63C5"/>
    <w:rsid w:val="78D63C38"/>
    <w:rsid w:val="79132F23"/>
    <w:rsid w:val="792312A1"/>
    <w:rsid w:val="7A124B07"/>
    <w:rsid w:val="7A921D8A"/>
    <w:rsid w:val="7C4E4FA0"/>
    <w:rsid w:val="7C582907"/>
    <w:rsid w:val="7C905274"/>
    <w:rsid w:val="7CA00EEF"/>
    <w:rsid w:val="7D2F777E"/>
    <w:rsid w:val="7D466561"/>
    <w:rsid w:val="7DF76C71"/>
    <w:rsid w:val="7E462FD2"/>
    <w:rsid w:val="7EA06B6E"/>
    <w:rsid w:val="7F1D7D47"/>
    <w:rsid w:val="7F230BDA"/>
    <w:rsid w:val="7F7D0C75"/>
    <w:rsid w:val="7FBC61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9" w:semiHidden="0" w:name="heading 3"/>
    <w:lsdException w:qFormat="1" w:unhideWhenUsed="0" w:uiPriority="99" w:semiHidden="0" w:name="heading 4"/>
    <w:lsdException w:qFormat="1" w:uiPriority="0" w:name="heading 5"/>
    <w:lsdException w:qFormat="1" w:unhideWhenUsed="0" w:uiPriority="9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20" w:lineRule="exact"/>
      <w:ind w:firstLine="48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ascii="Times New Roman" w:hAnsi="Times New Roman" w:eastAsia="宋体"/>
      <w:b/>
      <w:bCs/>
      <w:color w:val="000000"/>
      <w:kern w:val="44"/>
      <w:sz w:val="24"/>
      <w:szCs w:val="30"/>
    </w:rPr>
  </w:style>
  <w:style w:type="paragraph" w:styleId="3">
    <w:name w:val="heading 2"/>
    <w:basedOn w:val="1"/>
    <w:next w:val="1"/>
    <w:qFormat/>
    <w:uiPriority w:val="0"/>
    <w:pPr>
      <w:keepNext/>
      <w:keepLines/>
      <w:spacing w:line="360" w:lineRule="auto"/>
      <w:outlineLvl w:val="1"/>
    </w:pPr>
    <w:rPr>
      <w:rFonts w:ascii="Arial" w:hAnsi="Arial" w:eastAsia="楷体_GB2312"/>
      <w:b/>
      <w:sz w:val="28"/>
    </w:rPr>
  </w:style>
  <w:style w:type="paragraph" w:styleId="4">
    <w:name w:val="heading 3"/>
    <w:basedOn w:val="1"/>
    <w:next w:val="1"/>
    <w:qFormat/>
    <w:uiPriority w:val="99"/>
    <w:pPr>
      <w:keepNext/>
      <w:keepLines/>
      <w:spacing w:beforeLines="50" w:afterLines="50"/>
      <w:outlineLvl w:val="2"/>
    </w:pPr>
    <w:rPr>
      <w:rFonts w:eastAsia="楷体"/>
      <w:b/>
      <w:bCs/>
      <w:sz w:val="30"/>
      <w:szCs w:val="32"/>
    </w:rPr>
  </w:style>
  <w:style w:type="paragraph" w:styleId="5">
    <w:name w:val="heading 4"/>
    <w:basedOn w:val="1"/>
    <w:next w:val="1"/>
    <w:qFormat/>
    <w:uiPriority w:val="99"/>
    <w:pPr>
      <w:keepNext/>
      <w:keepLines/>
      <w:outlineLvl w:val="3"/>
    </w:pPr>
    <w:rPr>
      <w:b/>
      <w:bCs/>
      <w:lang w:eastAsia="zh-CN"/>
    </w:rPr>
  </w:style>
  <w:style w:type="paragraph" w:styleId="6">
    <w:name w:val="heading 6"/>
    <w:basedOn w:val="1"/>
    <w:next w:val="1"/>
    <w:qFormat/>
    <w:uiPriority w:val="99"/>
    <w:pPr>
      <w:keepNext/>
      <w:keepLines/>
      <w:spacing w:line="360" w:lineRule="exact"/>
      <w:ind w:firstLine="0" w:firstLineChars="0"/>
      <w:jc w:val="center"/>
      <w:outlineLvl w:val="5"/>
    </w:pPr>
    <w:rPr>
      <w:kern w:val="0"/>
      <w:sz w:val="21"/>
      <w:szCs w:val="20"/>
      <w:lang w:eastAsia="zh-CN"/>
    </w:rPr>
  </w:style>
  <w:style w:type="character" w:default="1" w:styleId="18">
    <w:name w:val="Default Paragraph Font"/>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7">
    <w:name w:val="annotation text"/>
    <w:basedOn w:val="1"/>
    <w:semiHidden/>
    <w:unhideWhenUsed/>
    <w:qFormat/>
    <w:uiPriority w:val="99"/>
    <w:pPr>
      <w:jc w:val="left"/>
    </w:pPr>
  </w:style>
  <w:style w:type="paragraph" w:styleId="8">
    <w:name w:val="Body Text"/>
    <w:basedOn w:val="1"/>
    <w:next w:val="1"/>
    <w:unhideWhenUsed/>
    <w:qFormat/>
    <w:uiPriority w:val="99"/>
    <w:pPr>
      <w:spacing w:after="120"/>
    </w:pPr>
  </w:style>
  <w:style w:type="paragraph" w:styleId="9">
    <w:name w:val="Body Text Indent"/>
    <w:basedOn w:val="1"/>
    <w:next w:val="1"/>
    <w:qFormat/>
    <w:uiPriority w:val="0"/>
    <w:pPr>
      <w:ind w:firstLine="480"/>
    </w:pPr>
    <w:rPr>
      <w:kern w:val="0"/>
      <w:szCs w:val="24"/>
    </w:rPr>
  </w:style>
  <w:style w:type="paragraph" w:styleId="10">
    <w:name w:val="Plain Text"/>
    <w:basedOn w:val="1"/>
    <w:qFormat/>
    <w:uiPriority w:val="0"/>
    <w:pPr>
      <w:adjustRightInd/>
      <w:snapToGrid/>
      <w:spacing w:line="240" w:lineRule="auto"/>
      <w:ind w:firstLine="0" w:firstLineChars="0"/>
      <w:jc w:val="both"/>
    </w:pPr>
    <w:rPr>
      <w:rFonts w:ascii="宋体" w:hAnsi="Courier New"/>
      <w:spacing w:val="10"/>
      <w:sz w:val="24"/>
      <w:szCs w:val="21"/>
    </w:rPr>
  </w:style>
  <w:style w:type="paragraph" w:styleId="11">
    <w:name w:val="footer"/>
    <w:basedOn w:val="1"/>
    <w:qFormat/>
    <w:uiPriority w:val="99"/>
    <w:pPr>
      <w:tabs>
        <w:tab w:val="center" w:pos="4153"/>
        <w:tab w:val="right" w:pos="8306"/>
      </w:tabs>
      <w:snapToGrid w:val="0"/>
      <w:jc w:val="left"/>
    </w:pPr>
    <w:rPr>
      <w:kern w:val="0"/>
      <w:sz w:val="18"/>
      <w:szCs w:val="20"/>
    </w:rPr>
  </w:style>
  <w:style w:type="paragraph" w:styleId="12">
    <w:name w:val="header"/>
    <w:basedOn w:val="1"/>
    <w:qFormat/>
    <w:uiPriority w:val="0"/>
    <w:pPr>
      <w:pBdr>
        <w:bottom w:val="single" w:color="auto" w:sz="6" w:space="1"/>
      </w:pBdr>
      <w:tabs>
        <w:tab w:val="center" w:pos="4153"/>
        <w:tab w:val="right" w:pos="8306"/>
      </w:tabs>
      <w:snapToGrid w:val="0"/>
      <w:jc w:val="center"/>
    </w:pPr>
    <w:rPr>
      <w:kern w:val="0"/>
      <w:sz w:val="18"/>
      <w:szCs w:val="20"/>
    </w:rPr>
  </w:style>
  <w:style w:type="paragraph" w:styleId="13">
    <w:name w:val="List"/>
    <w:basedOn w:val="1"/>
    <w:qFormat/>
    <w:uiPriority w:val="0"/>
    <w:pPr>
      <w:widowControl/>
      <w:spacing w:line="440" w:lineRule="exact"/>
      <w:ind w:left="200" w:hanging="200"/>
      <w:jc w:val="left"/>
    </w:pPr>
    <w:rPr>
      <w:kern w:val="0"/>
      <w:szCs w:val="20"/>
    </w:rPr>
  </w:style>
  <w:style w:type="paragraph" w:styleId="14">
    <w:name w:val="Normal (Web)"/>
    <w:basedOn w:val="1"/>
    <w:qFormat/>
    <w:uiPriority w:val="0"/>
    <w:pPr>
      <w:widowControl/>
      <w:spacing w:before="100" w:beforeAutospacing="1" w:after="100" w:afterAutospacing="1"/>
      <w:jc w:val="left"/>
    </w:pPr>
    <w:rPr>
      <w:rFonts w:ascii="宋体" w:hAnsi="宋体"/>
      <w:kern w:val="0"/>
      <w:szCs w:val="20"/>
    </w:rPr>
  </w:style>
  <w:style w:type="paragraph" w:styleId="15">
    <w:name w:val="Body Text First Indent 2"/>
    <w:basedOn w:val="1"/>
    <w:next w:val="1"/>
    <w:unhideWhenUsed/>
    <w:qFormat/>
    <w:uiPriority w:val="99"/>
    <w:pPr>
      <w:ind w:firstLine="420"/>
    </w:pPr>
  </w:style>
  <w:style w:type="table" w:styleId="17">
    <w:name w:val="Table Grid"/>
    <w:basedOn w:val="16"/>
    <w:qFormat/>
    <w:uiPriority w:val="99"/>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page number"/>
    <w:qFormat/>
    <w:uiPriority w:val="0"/>
  </w:style>
  <w:style w:type="character" w:styleId="21">
    <w:name w:val="Emphasis"/>
    <w:basedOn w:val="18"/>
    <w:qFormat/>
    <w:uiPriority w:val="0"/>
    <w:rPr>
      <w:i/>
    </w:rPr>
  </w:style>
  <w:style w:type="character" w:styleId="22">
    <w:name w:val="Hyperlink"/>
    <w:basedOn w:val="18"/>
    <w:qFormat/>
    <w:uiPriority w:val="0"/>
    <w:rPr>
      <w:color w:val="0000FF"/>
      <w:u w:val="single"/>
    </w:rPr>
  </w:style>
  <w:style w:type="paragraph" w:customStyle="1" w:styleId="23">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24">
    <w:name w:val="表头、图标"/>
    <w:basedOn w:val="1"/>
    <w:link w:val="27"/>
    <w:qFormat/>
    <w:uiPriority w:val="0"/>
    <w:pPr>
      <w:spacing w:line="520" w:lineRule="exact"/>
      <w:ind w:firstLine="0" w:firstLineChars="0"/>
      <w:jc w:val="center"/>
    </w:pPr>
    <w:rPr>
      <w:rFonts w:hint="eastAsia" w:ascii="Times New Roman" w:hAnsi="Times New Roman" w:eastAsia="宋体"/>
      <w:b/>
      <w:color w:val="auto"/>
      <w:sz w:val="21"/>
    </w:rPr>
  </w:style>
  <w:style w:type="paragraph" w:customStyle="1" w:styleId="25">
    <w:name w:val="样式 样式 样式 样式 首行缩进:  1 字符 + 首行缩进:  2 字符1 + 首行缩进:  2 字符 + Arial"/>
    <w:basedOn w:val="1"/>
    <w:qFormat/>
    <w:uiPriority w:val="0"/>
    <w:pPr>
      <w:spacing w:line="360" w:lineRule="auto"/>
      <w:ind w:firstLine="480" w:firstLineChars="200"/>
    </w:pPr>
    <w:rPr>
      <w:rFonts w:ascii="Arial" w:hAnsi="Arial" w:cs="宋体"/>
      <w:sz w:val="24"/>
    </w:rPr>
  </w:style>
  <w:style w:type="paragraph" w:customStyle="1" w:styleId="26">
    <w:name w:val="正文(首行缩进)"/>
    <w:basedOn w:val="1"/>
    <w:qFormat/>
    <w:uiPriority w:val="0"/>
    <w:pPr>
      <w:wordWrap/>
      <w:spacing w:line="400" w:lineRule="exact"/>
      <w:ind w:firstLine="720" w:firstLineChars="200"/>
    </w:pPr>
    <w:rPr>
      <w:rFonts w:ascii="Times New Roman" w:hAnsi="Times New Roman" w:eastAsia="宋体"/>
      <w:snapToGrid w:val="0"/>
      <w:color w:val="000000"/>
    </w:rPr>
  </w:style>
  <w:style w:type="character" w:customStyle="1" w:styleId="27">
    <w:name w:val="表头、图标 Char"/>
    <w:link w:val="24"/>
    <w:qFormat/>
    <w:uiPriority w:val="0"/>
    <w:rPr>
      <w:rFonts w:hint="eastAsia" w:ascii="Times New Roman" w:hAnsi="Times New Roman" w:eastAsia="宋体" w:cs="Times New Roman"/>
      <w:b/>
      <w:color w:val="auto"/>
      <w:sz w:val="21"/>
    </w:rPr>
  </w:style>
  <w:style w:type="paragraph" w:customStyle="1" w:styleId="28">
    <w:name w:val="表、图标题"/>
    <w:basedOn w:val="1"/>
    <w:qFormat/>
    <w:uiPriority w:val="0"/>
    <w:pPr>
      <w:spacing w:line="240" w:lineRule="auto"/>
      <w:ind w:firstLine="0" w:firstLineChars="0"/>
      <w:jc w:val="center"/>
    </w:pPr>
    <w:rPr>
      <w:rFonts w:ascii="Times New Roman" w:hAnsi="Times New Roman" w:eastAsia="宋体"/>
      <w:b/>
      <w:color w:val="000000"/>
      <w:sz w:val="21"/>
    </w:rPr>
  </w:style>
  <w:style w:type="paragraph" w:customStyle="1" w:styleId="29">
    <w:name w:val="表内容"/>
    <w:basedOn w:val="1"/>
    <w:qFormat/>
    <w:uiPriority w:val="0"/>
    <w:pPr>
      <w:adjustRightInd w:val="0"/>
      <w:snapToGrid w:val="0"/>
      <w:spacing w:line="240" w:lineRule="auto"/>
      <w:ind w:firstLine="0" w:firstLineChars="0"/>
      <w:jc w:val="center"/>
    </w:pPr>
    <w:rPr>
      <w:rFonts w:cs="Times New Roman"/>
      <w:snapToGrid w:val="0"/>
      <w:sz w:val="21"/>
      <w:szCs w:val="21"/>
    </w:rPr>
  </w:style>
  <w:style w:type="paragraph" w:customStyle="1" w:styleId="30">
    <w:name w:val="正文 首行缩进"/>
    <w:basedOn w:val="1"/>
    <w:qFormat/>
    <w:uiPriority w:val="0"/>
    <w:pPr>
      <w:spacing w:line="460" w:lineRule="exact"/>
      <w:ind w:firstLine="560" w:firstLineChars="200"/>
      <w:jc w:val="both"/>
    </w:pPr>
    <w:rPr>
      <w:rFonts w:ascii="Times New Roman" w:hAnsi="Times New Roman" w:eastAsia="宋体" w:cs="宋体"/>
    </w:rPr>
  </w:style>
  <w:style w:type="table" w:customStyle="1" w:styleId="31">
    <w:name w:val="Table Normal"/>
    <w:unhideWhenUsed/>
    <w:qFormat/>
    <w:uiPriority w:val="0"/>
    <w:tblPr>
      <w:tblCellMar>
        <w:top w:w="0" w:type="dxa"/>
        <w:left w:w="0" w:type="dxa"/>
        <w:bottom w:w="0" w:type="dxa"/>
        <w:right w:w="0" w:type="dxa"/>
      </w:tblCellMar>
    </w:tblPr>
  </w:style>
  <w:style w:type="character" w:customStyle="1" w:styleId="32">
    <w:name w:val="font41"/>
    <w:basedOn w:val="18"/>
    <w:qFormat/>
    <w:uiPriority w:val="0"/>
    <w:rPr>
      <w:rFonts w:hint="default" w:ascii="Times New Roman" w:hAnsi="Times New Roman" w:cs="Times New Roman"/>
      <w:b/>
      <w:bCs/>
      <w:color w:val="000000"/>
      <w:sz w:val="21"/>
      <w:szCs w:val="21"/>
      <w:u w:val="none"/>
    </w:rPr>
  </w:style>
  <w:style w:type="character" w:customStyle="1" w:styleId="33">
    <w:name w:val="font61"/>
    <w:basedOn w:val="18"/>
    <w:qFormat/>
    <w:uiPriority w:val="0"/>
    <w:rPr>
      <w:rFonts w:hint="default" w:ascii="Times New Roman" w:hAnsi="Times New Roman" w:cs="Times New Roman"/>
      <w:color w:val="000000"/>
      <w:sz w:val="21"/>
      <w:szCs w:val="21"/>
      <w:u w:val="none"/>
      <w:vertAlign w:val="subscript"/>
    </w:rPr>
  </w:style>
  <w:style w:type="paragraph" w:customStyle="1" w:styleId="34">
    <w:name w:val="Default"/>
    <w:basedOn w:val="35"/>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35">
    <w:name w:val="纯文本1"/>
    <w:basedOn w:val="1"/>
    <w:qFormat/>
    <w:uiPriority w:val="0"/>
    <w:pPr>
      <w:adjustRightInd w:val="0"/>
    </w:pPr>
    <w:rPr>
      <w:rFonts w:ascii="宋体" w:hAnsi="Courier New"/>
      <w:szCs w:val="20"/>
    </w:rPr>
  </w:style>
  <w:style w:type="character" w:customStyle="1" w:styleId="36">
    <w:name w:val="font11"/>
    <w:basedOn w:val="18"/>
    <w:qFormat/>
    <w:uiPriority w:val="0"/>
    <w:rPr>
      <w:rFonts w:hint="eastAsia" w:ascii="宋体" w:hAnsi="宋体" w:eastAsia="宋体" w:cs="宋体"/>
      <w:b/>
      <w:bCs/>
      <w:color w:val="000000"/>
      <w:sz w:val="21"/>
      <w:szCs w:val="21"/>
      <w:u w:val="none"/>
    </w:rPr>
  </w:style>
  <w:style w:type="character" w:customStyle="1" w:styleId="37">
    <w:name w:val="font51"/>
    <w:basedOn w:val="18"/>
    <w:qFormat/>
    <w:uiPriority w:val="0"/>
    <w:rPr>
      <w:rFonts w:hint="default" w:ascii="Times New Roman" w:hAnsi="Times New Roman" w:cs="Times New Roman"/>
      <w:b/>
      <w:bCs/>
      <w:color w:val="000000"/>
      <w:sz w:val="21"/>
      <w:szCs w:val="21"/>
      <w:u w:val="none"/>
      <w:vertAlign w:val="superscript"/>
    </w:rPr>
  </w:style>
  <w:style w:type="character" w:customStyle="1" w:styleId="38">
    <w:name w:val="font31"/>
    <w:basedOn w:val="18"/>
    <w:qFormat/>
    <w:uiPriority w:val="0"/>
    <w:rPr>
      <w:rFonts w:hint="default" w:ascii="Times New Roman" w:hAnsi="Times New Roman" w:cs="Times New Roman"/>
      <w:color w:val="000000"/>
      <w:sz w:val="21"/>
      <w:szCs w:val="21"/>
      <w:u w:val="none"/>
    </w:rPr>
  </w:style>
  <w:style w:type="character" w:customStyle="1" w:styleId="39">
    <w:name w:val="font21"/>
    <w:basedOn w:val="18"/>
    <w:qFormat/>
    <w:uiPriority w:val="0"/>
    <w:rPr>
      <w:rFonts w:hint="eastAsia" w:ascii="宋体" w:hAnsi="宋体" w:eastAsia="宋体" w:cs="宋体"/>
      <w:color w:val="000000"/>
      <w:sz w:val="21"/>
      <w:szCs w:val="21"/>
      <w:u w:val="none"/>
    </w:rPr>
  </w:style>
  <w:style w:type="paragraph" w:customStyle="1" w:styleId="40">
    <w:name w:val="4表格内容"/>
    <w:basedOn w:val="1"/>
    <w:qFormat/>
    <w:uiPriority w:val="0"/>
    <w:pPr>
      <w:adjustRightInd w:val="0"/>
      <w:snapToGrid w:val="0"/>
      <w:jc w:val="center"/>
    </w:pPr>
    <w:rPr>
      <w:bCs/>
      <w:kern w:val="44"/>
    </w:rPr>
  </w:style>
  <w:style w:type="paragraph" w:customStyle="1" w:styleId="41">
    <w:name w:val="1正文"/>
    <w:basedOn w:val="1"/>
    <w:qFormat/>
    <w:uiPriority w:val="0"/>
    <w:pPr>
      <w:adjustRightInd w:val="0"/>
      <w:snapToGrid w:val="0"/>
      <w:spacing w:line="360" w:lineRule="auto"/>
      <w:ind w:firstLine="200" w:firstLineChars="200"/>
    </w:pPr>
    <w:rPr>
      <w:bCs/>
      <w:sz w:val="24"/>
    </w:rPr>
  </w:style>
  <w:style w:type="paragraph" w:customStyle="1" w:styleId="42">
    <w:name w:val="表头111"/>
    <w:basedOn w:val="1"/>
    <w:qFormat/>
    <w:uiPriority w:val="0"/>
    <w:pPr>
      <w:numPr>
        <w:ilvl w:val="0"/>
        <w:numId w:val="1"/>
      </w:numPr>
      <w:jc w:val="center"/>
    </w:pPr>
    <w:rPr>
      <w:b/>
      <w:sz w:val="24"/>
      <w:szCs w:val="21"/>
    </w:rPr>
  </w:style>
  <w:style w:type="paragraph" w:customStyle="1" w:styleId="43">
    <w:name w:val="3图表标题"/>
    <w:basedOn w:val="1"/>
    <w:qFormat/>
    <w:uiPriority w:val="0"/>
    <w:pPr>
      <w:adjustRightInd w:val="0"/>
      <w:snapToGrid w:val="0"/>
      <w:spacing w:before="50" w:beforeLines="50"/>
      <w:jc w:val="center"/>
    </w:pPr>
    <w:rPr>
      <w:b/>
      <w:kern w:val="44"/>
      <w:sz w:val="24"/>
    </w:rPr>
  </w:style>
  <w:style w:type="paragraph" w:styleId="44">
    <w:name w:val="List Paragraph"/>
    <w:basedOn w:val="1"/>
    <w:qFormat/>
    <w:uiPriority w:val="99"/>
    <w:pPr>
      <w:ind w:firstLine="420"/>
    </w:pPr>
    <w:rPr>
      <w:lang w:eastAsia="zh-CN"/>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1.wmf"/><Relationship Id="rId25" Type="http://schemas.openxmlformats.org/officeDocument/2006/relationships/image" Target="media/image10.wmf"/><Relationship Id="rId24" Type="http://schemas.openxmlformats.org/officeDocument/2006/relationships/image" Target="media/image9.wmf"/><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emf"/><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5.emf"/><Relationship Id="rId18" Type="http://schemas.openxmlformats.org/officeDocument/2006/relationships/oleObject" Target="embeddings/oleObject2.bin"/><Relationship Id="rId17" Type="http://schemas.openxmlformats.org/officeDocument/2006/relationships/image" Target="media/image4.emf"/><Relationship Id="rId16" Type="http://schemas.openxmlformats.org/officeDocument/2006/relationships/oleObject" Target="embeddings/oleObject1.bin"/><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Info spid="_x0000_s102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63</Pages>
  <Words>19996</Words>
  <Characters>22616</Characters>
  <Lines>1</Lines>
  <Paragraphs>1</Paragraphs>
  <TotalTime>4</TotalTime>
  <ScaleCrop>false</ScaleCrop>
  <LinksUpToDate>false</LinksUpToDate>
  <CharactersWithSpaces>22773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2023-09-06T00:34:00Z</dcterms:created>
  <dc:creator>L</dc:creator>
  <cp:lastModifiedBy>admin</cp:lastModifiedBy>
  <dcterms:modified xsi:type="dcterms:W3CDTF">2025-11-03T03:32:02Z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eyJoZGlkIjoiYWNjNTgyNWE1ODYwMDFkNTc5MzVlZjg5NjQ4ODY3MDkiLCJ1c2VySWQiOiIzNDYxMzI5MzQifQ==</vt:lpwstr>
  </property>
  <property fmtid="{D5CDD505-2E9C-101B-9397-08002B2CF9AE}" pid="4" name="ICV">
    <vt:lpwstr>60E0FE99E46A44068ABA3DF7EC2888AC_13</vt:lpwstr>
  </property>
</Properties>
</file>